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7226E">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武汉理工大学</w:t>
      </w:r>
    </w:p>
    <w:p w14:paraId="0CF04AF5">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本科毕业设计（论文）</w:t>
      </w:r>
    </w:p>
    <w:p w14:paraId="127F74C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面向PCB金手指的测试尾板布点布线设计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1DD50E23">
        <w:trPr>
          <w:tblHeader/>
          <w:jc w:val="center"/>
        </w:trPr>
        <w:tc>
          <w:tcPr>
            <w:tcW w:w="2268" w:type="dxa"/>
            <w:vAlign w:val="center"/>
          </w:tcPr>
          <w:p w14:paraId="04B6633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学院</w:t>
            </w:r>
          </w:p>
        </w:tc>
        <w:tc>
          <w:tcPr>
            <w:tcW w:w="5102" w:type="dxa"/>
            <w:vAlign w:val="center"/>
          </w:tcPr>
          <w:p w14:paraId="39C1C60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信息工程学院</w:t>
            </w:r>
          </w:p>
        </w:tc>
      </w:tr>
      <w:tr w14:paraId="1FE10F07">
        <w:trPr>
          <w:jc w:val="center"/>
        </w:trPr>
        <w:tc>
          <w:tcPr>
            <w:tcW w:w="2268" w:type="dxa"/>
            <w:vAlign w:val="center"/>
          </w:tcPr>
          <w:p w14:paraId="3F8BD22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专业</w:t>
            </w:r>
          </w:p>
        </w:tc>
        <w:tc>
          <w:tcPr>
            <w:tcW w:w="5102" w:type="dxa"/>
            <w:vAlign w:val="center"/>
          </w:tcPr>
          <w:p w14:paraId="36E8548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集成电路设计与集成系统</w:t>
            </w:r>
          </w:p>
        </w:tc>
      </w:tr>
      <w:tr w14:paraId="1821AF46">
        <w:trPr>
          <w:jc w:val="center"/>
        </w:trPr>
        <w:tc>
          <w:tcPr>
            <w:tcW w:w="2268" w:type="dxa"/>
            <w:vAlign w:val="center"/>
          </w:tcPr>
          <w:p w14:paraId="098C51F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班级</w:t>
            </w:r>
          </w:p>
        </w:tc>
        <w:tc>
          <w:tcPr>
            <w:tcW w:w="5102" w:type="dxa"/>
            <w:vAlign w:val="center"/>
          </w:tcPr>
          <w:p w14:paraId="29D8E2A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集成电路2201</w:t>
            </w:r>
          </w:p>
        </w:tc>
      </w:tr>
      <w:tr w14:paraId="3F5A9CF5">
        <w:trPr>
          <w:jc w:val="center"/>
        </w:trPr>
        <w:tc>
          <w:tcPr>
            <w:tcW w:w="2268" w:type="dxa"/>
            <w:vAlign w:val="center"/>
          </w:tcPr>
          <w:p w14:paraId="252A0D2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学生姓名</w:t>
            </w:r>
          </w:p>
        </w:tc>
        <w:tc>
          <w:tcPr>
            <w:tcW w:w="5102" w:type="dxa"/>
            <w:vAlign w:val="center"/>
          </w:tcPr>
          <w:p w14:paraId="569A6CB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刘政</w:t>
            </w:r>
          </w:p>
        </w:tc>
      </w:tr>
      <w:tr w14:paraId="3FDC1176">
        <w:trPr>
          <w:jc w:val="center"/>
        </w:trPr>
        <w:tc>
          <w:tcPr>
            <w:tcW w:w="2268" w:type="dxa"/>
            <w:vAlign w:val="center"/>
          </w:tcPr>
          <w:p w14:paraId="201FE47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指导教师</w:t>
            </w:r>
          </w:p>
        </w:tc>
        <w:tc>
          <w:tcPr>
            <w:tcW w:w="5102" w:type="dxa"/>
            <w:vAlign w:val="center"/>
          </w:tcPr>
          <w:p w14:paraId="094C1B1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徐宁</w:t>
            </w:r>
          </w:p>
        </w:tc>
      </w:tr>
      <w:tr w14:paraId="6FFF9525">
        <w:trPr>
          <w:jc w:val="center"/>
        </w:trPr>
        <w:tc>
          <w:tcPr>
            <w:tcW w:w="2268" w:type="dxa"/>
            <w:vAlign w:val="center"/>
          </w:tcPr>
          <w:p w14:paraId="389961F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完成日期</w:t>
            </w:r>
          </w:p>
        </w:tc>
        <w:tc>
          <w:tcPr>
            <w:tcW w:w="5102" w:type="dxa"/>
            <w:vAlign w:val="center"/>
          </w:tcPr>
          <w:p w14:paraId="3B354C9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2026年5月</w:t>
            </w:r>
          </w:p>
        </w:tc>
      </w:tr>
      <w:tr w14:paraId="4BD794A0">
        <w:trPr>
          <w:jc w:val="center"/>
        </w:trPr>
        <w:tc>
          <w:tcPr>
            <w:tcW w:w="2268" w:type="dxa"/>
            <w:vAlign w:val="center"/>
          </w:tcPr>
          <w:p w14:paraId="2D94369F">
            <w:pPr>
              <w:spacing w:before="0" w:after="0" w:line="400" w:lineRule="exact"/>
              <w:jc w:val="center"/>
              <w:rPr>
                <w:color w:val="000000" w:themeColor="text1"/>
                <w14:textFill>
                  <w14:solidFill>
                    <w14:schemeClr w14:val="tx1"/>
                  </w14:solidFill>
                </w14:textFill>
              </w:rPr>
            </w:pPr>
          </w:p>
        </w:tc>
        <w:tc>
          <w:tcPr>
            <w:tcW w:w="5102" w:type="dxa"/>
            <w:vAlign w:val="center"/>
          </w:tcPr>
          <w:p w14:paraId="6E5D7733">
            <w:pPr>
              <w:spacing w:before="0" w:after="0" w:line="400" w:lineRule="exact"/>
              <w:jc w:val="center"/>
              <w:rPr>
                <w:color w:val="000000" w:themeColor="text1"/>
                <w14:textFill>
                  <w14:solidFill>
                    <w14:schemeClr w14:val="tx1"/>
                  </w14:solidFill>
                </w14:textFill>
              </w:rPr>
            </w:pPr>
          </w:p>
        </w:tc>
      </w:tr>
    </w:tbl>
    <w:p w14:paraId="01E3081F">
      <w:pPr>
        <w:spacing w:line="400" w:lineRule="exact" w:before="0" w:after="0"/>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br w:type="page"/>
      </w:r>
    </w:p>
    <w:p w14:paraId="22CC7D4C">
      <w:pPr>
        <w:pStyle w:val="3"/>
        <w:spacing w:line="400" w:lineRule="exact" w:before="200" w:after="200"/>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学位论文原创性声明</w:t>
      </w:r>
    </w:p>
    <w:p w14:paraId="21084DB6">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人郑重声明：所呈交的毕业设计（论文）是本人在指导教师指导下独立进行研究所取得的成果。除文中已经注明引用的内容外，本论文不包含任何其他个人或集体已经发表或撰写过的作品或成果。对本文研究作出重要贡献的个人和集体，均已在文中以明确方式标明。本人完全意识到本声明的法律后果由本人承担。</w:t>
      </w:r>
    </w:p>
    <w:p w14:paraId="2A816DA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作者签名：                       年    月    日</w:t>
      </w:r>
    </w:p>
    <w:p w14:paraId="1FA7B530">
      <w:pPr>
        <w:spacing w:before="0" w:after="0" w:line="400" w:lineRule="exact"/>
        <w:ind w:firstLine="480"/>
        <w:jc w:val="both"/>
        <w:rPr>
          <w:color w:val="000000" w:themeColor="text1"/>
          <w14:textFill>
            <w14:solidFill>
              <w14:schemeClr w14:val="tx1"/>
            </w14:solidFill>
          </w14:textFill>
        </w:rPr>
        <w:sectPr>
          <w:headerReference w:type="default" r:id="rId16"/>
          <w:footerReference w:type="default" r:id="rId17"/>
          <w:pgSz w:w="11906" w:h="16838"/>
          <w:pgMar w:top="1417" w:right="1134" w:bottom="1134" w:left="1417" w:header="1474" w:footer="1361" w:gutter="0"/>
          <w:cols w:space="720" w:num="1"/>
          <w:docGrid w:linePitch="360" w:charSpace="0"/>
        </w:sectPr>
      </w:pPr>
      <w:r>
        <w:rPr>
          <w:rFonts w:ascii="宋体" w:hAnsi="宋体" w:eastAsia="宋体"/>
          <w:b w:val="0"/>
          <w:color w:val="000000" w:themeColor="text1"/>
          <w:sz w:val="24"/>
          <w14:textFill>
            <w14:solidFill>
              <w14:schemeClr w14:val="tx1"/>
            </w14:solidFill>
          </w14:textFill>
        </w:rPr>
        <w:t>指导教师签名：                   年    月    日</w:t>
      </w:r>
    </w:p>
    <w:p w14:paraId="79B224D7">
      <w:pPr>
        <w:pStyle w:val="3"/>
        <w:spacing w:line="400" w:lineRule="exact" w:before="200" w:after="200"/>
        <w:jc w:val="center"/>
        <w:rPr>
          <w:color w:val="000000" w:themeColor="text1"/>
          <w14:textFill>
            <w14:solidFill>
              <w14:schemeClr w14:val="tx1"/>
            </w14:solidFill>
          </w14:textFill>
        </w:rPr>
      </w:pPr>
      <w:commentRangeStart w:id="0"/>
      <w:r>
        <w:rPr>
          <w:rFonts w:ascii="黑体" w:hAnsi="黑体" w:eastAsia="黑体"/>
          <w:b/>
          <w:color w:val="000000" w:themeColor="text1"/>
          <w14:textFill>
            <w14:solidFill>
              <w14:schemeClr w14:val="tx1"/>
            </w14:solidFill>
          </w14:textFill>
          <w:sz w:val="36"/>
        </w:rPr>
        <w:t>摘  要</w:t>
      </w:r>
      <w:commentRangeEnd w:id="0"/>
      <w:r>
        <w:rPr>
          <w:rStyle w:val="CommentReference"/>
        </w:rPr>
        <w:commentReference w:id="0"/>
      </w:r>
    </w:p>
    <w:p w14:paraId="2EFFC559">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PCB金手指是板卡与外部设备、测试夹具及扩展接口实现电气连接的关键边缘接口，具有端子密度高、可用边缘空间受限、信号类型混合以及接触可靠性要求高等特点。针对生产测试阶段人工布点布线效率较低、局部通道易拥塞和尾板面积利用不足等问题，本文面向PCB金手指测试尾板构建了几何约束与布线约束统一的布点布线模型。在A*路径搜索和PSO-Hanan布点框架基础上，引入网络流容量建模、领域模型分区、蚁群信息素启发和合法化约束分层思想，形成“候选测试点生成—约束筛选—布点优化—拥塞感知布线—拆线重布—指标评估”的自动化流程。算法将尾板区域抽象为网格与Tile混合模型，区分测试点间距、障碍避让、边界余量等硬约束与面积、线长、拥塞等软目标，并通过K-means分组、禁忌局部搜索、PSO-Hanan候选优化和动态拥塞代价改善布点布线结果。五组参数化案例表明，在低密度、中密度、高密度、含障碍和面积受限场景中，所提方法均实现100%覆盖率与100%布通率，平均尾板面积占比由基线方案的59.19%降低至14.57%，平均总线长由2014.40 mm降低至838.60 mm。研究结果说明，该方法能够为金手指测试尾板自动化设计提供可解释、可复现的算法基础。</w:t>
      </w:r>
    </w:p>
    <w:p w14:paraId="2C1967AA">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关键词：PCB金手指；测试尾板；布点布线；拥塞感知；A*算法</w:t>
      </w:r>
    </w:p>
    <w:p w14:paraId="1B17B0DB">
      <w:pPr>
        <w:spacing w:line="400" w:lineRule="exact" w:before="0" w:after="0"/>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br w:type="page"/>
      </w:r>
    </w:p>
    <w:p w14:paraId="733BC8CD">
      <w:pPr>
        <w:pStyle w:val="3"/>
        <w:spacing w:line="400" w:lineRule="exact" w:before="200" w:after="200"/>
        <w:jc w:val="center"/>
        <w:rPr>
          <w:color w:val="000000" w:themeColor="text1"/>
          <w14:textFill>
            <w14:solidFill>
              <w14:schemeClr w14:val="tx1"/>
            </w14:solidFill>
          </w14:textFill>
        </w:rPr>
      </w:pPr>
      <w:r>
        <w:rPr>
          <w:rFonts w:ascii="Times New Roman" w:hAnsi="Times New Roman" w:eastAsia="Times New Roman"/>
          <w:b/>
          <w:color w:val="000000" w:themeColor="text1"/>
          <w14:textFill>
            <w14:solidFill>
              <w14:schemeClr w14:val="tx1"/>
            </w14:solidFill>
          </w14:textFill>
          <w:sz w:val="36"/>
        </w:rPr>
        <w:t>Abstract</w:t>
      </w:r>
    </w:p>
    <w:p w14:paraId="088E449D">
      <w:pPr>
        <w:spacing w:before="0" w:after="0" w:line="400" w:lineRule="exact"/>
        <w:ind w:firstLine="480"/>
        <w:jc w:val="both"/>
        <w:rPr>
          <w:color w:val="000000" w:themeColor="text1"/>
          <w14:textFill>
            <w14:solidFill>
              <w14:schemeClr w14:val="tx1"/>
            </w14:solidFill>
          </w14:textFill>
        </w:rPr>
      </w:pPr>
      <w:commentRangeStart w:id="1"/>
      <w:r>
        <w:rPr>
          <w:rFonts w:ascii="宋体" w:hAnsi="宋体" w:eastAsia="宋体"/>
          <w:b w:val="0"/>
          <w:sz w:val="24"/>
        </w:rPr>
        <w:t>PCB gold fingers are dense edge contacts used for board-level interconnection, fixture contact, and functional testing. In a test tailboard, accessible test pads must be placed in a constrained extension region, and each gold-finger terminal must be routed to its corresponding pad while satisfying spacing, obstacle-avoidance, boundary-margin, and manufacturability requirements. To reduce reliance on manual experience in high-density and area-limited scenarios, this thesis establishes an integrated placement-and-routing model for PCB gold-finger test tailboards. On the basis of an A*-based routing and PSO-Hanan placement framework, the proposed method incorporates network-flow capacity modeling, domain-model partitioning, ant-colony-inspired congestion feedback, and legalization-oriented rule stratification. The tailboard region is represented by a hybrid grid-and-Tile model. Pad spacing, obstacle clearance, and boundary margins are treated as hard constraints, whereas occupied area, routing length, and congestion are optimized as soft objectives. The algorithm further separates candidate generation, constraint filtering, placement optimization, congestion-aware routing, rip-up and rerouting, and metric evaluation, so that each stage can be inspected and reproduced. A C++17 prototype implements K-means grouping, tabu local search, PSO-Hanan placement, congestion-aware A* routing, and CSV/SVG result export. Five parameterized cases, including low-density, medium-density, high-density, obstacle-constrained, and area-limited scenarios, are used for evaluation. The results show that the proposed scheme achieves full pad coverage and full routability in all cases. Compared with the rule-based baseline, the average occupied tailboard-area ratio is reduced from 59.19% to 14.57%, and the average total routing length is reduced from 2014.40 mm to 838.60 mm. By explicitly distinguishing hard feasibility checks from soft optimization objectives, the method also improves the traceability of experimental conclusions and supports later replacement of local heuristic modules by network-flow, linear-programming, or learning-based strategies without changing the data interface. The study provides an interpretable and reproducible algorithmic basis for automated test-tailboard design and subsequent integration into domestic EDA toolchains.</w:t>
      </w:r>
      <w:commentRangeEnd w:id="1"/>
      <w:r>
        <w:rPr>
          <w:rStyle w:val="CommentReference"/>
        </w:rPr>
        <w:commentReference w:id="1"/>
      </w:r>
    </w:p>
    <w:p w14:paraId="3E21446B">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Key words: PCB gold finger; test tailboard; placement and routing; congestion-aware routing; A* algorithm</w:t>
      </w:r>
    </w:p>
    <w:p w14:paraId="10306B3F">
      <w:pPr>
        <w:spacing w:line="400" w:lineRule="exact" w:before="0" w:after="0"/>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br w:type="page"/>
      </w:r>
    </w:p>
    <w:p w14:paraId="29C6946C">
      <w:pPr>
        <w:pStyle w:val="3"/>
        <w:spacing w:line="400" w:lineRule="exact" w:before="200" w:after="200"/>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目  录</w:t>
      </w:r>
    </w:p>
    <w:p w14:paraId="52C304BB">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 绪论</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w:t>
      </w:r>
    </w:p>
    <w:p w14:paraId="29701CEC">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1.1 研究背景</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w:t>
      </w:r>
    </w:p>
    <w:p w14:paraId="1051CC1B">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1.2 国内外研究现状</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w:t>
      </w:r>
    </w:p>
    <w:p w14:paraId="1B771084">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1.3 研究内容与论文结构</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3</w:t>
      </w:r>
    </w:p>
    <w:p w14:paraId="3A8AD93E">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1.4 任务书要求与完成情况</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4</w:t>
      </w:r>
    </w:p>
    <w:p w14:paraId="512BFFB5">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1.5 本文创新点</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5</w:t>
      </w:r>
    </w:p>
    <w:p w14:paraId="5DB196D6">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 相关理论与约束建模</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6</w:t>
      </w:r>
    </w:p>
    <w:p w14:paraId="18353248">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2.1 PCB金手指与测试尾板结构</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6</w:t>
      </w:r>
    </w:p>
    <w:p w14:paraId="62BB40AD">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2.2 布点布线数学模型</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6</w:t>
      </w:r>
    </w:p>
    <w:p w14:paraId="0DC0A525">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2.3 基于Tile和网络流思想的尾板等效建模</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7</w:t>
      </w:r>
    </w:p>
    <w:p w14:paraId="7C351A8A">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2.4 约束优先级与合法性判定</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7</w:t>
      </w:r>
    </w:p>
    <w:p w14:paraId="3FE1BD5C">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2.5 文献理论到本文模型的转化</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8</w:t>
      </w:r>
    </w:p>
    <w:p w14:paraId="550F5CF4">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 测试点布点算法设计</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10</w:t>
      </w:r>
    </w:p>
    <w:p w14:paraId="3A369A7A">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3.1 候选点生成</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10</w:t>
      </w:r>
    </w:p>
    <w:p w14:paraId="58E23BF1">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3.2 K-means初始分组</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10</w:t>
      </w:r>
    </w:p>
    <w:p w14:paraId="4572F70C">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3.3 禁忌搜索局部优化</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10</w:t>
      </w:r>
    </w:p>
    <w:p w14:paraId="54D04463">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3.4 改进后的布点目标函数与步骤</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10</w:t>
      </w:r>
    </w:p>
    <w:p w14:paraId="26367C7D">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 布线算法与协同优化</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12</w:t>
      </w:r>
    </w:p>
    <w:p w14:paraId="15DB4D73">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4.1 A*网格布线</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12</w:t>
      </w:r>
    </w:p>
    <w:p w14:paraId="6FFEE2FA">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4.2 布点布线协同优化机制</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12</w:t>
      </w:r>
    </w:p>
    <w:p w14:paraId="2A459772">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4.3 拥塞感知与拆线重布策略</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12</w:t>
      </w:r>
    </w:p>
    <w:p w14:paraId="651DD177">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4.4 分层布线与重布线改进流程</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13</w:t>
      </w:r>
    </w:p>
    <w:p w14:paraId="0962E936">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 系统实现</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14</w:t>
      </w:r>
    </w:p>
    <w:p w14:paraId="2438995C">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5.1 工程结构与运行方式</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14</w:t>
      </w:r>
    </w:p>
    <w:p w14:paraId="3C1933F0">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5.2 输出文件说明</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14</w:t>
      </w:r>
    </w:p>
    <w:p w14:paraId="75AAC6E2">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5.3 关键函数与数据流</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14</w:t>
      </w:r>
    </w:p>
    <w:p w14:paraId="4DAC9A9B">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5.4 文献支撑下的代码模块对应关系</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15</w:t>
      </w:r>
    </w:p>
    <w:p w14:paraId="0B7DED81">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 实验结果与分析</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16</w:t>
      </w:r>
    </w:p>
    <w:p w14:paraId="3D2BDD5A">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6.1 实验设置</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16</w:t>
      </w:r>
    </w:p>
    <w:p w14:paraId="5F07FAAD">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6.2 指标结果</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16</w:t>
      </w:r>
    </w:p>
    <w:p w14:paraId="2C22927E">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6.3 结果分析</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17</w:t>
      </w:r>
    </w:p>
    <w:p w14:paraId="622FAA2D">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6.4 消融实验与对比有效性分析</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18</w:t>
      </w:r>
    </w:p>
    <w:p w14:paraId="68DB9CA6">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6.5 参数与工程适用性讨论</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19</w:t>
      </w:r>
    </w:p>
    <w:p w14:paraId="47483621">
      <w:pPr>
        <w:pageBreakBefore w:val="0"/>
        <w:tabs>
          <w:tab w:val="right" w:leader="dot" w:pos="8617"/>
        </w:tabs>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 总结与展望</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20</w:t>
      </w:r>
    </w:p>
    <w:p w14:paraId="53D73006">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7.1 工作总结</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20</w:t>
      </w:r>
    </w:p>
    <w:p w14:paraId="3083ADEB">
      <w:pPr>
        <w:pageBreakBefore w:val="0"/>
        <w:tabs>
          <w:tab w:val="right" w:leader="dot" w:pos="8617"/>
        </w:tabs>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 xml:space="preserve">    7.2 不足与展望</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20</w:t>
      </w:r>
    </w:p>
    <w:p w14:paraId="13A97185">
      <w:pPr>
        <w:pageBreakBefore w:val="0"/>
        <w:tabs>
          <w:tab w:val="right" w:leader="dot" w:pos="8617"/>
        </w:tabs>
        <w:spacing w:before="0" w:after="0" w:line="400" w:lineRule="exact"/>
        <w:ind w:firstLine="480"/>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参考文献</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22</w:t>
      </w:r>
    </w:p>
    <w:p w14:paraId="1C0CB1E4">
      <w:pPr>
        <w:pageBreakBefore w:val="0"/>
        <w:tabs>
          <w:tab w:val="right" w:leader="dot" w:pos="8617"/>
        </w:tabs>
        <w:spacing w:before="0" w:after="0" w:line="400" w:lineRule="exact"/>
        <w:ind w:firstLine="480"/>
        <w:jc w:val="center"/>
        <w:rPr>
          <w:color w:val="000000" w:themeColor="text1"/>
          <w14:textFill>
            <w14:solidFill>
              <w14:schemeClr w14:val="tx1"/>
            </w14:solidFill>
          </w14:textFill>
        </w:rPr>
        <w:sectPr>
          <w:footerReference r:id="rId5" w:type="default"/>
          <w:headerReference w:type="default" r:id="rId18"/>
          <w:pgSz w:w="11906" w:h="16838"/>
          <w:pgMar w:top="1417" w:right="1134" w:bottom="1134" w:left="1417" w:header="1474" w:footer="1361" w:gutter="0"/>
          <w:pgNumType w:fmt="lowerRoman" w:start="1"/>
          <w:cols w:space="720" w:num="1"/>
          <w:docGrid w:linePitch="360" w:charSpace="0"/>
        </w:sectPr>
      </w:pPr>
      <w:r>
        <w:rPr>
          <w:rFonts w:ascii="宋体" w:hAnsi="宋体" w:eastAsia="宋体"/>
          <w:b w:val="0"/>
          <w:color w:val="000000" w:themeColor="text1"/>
          <w:sz w:val="24"/>
          <w14:textFill>
            <w14:solidFill>
              <w14:schemeClr w14:val="tx1"/>
            </w14:solidFill>
          </w14:textFill>
        </w:rPr>
        <w:t>致谢</w:t>
      </w:r>
      <w:r>
        <w:rPr>
          <w:rFonts w:ascii="宋体" w:hAnsi="宋体" w:eastAsia="宋体"/>
          <w:b w:val="0"/>
          <w:color w:val="000000" w:themeColor="text1"/>
          <w:sz w:val="24"/>
          <w14:textFill>
            <w14:solidFill>
              <w14:schemeClr w14:val="tx1"/>
            </w14:solidFill>
          </w14:textFill>
        </w:rPr>
        <w:tab/>
      </w:r>
      <w:r>
        <w:rPr>
          <w:rFonts w:ascii="宋体" w:hAnsi="宋体" w:eastAsia="宋体"/>
          <w:b w:val="0"/>
          <w:color w:val="000000" w:themeColor="text1"/>
          <w:sz w:val="24"/>
          <w14:textFill>
            <w14:solidFill>
              <w14:schemeClr w14:val="tx1"/>
            </w14:solidFill>
          </w14:textFill>
        </w:rPr>
        <w:t>24</w:t>
      </w:r>
    </w:p>
    <w:p w14:paraId="091A3601">
      <w:pPr>
        <w:pStyle w:val="3"/>
        <w:spacing w:before="200" w:after="200" w:line="400" w:lineRule="exact"/>
        <w:jc w:val="center"/>
        <w:rPr>
          <w:color w:val="000000" w:themeColor="text1"/>
          <w14:textFill>
            <w14:solidFill>
              <w14:schemeClr w14:val="tx1"/>
            </w14:solidFill>
          </w14:textFill>
        </w:rPr>
      </w:pPr>
      <w:commentRangeStart w:id="2"/>
      <w:r>
        <w:rPr>
          <w:rFonts w:ascii="黑体" w:hAnsi="黑体" w:eastAsia="黑体"/>
          <w:b/>
          <w:color w:val="000000" w:themeColor="text1"/>
          <w:sz w:val="36"/>
          <w14:textFill>
            <w14:solidFill>
              <w14:schemeClr w14:val="tx1"/>
            </w14:solidFill>
          </w14:textFill>
        </w:rPr>
        <w:t>1 绪论</w:t>
      </w:r>
      <w:commentRangeEnd w:id="2"/>
      <w:r>
        <w:rPr>
          <w:rStyle w:val="CommentReference"/>
        </w:rPr>
        <w:commentReference w:id="2"/>
      </w:r>
    </w:p>
    <w:p w14:paraId="709CF85C">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1.1 研究背景</w:t>
      </w:r>
    </w:p>
    <w:p w14:paraId="509C32A6">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印制电路板是电子系统的物理承载平台，承担器件安装、网络互连、信号完整性保障和热管理等多重功能。随着服务器、通信设备、工业控制和消费电子产品持续向高速化、小型化和高可靠性方向发展，PCB边缘连接器区域的金手指应用日益普遍。金手指通常采用硬金镀层，位于板边并与插槽、测试夹具或转接板接触，其导通质量直接影响整机连接可靠性。由于金手指区域端子间距小、数量多且信号类型复杂，若生产测试阶段无法高效覆盖全部网络，潜在缺陷可能在后续装配或现场运行中暴露，从而增加返工成本和质量风险。</w:t>
      </w:r>
    </w:p>
    <w:p w14:paraId="59B18A9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测试尾板是围绕被测金手指引出的辅助测试结构，其核心任务是在有限空间内布置可接触测试点，并完成金手指端子到测试点之间的物理连通。相较于普通PCB测试点设计，金手指测试尾板具有三个显著特征：其一，输入端子呈线性密集分布，布线起点高度集中；其二，尾板区域通常受外形、夹具和工艺边界限制，难以通过简单扩大面积解决拥塞；其三，测试点既需满足探针接触要求，又需符合线宽线距、障碍避让和层间切换等制造规则。因此，测试尾板布点布线并非单一几何排布问题，而是布点、布线与规则合法性相互耦合的组合优化问题。</w:t>
      </w:r>
    </w:p>
    <w:p w14:paraId="2D0A5A1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现有工程实践中，测试尾板设计仍较多依赖人工经验。工程师通常先依据金手指数量估算尾板尺寸，再按网格或行列方式放置测试点，随后在EDA工具中反复尝试布线和局部调整。该流程直观，但迭代成本较高；一旦局部区域无法布通，就需要重新调整测试点位置甚至修改尾板尺寸。对于低密度板卡，人工方案尚能满足需求；对于高密度或面积受限场景，经验规则容易造成空间利用不足、线长偏大和局部拥塞。引入自动化布点布线算法，有助于在设计早期快速评估可行性，减少反复试错，并为国产EDA工具中的测试可制造性设计模块提供可复用方法。</w:t>
      </w:r>
    </w:p>
    <w:p w14:paraId="27081C8F">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1.2 国内外研究现状</w:t>
      </w:r>
    </w:p>
    <w:p w14:paraId="3A68379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可测性设计领域长期关注如何在电路设计阶段提高缺陷可观测性和可控制性。Khalil等对电路与系统层面的DFT技术进行了综述，强调在设计阶段插入测试资源能够降低后续测试难度[1]；Shi等提出DeepTPI，将深度强化学习、图神经网络和DQN用于测试点插入位置选择，并把测试覆盖率提升作为奖励目标[2]；Yang等提出利用功能触发器驱动控制测试点，以减少额外测试硬件开销[3]。上述研究为“测试点插入”提供了理论基础，但其对象主要是芯片级逻辑网络，测试点位置对应逻辑节点，而本文面向PCB金手指尾板，测试点位置对应二维几何空间中的可接触焊盘，因此需要把TPI思想转换为“候选点选择+几何合法性+布线可达性”的组合优化问题。</w:t>
      </w:r>
    </w:p>
    <w:p w14:paraId="2DFD2401">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CB自动布线研究通常可从多个维度划分：按流程可分为全局布线和细节布线，按连接目标可分为两端布线和多端布线，按场景可分为逃逸布线和通道布线，按建模方式可分为网格布线、无网格布线、基于图布线和基于图形布线。Lee迷宫算法、Hightower逃逸线算法、Soukup算法和Hadlock算法代表了传统路径搜索方法</w:t>
      </w:r>
      <w:r>
        <w:rPr>
          <w:rFonts w:ascii="宋体" w:hAnsi="宋体" w:eastAsia="宋体"/>
          <w:b w:val="0"/>
          <w:color w:val="000000" w:themeColor="text1"/>
          <w:sz w:val="24"/>
          <w:vertAlign w:val="superscript"/>
          <w14:textFill>
            <w14:solidFill>
              <w14:schemeClr w14:val="tx1"/>
            </w14:solidFill>
          </w14:textFill>
        </w:rPr>
        <w:t>[8-11]</w:t>
      </w:r>
      <w:r>
        <w:rPr>
          <w:rFonts w:ascii="宋体" w:hAnsi="宋体" w:eastAsia="宋体"/>
          <w:b w:val="0"/>
          <w:color w:val="000000" w:themeColor="text1"/>
          <w:sz w:val="24"/>
          <w14:textFill>
            <w14:solidFill>
              <w14:schemeClr w14:val="tx1"/>
            </w14:solidFill>
          </w14:textFill>
        </w:rPr>
        <w:t>，具有规则清晰、易实现的特点，但在高密度场景下面临搜索空间大、计算耗时高和线序敏感等问题。Yan和Wong指出，逃逸布线、等长布线和网络流建模是PCB布线研究中的重要方向</w:t>
      </w:r>
      <w:r>
        <w:rPr>
          <w:rFonts w:ascii="宋体" w:hAnsi="宋体" w:eastAsia="宋体"/>
          <w:b w:val="0"/>
          <w:color w:val="000000" w:themeColor="text1"/>
          <w:sz w:val="24"/>
          <w:vertAlign w:val="superscript"/>
          <w14:textFill>
            <w14:solidFill>
              <w14:schemeClr w14:val="tx1"/>
            </w14:solidFill>
          </w14:textFill>
        </w:rPr>
        <w:t>[4]</w:t>
      </w:r>
      <w:r>
        <w:rPr>
          <w:rFonts w:ascii="宋体" w:hAnsi="宋体" w:eastAsia="宋体"/>
          <w:b w:val="0"/>
          <w:color w:val="000000" w:themeColor="text1"/>
          <w:sz w:val="24"/>
          <w14:textFill>
            <w14:solidFill>
              <w14:schemeClr w14:val="tx1"/>
            </w14:solidFill>
          </w14:textFill>
        </w:rPr>
        <w:t>；Chen等基于线性规划提出合法化布线算法，为复杂设计规则下的约束处理提供了参考</w:t>
      </w:r>
      <w:r>
        <w:rPr>
          <w:rFonts w:ascii="宋体" w:hAnsi="宋体" w:eastAsia="宋体"/>
          <w:b w:val="0"/>
          <w:color w:val="000000" w:themeColor="text1"/>
          <w:sz w:val="24"/>
          <w:vertAlign w:val="superscript"/>
          <w14:textFill>
            <w14:solidFill>
              <w14:schemeClr w14:val="tx1"/>
            </w14:solidFill>
          </w14:textFill>
        </w:rPr>
        <w:t>[5]</w:t>
      </w:r>
      <w:r>
        <w:rPr>
          <w:rFonts w:ascii="宋体" w:hAnsi="宋体" w:eastAsia="宋体"/>
          <w:b w:val="0"/>
          <w:color w:val="000000" w:themeColor="text1"/>
          <w:sz w:val="24"/>
          <w14:textFill>
            <w14:solidFill>
              <w14:schemeClr w14:val="tx1"/>
            </w14:solidFill>
          </w14:textFill>
        </w:rPr>
        <w:t>。在学习型EDA方面，NS-Place面向PCB布局引入神经网络分离思想</w:t>
      </w:r>
      <w:r>
        <w:rPr>
          <w:rFonts w:ascii="宋体" w:hAnsi="宋体" w:eastAsia="宋体"/>
          <w:b w:val="0"/>
          <w:color w:val="000000" w:themeColor="text1"/>
          <w:sz w:val="24"/>
          <w:vertAlign w:val="superscript"/>
          <w14:textFill>
            <w14:solidFill>
              <w14:schemeClr w14:val="tx1"/>
            </w14:solidFill>
          </w14:textFill>
        </w:rPr>
        <w:t>[6]</w:t>
      </w:r>
      <w:r>
        <w:rPr>
          <w:rFonts w:ascii="宋体" w:hAnsi="宋体" w:eastAsia="宋体"/>
          <w:b w:val="0"/>
          <w:color w:val="000000" w:themeColor="text1"/>
          <w:sz w:val="24"/>
          <w14:textFill>
            <w14:solidFill>
              <w14:schemeClr w14:val="tx1"/>
            </w14:solidFill>
          </w14:textFill>
        </w:rPr>
        <w:t>，DREAMPlace展示了深度学习工具链和GPU加速在大规模布局优化中的可行性</w:t>
      </w:r>
      <w:r>
        <w:rPr>
          <w:rFonts w:ascii="宋体" w:hAnsi="宋体" w:eastAsia="宋体"/>
          <w:b w:val="0"/>
          <w:color w:val="000000" w:themeColor="text1"/>
          <w:sz w:val="24"/>
          <w:vertAlign w:val="superscript"/>
          <w14:textFill>
            <w14:solidFill>
              <w14:schemeClr w14:val="tx1"/>
            </w14:solidFill>
          </w14:textFill>
        </w:rPr>
        <w:t>[12]</w:t>
      </w:r>
      <w:r>
        <w:rPr>
          <w:rFonts w:ascii="宋体" w:hAnsi="宋体" w:eastAsia="宋体"/>
          <w:b w:val="0"/>
          <w:color w:val="000000" w:themeColor="text1"/>
          <w:sz w:val="24"/>
          <w14:textFill>
            <w14:solidFill>
              <w14:schemeClr w14:val="tx1"/>
            </w14:solidFill>
          </w14:textFill>
        </w:rPr>
        <w:t>，Martins对机器学习和深度学习在模拟集成电路布局综合中的应用进行了综述</w:t>
      </w:r>
      <w:r>
        <w:rPr>
          <w:rFonts w:ascii="宋体" w:hAnsi="宋体" w:eastAsia="宋体"/>
          <w:b w:val="0"/>
          <w:color w:val="000000" w:themeColor="text1"/>
          <w:sz w:val="24"/>
          <w:vertAlign w:val="superscript"/>
          <w14:textFill>
            <w14:solidFill>
              <w14:schemeClr w14:val="tx1"/>
            </w14:solidFill>
          </w14:textFill>
        </w:rPr>
        <w:t>[7]</w:t>
      </w:r>
      <w:r>
        <w:rPr>
          <w:rFonts w:ascii="宋体" w:hAnsi="宋体" w:eastAsia="宋体"/>
          <w:b w:val="0"/>
          <w:color w:val="000000" w:themeColor="text1"/>
          <w:sz w:val="24"/>
          <w14:textFill>
            <w14:solidFill>
              <w14:schemeClr w14:val="tx1"/>
            </w14:solidFill>
          </w14:textFill>
        </w:rPr>
        <w:t>。这些研究说明，学习型或神经网络辅助方法正在从芯片布局逐步拓展到PCB/EDA场景，但在本科毕业设计阶段，仍需结合数据规模和实现条件选择可解释的启发式算法。</w:t>
      </w:r>
    </w:p>
    <w:p w14:paraId="4632035A">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结合本文选题，相关国内PCB自动布线研究文献对金手指测试尾板具有直接借鉴价值。胡木森提出基于网络流建模的高性能自动布线方法，将可布线区域抽象为带容量的图结构，并通过预布线动态更新拥塞信息[17]；刘自铭在多层PCB布线中引入蚁群信息素、启发系数、多轮次布线和基于阻塞度的拆线重布策略，关注布通率、过孔、拐点和拥塞均匀性[18]；郑杰提出基于PCB布线领域模型的自动布线系统，把连续人工布线信息转化为离散语义序列，强调学习人工布线范式[19]；白胜泷将Transformer模型与改进A-star算法结合，用学习策略提升逃逸布线的布通率和稳定性[20]；李晓欣的PCB自动布局布线器研究则为PSO、混合优化和绕障布线的工程实现提供了参考[15]。</w:t>
      </w:r>
    </w:p>
    <w:p w14:paraId="4FA5E5C6">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综上，现有PCB自动布线研究已经形成较完整的理论体系，但多数方法以通用PCB、芯片逃逸或多层板走线为对象，对“端子线性密集、测试点需可接触、尾板面积受夹具限制、布点和布线高度耦合”的测试尾板场景关注不足。因此，本文并非直接套用通用自动布线器，而是将网络流中的容量思想、领域模型中的区域划分思想、蚁群算法中的拥塞反馈思想和线性规划合法化中的约束分层思想转化为轻量化规则，并嵌入C++可运行原型，以满足本科毕业设计对算法可解释性、可复现性和工程适用性的要求。</w:t>
      </w:r>
    </w:p>
    <w:p w14:paraId="4536D2A4">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1-1 主要文献理论来源与本文落地方式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6587681">
        <w:trPr>
          <w:tblHeader/>
          <w:jc w:val="center"/>
        </w:trPr>
        <w:tc>
          <w:tcPr>
            <w:tcW w:w="2268" w:type="dxa"/>
            <w:vAlign w:val="center"/>
          </w:tcPr>
          <w:p w14:paraId="5279EC7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文献类别</w:t>
            </w:r>
          </w:p>
        </w:tc>
        <w:tc>
          <w:tcPr>
            <w:tcW w:w="2268" w:type="dxa"/>
            <w:vAlign w:val="center"/>
          </w:tcPr>
          <w:p w14:paraId="7B03D53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代表文献</w:t>
            </w:r>
          </w:p>
        </w:tc>
        <w:tc>
          <w:tcPr>
            <w:tcW w:w="2268" w:type="dxa"/>
            <w:vAlign w:val="center"/>
          </w:tcPr>
          <w:p w14:paraId="392F76F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核心理论/方法</w:t>
            </w:r>
          </w:p>
        </w:tc>
        <w:tc>
          <w:tcPr>
            <w:tcW w:w="2268" w:type="dxa"/>
            <w:vAlign w:val="center"/>
          </w:tcPr>
          <w:p w14:paraId="4D8E7A0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本文采用方式</w:t>
            </w:r>
          </w:p>
        </w:tc>
      </w:tr>
      <w:tr w14:paraId="59E0A784">
        <w:trPr>
          <w:jc w:val="center"/>
        </w:trPr>
        <w:tc>
          <w:tcPr>
            <w:tcW w:w="2268" w:type="dxa"/>
            <w:vAlign w:val="center"/>
          </w:tcPr>
          <w:p w14:paraId="3088FBD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DFT与TPI</w:t>
            </w:r>
          </w:p>
        </w:tc>
        <w:tc>
          <w:tcPr>
            <w:tcW w:w="2268" w:type="dxa"/>
            <w:vAlign w:val="center"/>
          </w:tcPr>
          <w:p w14:paraId="48C1BD4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Khalil等</w:t>
            </w:r>
            <w:r>
              <w:rPr>
                <w:rFonts w:ascii="宋体" w:hAnsi="宋体" w:eastAsia="宋体"/>
                <w:b w:val="0"/>
                <w:color w:val="000000" w:themeColor="text1"/>
                <w:sz w:val="24"/>
                <w:vertAlign w:val="superscript"/>
                <w14:textFill>
                  <w14:solidFill>
                    <w14:schemeClr w14:val="tx1"/>
                  </w14:solidFill>
                </w14:textFill>
              </w:rPr>
              <w:t>[1]</w:t>
            </w:r>
            <w:r>
              <w:rPr>
                <w:rFonts w:ascii="宋体" w:hAnsi="宋体" w:eastAsia="宋体"/>
                <w:b w:val="0"/>
                <w:color w:val="000000" w:themeColor="text1"/>
                <w:sz w:val="24"/>
                <w14:textFill>
                  <w14:solidFill>
                    <w14:schemeClr w14:val="tx1"/>
                  </w14:solidFill>
                </w14:textFill>
              </w:rPr>
              <w:t>、Yang等</w:t>
            </w:r>
            <w:r>
              <w:rPr>
                <w:rFonts w:ascii="宋体" w:hAnsi="宋体" w:eastAsia="宋体"/>
                <w:b w:val="0"/>
                <w:color w:val="000000" w:themeColor="text1"/>
                <w:sz w:val="24"/>
                <w:vertAlign w:val="superscript"/>
                <w14:textFill>
                  <w14:solidFill>
                    <w14:schemeClr w14:val="tx1"/>
                  </w14:solidFill>
                </w14:textFill>
              </w:rPr>
              <w:t>[3]</w:t>
            </w:r>
            <w:r>
              <w:rPr>
                <w:rFonts w:ascii="宋体" w:hAnsi="宋体" w:eastAsia="宋体"/>
                <w:b w:val="0"/>
                <w:color w:val="000000" w:themeColor="text1"/>
                <w:sz w:val="24"/>
                <w14:textFill>
                  <w14:solidFill>
                    <w14:schemeClr w14:val="tx1"/>
                  </w14:solidFill>
                </w14:textFill>
              </w:rPr>
              <w:t>、Shi等</w:t>
            </w:r>
            <w:r>
              <w:rPr>
                <w:rFonts w:ascii="宋体" w:hAnsi="宋体" w:eastAsia="宋体"/>
                <w:b w:val="0"/>
                <w:color w:val="000000" w:themeColor="text1"/>
                <w:sz w:val="24"/>
                <w:vertAlign w:val="superscript"/>
                <w14:textFill>
                  <w14:solidFill>
                    <w14:schemeClr w14:val="tx1"/>
                  </w14:solidFill>
                </w14:textFill>
              </w:rPr>
              <w:t>[2]</w:t>
            </w:r>
          </w:p>
        </w:tc>
        <w:tc>
          <w:tcPr>
            <w:tcW w:w="2268" w:type="dxa"/>
            <w:vAlign w:val="center"/>
          </w:tcPr>
          <w:p w14:paraId="49E2A70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测试点插入、控制/观察点、图强化学习选择策略</w:t>
            </w:r>
          </w:p>
        </w:tc>
        <w:tc>
          <w:tcPr>
            <w:tcW w:w="2268" w:type="dxa"/>
            <w:vAlign w:val="center"/>
          </w:tcPr>
          <w:p w14:paraId="4A97F40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把“节点级TPI”转化为“几何候选点选择”，以覆盖率和可达性作为首要指标</w:t>
            </w:r>
          </w:p>
        </w:tc>
      </w:tr>
      <w:tr w14:paraId="37A5080D">
        <w:trPr>
          <w:jc w:val="center"/>
        </w:trPr>
        <w:tc>
          <w:tcPr>
            <w:tcW w:w="2268" w:type="dxa"/>
            <w:vAlign w:val="center"/>
          </w:tcPr>
          <w:p w14:paraId="1C23CB2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经典PCB布线</w:t>
            </w:r>
          </w:p>
        </w:tc>
        <w:tc>
          <w:tcPr>
            <w:tcW w:w="2268" w:type="dxa"/>
            <w:vAlign w:val="center"/>
          </w:tcPr>
          <w:p w14:paraId="0BB225A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Lee</w:t>
            </w:r>
            <w:r>
              <w:rPr>
                <w:rFonts w:ascii="宋体" w:hAnsi="宋体" w:eastAsia="宋体"/>
                <w:b w:val="0"/>
                <w:color w:val="000000" w:themeColor="text1"/>
                <w:sz w:val="24"/>
                <w:vertAlign w:val="superscript"/>
                <w14:textFill>
                  <w14:solidFill>
                    <w14:schemeClr w14:val="tx1"/>
                  </w14:solidFill>
                </w14:textFill>
              </w:rPr>
              <w:t>[8]</w:t>
            </w:r>
            <w:r>
              <w:rPr>
                <w:rFonts w:ascii="宋体" w:hAnsi="宋体" w:eastAsia="宋体"/>
                <w:b w:val="0"/>
                <w:color w:val="000000" w:themeColor="text1"/>
                <w:sz w:val="24"/>
                <w14:textFill>
                  <w14:solidFill>
                    <w14:schemeClr w14:val="tx1"/>
                  </w14:solidFill>
                </w14:textFill>
              </w:rPr>
              <w:t>、Hightower</w:t>
            </w:r>
            <w:r>
              <w:rPr>
                <w:rFonts w:ascii="宋体" w:hAnsi="宋体" w:eastAsia="宋体"/>
                <w:b w:val="0"/>
                <w:color w:val="000000" w:themeColor="text1"/>
                <w:sz w:val="24"/>
                <w:vertAlign w:val="superscript"/>
                <w14:textFill>
                  <w14:solidFill>
                    <w14:schemeClr w14:val="tx1"/>
                  </w14:solidFill>
                </w14:textFill>
              </w:rPr>
              <w:t>[9]</w:t>
            </w:r>
            <w:r>
              <w:rPr>
                <w:rFonts w:ascii="宋体" w:hAnsi="宋体" w:eastAsia="宋体"/>
                <w:b w:val="0"/>
                <w:color w:val="000000" w:themeColor="text1"/>
                <w:sz w:val="24"/>
                <w14:textFill>
                  <w14:solidFill>
                    <w14:schemeClr w14:val="tx1"/>
                  </w14:solidFill>
                </w14:textFill>
              </w:rPr>
              <w:t>、Soukup</w:t>
            </w:r>
            <w:r>
              <w:rPr>
                <w:rFonts w:ascii="宋体" w:hAnsi="宋体" w:eastAsia="宋体"/>
                <w:b w:val="0"/>
                <w:color w:val="000000" w:themeColor="text1"/>
                <w:sz w:val="24"/>
                <w:vertAlign w:val="superscript"/>
                <w14:textFill>
                  <w14:solidFill>
                    <w14:schemeClr w14:val="tx1"/>
                  </w14:solidFill>
                </w14:textFill>
              </w:rPr>
              <w:t>[10]</w:t>
            </w:r>
            <w:r>
              <w:rPr>
                <w:rFonts w:ascii="宋体" w:hAnsi="宋体" w:eastAsia="宋体"/>
                <w:b w:val="0"/>
                <w:color w:val="000000" w:themeColor="text1"/>
                <w:sz w:val="24"/>
                <w14:textFill>
                  <w14:solidFill>
                    <w14:schemeClr w14:val="tx1"/>
                  </w14:solidFill>
                </w14:textFill>
              </w:rPr>
              <w:t>、Hadlock</w:t>
            </w:r>
            <w:r>
              <w:rPr>
                <w:rFonts w:ascii="宋体" w:hAnsi="宋体" w:eastAsia="宋体"/>
                <w:b w:val="0"/>
                <w:color w:val="000000" w:themeColor="text1"/>
                <w:sz w:val="24"/>
                <w:vertAlign w:val="superscript"/>
                <w14:textFill>
                  <w14:solidFill>
                    <w14:schemeClr w14:val="tx1"/>
                  </w14:solidFill>
                </w14:textFill>
              </w:rPr>
              <w:t>[11]</w:t>
            </w:r>
            <w:r>
              <w:rPr>
                <w:rFonts w:ascii="宋体" w:hAnsi="宋体" w:eastAsia="宋体"/>
                <w:b w:val="0"/>
                <w:color w:val="000000" w:themeColor="text1"/>
                <w:sz w:val="24"/>
                <w14:textFill>
                  <w14:solidFill>
                    <w14:schemeClr w14:val="tx1"/>
                  </w14:solidFill>
                </w14:textFill>
              </w:rPr>
              <w:t>、Yan和Wong</w:t>
            </w:r>
            <w:r>
              <w:rPr>
                <w:rFonts w:ascii="宋体" w:hAnsi="宋体" w:eastAsia="宋体"/>
                <w:b w:val="0"/>
                <w:color w:val="000000" w:themeColor="text1"/>
                <w:sz w:val="24"/>
                <w:vertAlign w:val="superscript"/>
                <w14:textFill>
                  <w14:solidFill>
                    <w14:schemeClr w14:val="tx1"/>
                  </w14:solidFill>
                </w14:textFill>
              </w:rPr>
              <w:t>[4]</w:t>
            </w:r>
          </w:p>
        </w:tc>
        <w:tc>
          <w:tcPr>
            <w:tcW w:w="2268" w:type="dxa"/>
            <w:vAlign w:val="center"/>
          </w:tcPr>
          <w:p w14:paraId="231A223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网格搜索、逃逸布线、启发式最短路径、综述框架</w:t>
            </w:r>
          </w:p>
        </w:tc>
        <w:tc>
          <w:tcPr>
            <w:tcW w:w="2268" w:type="dxa"/>
            <w:vAlign w:val="center"/>
          </w:tcPr>
          <w:p w14:paraId="6AB7579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采用A*网格布线作为细节路径搜索核心，并设置障碍避让和线长指标</w:t>
            </w:r>
          </w:p>
        </w:tc>
      </w:tr>
      <w:tr w14:paraId="7A267144">
        <w:trPr>
          <w:jc w:val="center"/>
        </w:trPr>
        <w:tc>
          <w:tcPr>
            <w:tcW w:w="2268" w:type="dxa"/>
            <w:vAlign w:val="center"/>
          </w:tcPr>
          <w:p w14:paraId="63131D2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合法化与约束处理</w:t>
            </w:r>
          </w:p>
        </w:tc>
        <w:tc>
          <w:tcPr>
            <w:tcW w:w="2268" w:type="dxa"/>
            <w:vAlign w:val="center"/>
          </w:tcPr>
          <w:p w14:paraId="152940C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Chen等</w:t>
            </w:r>
            <w:r>
              <w:rPr>
                <w:rFonts w:ascii="宋体" w:hAnsi="宋体" w:eastAsia="宋体"/>
                <w:b w:val="0"/>
                <w:color w:val="000000" w:themeColor="text1"/>
                <w:sz w:val="24"/>
                <w:vertAlign w:val="superscript"/>
                <w14:textFill>
                  <w14:solidFill>
                    <w14:schemeClr w14:val="tx1"/>
                  </w14:solidFill>
                </w14:textFill>
              </w:rPr>
              <w:t>[5]</w:t>
            </w:r>
            <w:r>
              <w:rPr>
                <w:rFonts w:ascii="宋体" w:hAnsi="宋体" w:eastAsia="宋体"/>
                <w:b w:val="0"/>
                <w:color w:val="000000" w:themeColor="text1"/>
                <w:sz w:val="24"/>
                <w14:textFill>
                  <w14:solidFill>
                    <w14:schemeClr w14:val="tx1"/>
                  </w14:solidFill>
                </w14:textFill>
              </w:rPr>
              <w:t>、IPC-2221B</w:t>
            </w:r>
            <w:r>
              <w:rPr>
                <w:rFonts w:ascii="宋体" w:hAnsi="宋体" w:eastAsia="宋体"/>
                <w:b w:val="0"/>
                <w:color w:val="000000" w:themeColor="text1"/>
                <w:sz w:val="24"/>
                <w:vertAlign w:val="superscript"/>
                <w14:textFill>
                  <w14:solidFill>
                    <w14:schemeClr w14:val="tx1"/>
                  </w14:solidFill>
                </w14:textFill>
              </w:rPr>
              <w:t>[13]</w:t>
            </w:r>
            <w:r>
              <w:rPr>
                <w:rFonts w:ascii="宋体" w:hAnsi="宋体" w:eastAsia="宋体"/>
                <w:b w:val="0"/>
                <w:color w:val="000000" w:themeColor="text1"/>
                <w:sz w:val="24"/>
                <w14:textFill>
                  <w14:solidFill>
                    <w14:schemeClr w14:val="tx1"/>
                  </w14:solidFill>
                </w14:textFill>
              </w:rPr>
              <w:t>、IPC-A-600</w:t>
            </w:r>
            <w:r>
              <w:rPr>
                <w:rFonts w:ascii="宋体" w:hAnsi="宋体" w:eastAsia="宋体"/>
                <w:b w:val="0"/>
                <w:color w:val="000000" w:themeColor="text1"/>
                <w:sz w:val="24"/>
                <w:vertAlign w:val="superscript"/>
                <w14:textFill>
                  <w14:solidFill>
                    <w14:schemeClr w14:val="tx1"/>
                  </w14:solidFill>
                </w14:textFill>
              </w:rPr>
              <w:t>[14]</w:t>
            </w:r>
          </w:p>
        </w:tc>
        <w:tc>
          <w:tcPr>
            <w:tcW w:w="2268" w:type="dxa"/>
            <w:vAlign w:val="center"/>
          </w:tcPr>
          <w:p w14:paraId="3114B9F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线性规划合法化、设计规则、制造验收约束</w:t>
            </w:r>
          </w:p>
        </w:tc>
        <w:tc>
          <w:tcPr>
            <w:tcW w:w="2268" w:type="dxa"/>
            <w:vAlign w:val="center"/>
          </w:tcPr>
          <w:p w14:paraId="58C70D2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区分硬约束、半硬约束和软目标，形成规则库与违规统计</w:t>
            </w:r>
          </w:p>
        </w:tc>
      </w:tr>
      <w:tr w14:paraId="1D99BFCA">
        <w:trPr>
          <w:jc w:val="center"/>
        </w:trPr>
        <w:tc>
          <w:tcPr>
            <w:tcW w:w="2268" w:type="dxa"/>
            <w:vAlign w:val="center"/>
          </w:tcPr>
          <w:p w14:paraId="2DE1E74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网络流与拥塞建模</w:t>
            </w:r>
          </w:p>
        </w:tc>
        <w:tc>
          <w:tcPr>
            <w:tcW w:w="2268" w:type="dxa"/>
            <w:vAlign w:val="center"/>
          </w:tcPr>
          <w:p w14:paraId="2B7E97A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胡木森</w:t>
            </w:r>
            <w:r>
              <w:rPr>
                <w:rFonts w:ascii="宋体" w:hAnsi="宋体" w:eastAsia="宋体"/>
                <w:b w:val="0"/>
                <w:color w:val="000000" w:themeColor="text1"/>
                <w:sz w:val="24"/>
                <w:vertAlign w:val="superscript"/>
                <w14:textFill>
                  <w14:solidFill>
                    <w14:schemeClr w14:val="tx1"/>
                  </w14:solidFill>
                </w14:textFill>
              </w:rPr>
              <w:t>[17]</w:t>
            </w:r>
          </w:p>
        </w:tc>
        <w:tc>
          <w:tcPr>
            <w:tcW w:w="2268" w:type="dxa"/>
            <w:vAlign w:val="center"/>
          </w:tcPr>
          <w:p w14:paraId="479164F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Tile/区域容量、流分配、预布线拥塞更新</w:t>
            </w:r>
          </w:p>
        </w:tc>
        <w:tc>
          <w:tcPr>
            <w:tcW w:w="2268" w:type="dxa"/>
            <w:vAlign w:val="center"/>
          </w:tcPr>
          <w:p w14:paraId="14A447D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建立Tile容量解释层和拥塞矩阵，用动态代价指导重布线</w:t>
            </w:r>
          </w:p>
        </w:tc>
      </w:tr>
      <w:tr w14:paraId="34942D8B">
        <w:trPr>
          <w:jc w:val="center"/>
        </w:trPr>
        <w:tc>
          <w:tcPr>
            <w:tcW w:w="2268" w:type="dxa"/>
            <w:vAlign w:val="center"/>
          </w:tcPr>
          <w:p w14:paraId="48D30C5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智能优化与拆线重布</w:t>
            </w:r>
          </w:p>
        </w:tc>
        <w:tc>
          <w:tcPr>
            <w:tcW w:w="2268" w:type="dxa"/>
            <w:vAlign w:val="center"/>
          </w:tcPr>
          <w:p w14:paraId="766D5A8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刘自铭</w:t>
            </w:r>
            <w:r>
              <w:rPr>
                <w:rFonts w:ascii="宋体" w:hAnsi="宋体" w:eastAsia="宋体"/>
                <w:b w:val="0"/>
                <w:color w:val="000000" w:themeColor="text1"/>
                <w:sz w:val="24"/>
                <w:vertAlign w:val="superscript"/>
                <w14:textFill>
                  <w14:solidFill>
                    <w14:schemeClr w14:val="tx1"/>
                  </w14:solidFill>
                </w14:textFill>
              </w:rPr>
              <w:t>[18]</w:t>
            </w:r>
            <w:r>
              <w:rPr>
                <w:rFonts w:ascii="宋体" w:hAnsi="宋体" w:eastAsia="宋体"/>
                <w:b w:val="0"/>
                <w:color w:val="000000" w:themeColor="text1"/>
                <w:sz w:val="24"/>
                <w14:textFill>
                  <w14:solidFill>
                    <w14:schemeClr w14:val="tx1"/>
                  </w14:solidFill>
                </w14:textFill>
              </w:rPr>
              <w:t>、王磊</w:t>
            </w:r>
            <w:r>
              <w:rPr>
                <w:rFonts w:ascii="宋体" w:hAnsi="宋体" w:eastAsia="宋体"/>
                <w:b w:val="0"/>
                <w:color w:val="000000" w:themeColor="text1"/>
                <w:sz w:val="24"/>
                <w:vertAlign w:val="superscript"/>
                <w14:textFill>
                  <w14:solidFill>
                    <w14:schemeClr w14:val="tx1"/>
                  </w14:solidFill>
                </w14:textFill>
              </w:rPr>
              <w:t>[16]</w:t>
            </w:r>
          </w:p>
        </w:tc>
        <w:tc>
          <w:tcPr>
            <w:tcW w:w="2268" w:type="dxa"/>
            <w:vAlign w:val="center"/>
          </w:tcPr>
          <w:p w14:paraId="1491593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蚁群信息素、多轮次布线、阻塞度拆线重布</w:t>
            </w:r>
          </w:p>
        </w:tc>
        <w:tc>
          <w:tcPr>
            <w:tcW w:w="2268" w:type="dxa"/>
            <w:vAlign w:val="center"/>
          </w:tcPr>
          <w:p w14:paraId="07AD202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把网格占用次数类比为信息素浓度，对热点区域提高通过代价</w:t>
            </w:r>
          </w:p>
        </w:tc>
      </w:tr>
      <w:tr w14:paraId="0C6A3C90">
        <w:trPr>
          <w:jc w:val="center"/>
        </w:trPr>
        <w:tc>
          <w:tcPr>
            <w:tcW w:w="2268" w:type="dxa"/>
            <w:vAlign w:val="center"/>
          </w:tcPr>
          <w:p w14:paraId="2E5F911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领域模型与学习型布线</w:t>
            </w:r>
          </w:p>
        </w:tc>
        <w:tc>
          <w:tcPr>
            <w:tcW w:w="2268" w:type="dxa"/>
            <w:vAlign w:val="center"/>
          </w:tcPr>
          <w:p w14:paraId="05E4E3C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郑杰</w:t>
            </w:r>
            <w:r>
              <w:rPr>
                <w:rFonts w:ascii="宋体" w:hAnsi="宋体" w:eastAsia="宋体"/>
                <w:b w:val="0"/>
                <w:color w:val="000000" w:themeColor="text1"/>
                <w:sz w:val="24"/>
                <w:vertAlign w:val="superscript"/>
                <w14:textFill>
                  <w14:solidFill>
                    <w14:schemeClr w14:val="tx1"/>
                  </w14:solidFill>
                </w14:textFill>
              </w:rPr>
              <w:t>[19]</w:t>
            </w:r>
            <w:r>
              <w:rPr>
                <w:rFonts w:ascii="宋体" w:hAnsi="宋体" w:eastAsia="宋体"/>
                <w:b w:val="0"/>
                <w:color w:val="000000" w:themeColor="text1"/>
                <w:sz w:val="24"/>
                <w14:textFill>
                  <w14:solidFill>
                    <w14:schemeClr w14:val="tx1"/>
                  </w14:solidFill>
                </w14:textFill>
              </w:rPr>
              <w:t>、白胜泷</w:t>
            </w:r>
            <w:r>
              <w:rPr>
                <w:rFonts w:ascii="宋体" w:hAnsi="宋体" w:eastAsia="宋体"/>
                <w:b w:val="0"/>
                <w:color w:val="000000" w:themeColor="text1"/>
                <w:sz w:val="24"/>
                <w:vertAlign w:val="superscript"/>
                <w14:textFill>
                  <w14:solidFill>
                    <w14:schemeClr w14:val="tx1"/>
                  </w14:solidFill>
                </w14:textFill>
              </w:rPr>
              <w:t>[20]</w:t>
            </w:r>
            <w:r>
              <w:rPr>
                <w:rFonts w:ascii="宋体" w:hAnsi="宋体" w:eastAsia="宋体"/>
                <w:b w:val="0"/>
                <w:color w:val="000000" w:themeColor="text1"/>
                <w:sz w:val="24"/>
                <w14:textFill>
                  <w14:solidFill>
                    <w14:schemeClr w14:val="tx1"/>
                  </w14:solidFill>
                </w14:textFill>
              </w:rPr>
              <w:t>、Zhao等</w:t>
            </w:r>
            <w:r>
              <w:rPr>
                <w:rFonts w:ascii="宋体" w:hAnsi="宋体" w:eastAsia="宋体"/>
                <w:b w:val="0"/>
                <w:color w:val="000000" w:themeColor="text1"/>
                <w:sz w:val="24"/>
                <w:vertAlign w:val="superscript"/>
                <w14:textFill>
                  <w14:solidFill>
                    <w14:schemeClr w14:val="tx1"/>
                  </w14:solidFill>
                </w14:textFill>
              </w:rPr>
              <w:t>[6]</w:t>
            </w:r>
            <w:r>
              <w:rPr>
                <w:rFonts w:ascii="宋体" w:hAnsi="宋体" w:eastAsia="宋体"/>
                <w:b w:val="0"/>
                <w:color w:val="000000" w:themeColor="text1"/>
                <w:sz w:val="24"/>
                <w14:textFill>
                  <w14:solidFill>
                    <w14:schemeClr w14:val="tx1"/>
                  </w14:solidFill>
                </w14:textFill>
              </w:rPr>
              <w:t>、Martins</w:t>
            </w:r>
            <w:r>
              <w:rPr>
                <w:rFonts w:ascii="宋体" w:hAnsi="宋体" w:eastAsia="宋体"/>
                <w:b w:val="0"/>
                <w:color w:val="000000" w:themeColor="text1"/>
                <w:sz w:val="24"/>
                <w:vertAlign w:val="superscript"/>
                <w14:textFill>
                  <w14:solidFill>
                    <w14:schemeClr w14:val="tx1"/>
                  </w14:solidFill>
                </w14:textFill>
              </w:rPr>
              <w:t>[7]</w:t>
            </w:r>
          </w:p>
        </w:tc>
        <w:tc>
          <w:tcPr>
            <w:tcW w:w="2268" w:type="dxa"/>
            <w:vAlign w:val="center"/>
          </w:tcPr>
          <w:p w14:paraId="241E231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语义编码、Transformer-A*融合、神经网络辅助布局布线</w:t>
            </w:r>
          </w:p>
        </w:tc>
        <w:tc>
          <w:tcPr>
            <w:tcW w:w="2268" w:type="dxa"/>
            <w:vAlign w:val="center"/>
          </w:tcPr>
          <w:p w14:paraId="108B364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当前不训练模型，但保留分区、语义指标和后续学习接口</w:t>
            </w:r>
          </w:p>
        </w:tc>
      </w:tr>
      <w:tr w14:paraId="1163DDD1">
        <w:trPr>
          <w:jc w:val="center"/>
        </w:trPr>
        <w:tc>
          <w:tcPr>
            <w:tcW w:w="2268" w:type="dxa"/>
            <w:vAlign w:val="center"/>
          </w:tcPr>
          <w:p w14:paraId="2AAD52A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金手指与DFT工程文档</w:t>
            </w:r>
          </w:p>
        </w:tc>
        <w:tc>
          <w:tcPr>
            <w:tcW w:w="2268" w:type="dxa"/>
            <w:vAlign w:val="center"/>
          </w:tcPr>
          <w:p w14:paraId="4A5468B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PCBCart</w:t>
            </w:r>
            <w:r>
              <w:rPr>
                <w:rFonts w:ascii="宋体" w:hAnsi="宋体" w:eastAsia="宋体"/>
                <w:b w:val="0"/>
                <w:color w:val="000000" w:themeColor="text1"/>
                <w:sz w:val="24"/>
                <w:vertAlign w:val="superscript"/>
                <w14:textFill>
                  <w14:solidFill>
                    <w14:schemeClr w14:val="tx1"/>
                  </w14:solidFill>
                </w14:textFill>
              </w:rPr>
              <w:t>[21]</w:t>
            </w:r>
            <w:r>
              <w:rPr>
                <w:rFonts w:ascii="宋体" w:hAnsi="宋体" w:eastAsia="宋体"/>
                <w:b w:val="0"/>
                <w:color w:val="000000" w:themeColor="text1"/>
                <w:sz w:val="24"/>
                <w14:textFill>
                  <w14:solidFill>
                    <w14:schemeClr w14:val="tx1"/>
                  </w14:solidFill>
                </w14:textFill>
              </w:rPr>
              <w:t>、WellPCB</w:t>
            </w:r>
            <w:r>
              <w:rPr>
                <w:rFonts w:ascii="宋体" w:hAnsi="宋体" w:eastAsia="宋体"/>
                <w:b w:val="0"/>
                <w:color w:val="000000" w:themeColor="text1"/>
                <w:sz w:val="24"/>
                <w:vertAlign w:val="superscript"/>
                <w14:textFill>
                  <w14:solidFill>
                    <w14:schemeClr w14:val="tx1"/>
                  </w14:solidFill>
                </w14:textFill>
              </w:rPr>
              <w:t>[22]</w:t>
            </w:r>
            <w:r>
              <w:rPr>
                <w:rFonts w:ascii="宋体" w:hAnsi="宋体" w:eastAsia="宋体"/>
                <w:b w:val="0"/>
                <w:color w:val="000000" w:themeColor="text1"/>
                <w:sz w:val="24"/>
                <w14:textFill>
                  <w14:solidFill>
                    <w14:schemeClr w14:val="tx1"/>
                  </w14:solidFill>
                </w14:textFill>
              </w:rPr>
              <w:t>、NexPCB</w:t>
            </w:r>
            <w:r>
              <w:rPr>
                <w:rFonts w:ascii="宋体" w:hAnsi="宋体" w:eastAsia="宋体"/>
                <w:b w:val="0"/>
                <w:color w:val="000000" w:themeColor="text1"/>
                <w:sz w:val="24"/>
                <w:vertAlign w:val="superscript"/>
                <w14:textFill>
                  <w14:solidFill>
                    <w14:schemeClr w14:val="tx1"/>
                  </w14:solidFill>
                </w14:textFill>
              </w:rPr>
              <w:t>[23]</w:t>
            </w:r>
          </w:p>
        </w:tc>
        <w:tc>
          <w:tcPr>
            <w:tcW w:w="2268" w:type="dxa"/>
            <w:vAlign w:val="center"/>
          </w:tcPr>
          <w:p w14:paraId="4F0F8C2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金手指结构、硬金工艺、PCB可测性设计建议</w:t>
            </w:r>
          </w:p>
        </w:tc>
        <w:tc>
          <w:tcPr>
            <w:tcW w:w="2268" w:type="dxa"/>
            <w:vAlign w:val="center"/>
          </w:tcPr>
          <w:p w14:paraId="12A7EEA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为测试点间距、边缘避让、障碍建模和工程适用性讨论提供参数依据</w:t>
            </w:r>
          </w:p>
        </w:tc>
      </w:tr>
    </w:tbl>
    <w:p w14:paraId="792676C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由表 1-1 可见，本文的改进重点不在于简单增加参考文献数量，而在于将不同文献中的理论方法落实到论文结构、算法模块和实验指标中：DFT文献对应测试覆盖率，经典布线文献对应A*路径搜索，网络流文献对应容量与拥塞，蚁群文献对应信息素式动态代价，领域模型和Transformer文献对应分区、语义化和后续智能化扩展。上述对应关系使论文从“实现一个可运行程序”进一步提升为“具有明确文献来源和理论支撑的自动化设计方法”。</w:t>
      </w:r>
    </w:p>
    <w:p w14:paraId="7FEBFDBC">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1.3 研究内容与论文结构</w:t>
      </w:r>
    </w:p>
    <w:p w14:paraId="3921A629">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本文围绕面向PCB金手指的测试尾板自动化设计展开，研究内容与毕业设计任务书的六项要求保持一致：完成文献调研和开题基础工作，建立金手指测试尾板案例与约束模型，设计布点布线算法，完成C++核心代码实现，开展规则基线与优化算法的量化对比，并在实验数据基础上完成毕业论文撰写。具体而言，本文首先梳理金手指测试尾板的结构、工艺和测试需求，建立布点布线设计规则库；随后提出测试点候选生成、初始布点、局部优化、A*布线和拥塞重布线的一体化流程；再基于C++17实现命令行算法原型，形成可复现实验数据和可视化结果；最后构造五类典型案例，与规则基线方案进行对比，分析算法在覆盖率、布通率、面积占比、线长、拥塞和违规数方面的表现。论文第二章介绍理论基础和约束建模，第三章给出布点算法，第四章给出布线与协同优化方法，第五章说明系统实现，第六章分析实验结果，第七章总结全文并展望后续工作。</w:t>
      </w:r>
    </w:p>
    <w:p w14:paraId="539F5370">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1.4 任务书要求与完成情况</w:t>
      </w:r>
    </w:p>
    <w:p w14:paraId="552F687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为保证论文内容能够直接对应毕业设计主要任务和验收要求，本文将任务书要求归纳为六项，并在论文、代码和实验结果中逐项落实。需要说明的是，受企业原始PCB设计文件获取条件限制，第二项中的案例获取采用“真实应用场景参数化构造”的方式完成，即依据金手指数量、板边间距、测试点间距、尾板尺寸和障碍区等工程约束构造案例化仿真数据，论文中不将实验数据表述为企业量产板卡数据。</w:t>
      </w:r>
    </w:p>
    <w:p w14:paraId="24882D4C">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1-2 任务书要求与完成情况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381"/>
        <w:gridCol w:w="3402"/>
        <w:gridCol w:w="2721"/>
      </w:tblGrid>
      <w:tr w14:paraId="621D8F2C">
        <w:trPr>
          <w:tblHeader/>
          <w:jc w:val="center"/>
        </w:trPr>
        <w:tc>
          <w:tcPr>
            <w:tcW w:w="680" w:type="dxa"/>
            <w:shd w:val="clear" w:color="auto" w:fill="EAF2F8"/>
            <w:vAlign w:val="center"/>
          </w:tcPr>
          <w:p w14:paraId="615537A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序号</w:t>
            </w:r>
          </w:p>
        </w:tc>
        <w:tc>
          <w:tcPr>
            <w:tcW w:w="2381" w:type="dxa"/>
            <w:shd w:val="clear" w:color="auto" w:fill="EAF2F8"/>
            <w:vAlign w:val="center"/>
          </w:tcPr>
          <w:p w14:paraId="15DCB6A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任务书主要要求</w:t>
            </w:r>
          </w:p>
        </w:tc>
        <w:tc>
          <w:tcPr>
            <w:tcW w:w="3402" w:type="dxa"/>
            <w:shd w:val="clear" w:color="auto" w:fill="EAF2F8"/>
            <w:vAlign w:val="center"/>
          </w:tcPr>
          <w:p w14:paraId="7BB515B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本文完成方式</w:t>
            </w:r>
          </w:p>
        </w:tc>
        <w:tc>
          <w:tcPr>
            <w:tcW w:w="2721" w:type="dxa"/>
            <w:shd w:val="clear" w:color="auto" w:fill="EAF2F8"/>
            <w:vAlign w:val="center"/>
          </w:tcPr>
          <w:p w14:paraId="280EC77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对应成果</w:t>
            </w:r>
          </w:p>
        </w:tc>
      </w:tr>
      <w:tr w14:paraId="6BC4805F">
        <w:trPr>
          <w:jc w:val="center"/>
        </w:trPr>
        <w:tc>
          <w:tcPr>
            <w:tcW w:w="680" w:type="dxa"/>
            <w:vAlign w:val="center"/>
          </w:tcPr>
          <w:p w14:paraId="2761A7C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w:t>
            </w:r>
          </w:p>
        </w:tc>
        <w:tc>
          <w:tcPr>
            <w:tcW w:w="2381" w:type="dxa"/>
            <w:vAlign w:val="center"/>
          </w:tcPr>
          <w:p w14:paraId="4389ED3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查阅不少于15篇文献，其中近五年英文文献不少于3篇，完成开题基础工作</w:t>
            </w:r>
          </w:p>
        </w:tc>
        <w:tc>
          <w:tcPr>
            <w:tcW w:w="3402" w:type="dxa"/>
            <w:vAlign w:val="center"/>
          </w:tcPr>
          <w:p w14:paraId="345926B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围绕DFT测试点插入、PCB自动布线、网络流、蚁群算法、领域模型和Transformer-A*布线整理国内外研究现状</w:t>
            </w:r>
          </w:p>
        </w:tc>
        <w:tc>
          <w:tcPr>
            <w:tcW w:w="2721" w:type="dxa"/>
            <w:vAlign w:val="center"/>
          </w:tcPr>
          <w:p w14:paraId="5380CD6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参考文献23篇；近五年英文文献包括DeepTPI、NS-Place、Legalized Routing、Integration综述等</w:t>
            </w:r>
          </w:p>
        </w:tc>
      </w:tr>
      <w:tr w14:paraId="04AA8080">
        <w:trPr>
          <w:jc w:val="center"/>
        </w:trPr>
        <w:tc>
          <w:tcPr>
            <w:tcW w:w="680" w:type="dxa"/>
            <w:vAlign w:val="center"/>
          </w:tcPr>
          <w:p w14:paraId="188D1F2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w:t>
            </w:r>
          </w:p>
        </w:tc>
        <w:tc>
          <w:tcPr>
            <w:tcW w:w="2381" w:type="dxa"/>
            <w:vAlign w:val="center"/>
          </w:tcPr>
          <w:p w14:paraId="632ADA6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获取真实应用场景下PCB金手指测试尾板设计案例，并确定布点布线约束</w:t>
            </w:r>
          </w:p>
        </w:tc>
        <w:tc>
          <w:tcPr>
            <w:tcW w:w="3402" w:type="dxa"/>
            <w:vAlign w:val="center"/>
          </w:tcPr>
          <w:p w14:paraId="7D5D370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在无企业原始文件条件下，构造40 pin、80 pin、120 pin、含障碍96 pin和面积受限100 pin五类案例，并给出尾板尺寸、间距、障碍和网格规则</w:t>
            </w:r>
          </w:p>
        </w:tc>
        <w:tc>
          <w:tcPr>
            <w:tcW w:w="2721" w:type="dxa"/>
            <w:vAlign w:val="center"/>
          </w:tcPr>
          <w:p w14:paraId="0BC3597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data/case_01.csv至case_05.csv；第2章约束表；第6章案例表</w:t>
            </w:r>
          </w:p>
        </w:tc>
      </w:tr>
      <w:tr w14:paraId="62EF6EA4">
        <w:trPr>
          <w:jc w:val="center"/>
        </w:trPr>
        <w:tc>
          <w:tcPr>
            <w:tcW w:w="680" w:type="dxa"/>
            <w:vAlign w:val="center"/>
          </w:tcPr>
          <w:p w14:paraId="0BE71BE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2381" w:type="dxa"/>
            <w:vAlign w:val="center"/>
          </w:tcPr>
          <w:p w14:paraId="1D58685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设计面向PCB金手指测试尾板的布点布线算法，给出算法框架和设计过程</w:t>
            </w:r>
          </w:p>
        </w:tc>
        <w:tc>
          <w:tcPr>
            <w:tcW w:w="3402" w:type="dxa"/>
            <w:vAlign w:val="center"/>
          </w:tcPr>
          <w:p w14:paraId="2FD358D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形成规则网格候选生成、K-means初始分组、禁忌搜索、PSO-Hanan布点、A*布线和拥塞感知拆线重布流程</w:t>
            </w:r>
          </w:p>
        </w:tc>
        <w:tc>
          <w:tcPr>
            <w:tcW w:w="2721" w:type="dxa"/>
            <w:vAlign w:val="center"/>
          </w:tcPr>
          <w:p w14:paraId="290FCFE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第3章布点算法；第4章布线算法；图3.1流程图</w:t>
            </w:r>
          </w:p>
        </w:tc>
      </w:tr>
      <w:tr w14:paraId="4756E2FA">
        <w:trPr>
          <w:jc w:val="center"/>
        </w:trPr>
        <w:tc>
          <w:tcPr>
            <w:tcW w:w="680" w:type="dxa"/>
            <w:vAlign w:val="center"/>
          </w:tcPr>
          <w:p w14:paraId="11D5818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w:t>
            </w:r>
          </w:p>
        </w:tc>
        <w:tc>
          <w:tcPr>
            <w:tcW w:w="2381" w:type="dxa"/>
            <w:vAlign w:val="center"/>
          </w:tcPr>
          <w:p w14:paraId="432DE17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基于C++实现算法核心代码，确保代码可运行且注释清晰</w:t>
            </w:r>
          </w:p>
        </w:tc>
        <w:tc>
          <w:tcPr>
            <w:tcW w:w="3402" w:type="dxa"/>
            <w:vAlign w:val="center"/>
          </w:tcPr>
          <w:p w14:paraId="3096945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采用C++17命令行原型实现案例解析、布点、布线、指标统计和SVG输出，同时提供CMakeLists.txt与Makefile</w:t>
            </w:r>
          </w:p>
        </w:tc>
        <w:tc>
          <w:tcPr>
            <w:tcW w:w="2721" w:type="dxa"/>
            <w:vAlign w:val="center"/>
          </w:tcPr>
          <w:p w14:paraId="4A8DA25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include/pcb_tail_router.hpp；src/main.cpp；README.md；make run-all验证</w:t>
            </w:r>
          </w:p>
        </w:tc>
      </w:tr>
      <w:tr w14:paraId="6CCC56B4">
        <w:trPr>
          <w:jc w:val="center"/>
        </w:trPr>
        <w:tc>
          <w:tcPr>
            <w:tcW w:w="680" w:type="dxa"/>
            <w:vAlign w:val="center"/>
          </w:tcPr>
          <w:p w14:paraId="043D8D0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w:t>
            </w:r>
          </w:p>
        </w:tc>
        <w:tc>
          <w:tcPr>
            <w:tcW w:w="2381" w:type="dxa"/>
            <w:vAlign w:val="center"/>
          </w:tcPr>
          <w:p w14:paraId="700818A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开展对比实验，与人工布点布线在面积、布通率、合法性等指标上量化对比</w:t>
            </w:r>
          </w:p>
        </w:tc>
        <w:tc>
          <w:tcPr>
            <w:tcW w:w="3402" w:type="dxa"/>
            <w:vAlign w:val="center"/>
          </w:tcPr>
          <w:p w14:paraId="4EB27AA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以规则行列式方案近似人工经验基线，并与K-means、PSO-Hanan、拥塞重布线三类优化方案对比</w:t>
            </w:r>
          </w:p>
        </w:tc>
        <w:tc>
          <w:tcPr>
            <w:tcW w:w="2721" w:type="dxa"/>
            <w:vAlign w:val="center"/>
          </w:tcPr>
          <w:p w14:paraId="64372E9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results/case_*/metrics.csv；第6章指标表和三张对比图</w:t>
            </w:r>
          </w:p>
        </w:tc>
      </w:tr>
      <w:tr w14:paraId="0CAF7FC2">
        <w:trPr>
          <w:jc w:val="center"/>
        </w:trPr>
        <w:tc>
          <w:tcPr>
            <w:tcW w:w="680" w:type="dxa"/>
            <w:vAlign w:val="center"/>
          </w:tcPr>
          <w:p w14:paraId="685B4B1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w:t>
            </w:r>
          </w:p>
        </w:tc>
        <w:tc>
          <w:tcPr>
            <w:tcW w:w="2381" w:type="dxa"/>
            <w:vAlign w:val="center"/>
          </w:tcPr>
          <w:p w14:paraId="6DFAE16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分析实验数据并完成不少于1.2万字毕业论文</w:t>
            </w:r>
          </w:p>
        </w:tc>
        <w:tc>
          <w:tcPr>
            <w:tcW w:w="3402" w:type="dxa"/>
            <w:vAlign w:val="center"/>
          </w:tcPr>
          <w:p w14:paraId="579B31D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根据最新程序输出重建论文数据表、图表和结论，围绕布通率、面积、线长、拥塞和违规数进行分析</w:t>
            </w:r>
          </w:p>
        </w:tc>
        <w:tc>
          <w:tcPr>
            <w:tcW w:w="2721" w:type="dxa"/>
            <w:vAlign w:val="center"/>
          </w:tcPr>
          <w:p w14:paraId="2B20471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完成稿正文超过1.2万字；参考文献格式统一；DOCX渲染检查通过</w:t>
            </w:r>
          </w:p>
        </w:tc>
      </w:tr>
    </w:tbl>
    <w:p w14:paraId="421AE64E">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1.5 本文创新点</w:t>
      </w:r>
    </w:p>
    <w:p w14:paraId="627557F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第一，在问题建模方面，本文将金手指测试尾板从普通PCB布线问题中独立抽象出来，将线性密集金手指、可接触测试点、尾板边界、障碍区和线宽线距统一到候选点集合、网格图和Tile容量三个层次中描述，使布点约束与布线约束能够共用同一规则库。</w:t>
      </w:r>
    </w:p>
    <w:p w14:paraId="1D0EA161">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第二，在算法流程方面，本文形成“布点先验生成—布线可达性反馈—拥塞重布线修正”的闭环，而非先布点再孤立布线。通过面积代价、路径长度代价和拥塞代价之间的权衡，算法输出不仅能够实现布通，还能够解释部分点位向尾板纵深或横向空闲区域展开的原因。</w:t>
      </w:r>
    </w:p>
    <w:p w14:paraId="1155402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第三，在实验评价方面，本文不仅给出单一布通率，还同步统计尾板面积占比、总线长、拥塞峰值、拥挤网格数量和违规数，并设置低密度、中密度、高密度、含障碍和面积受限五类案例，使结果更接近工程设计中对面积、效率和合法性的综合权衡。</w:t>
      </w:r>
    </w:p>
    <w:p w14:paraId="30E0501E">
      <w:pPr>
        <w:pStyle w:val="3"/>
        <w:pageBreakBefore/>
        <w:spacing w:before="200" w:after="200" w:line="400" w:lineRule="exact"/>
        <w:jc w:val="center"/>
        <w:rPr>
          <w:color w:val="000000" w:themeColor="text1"/>
          <w14:textFill>
            <w14:solidFill>
              <w14:schemeClr w14:val="tx1"/>
            </w14:solidFill>
          </w14:textFill>
        </w:rPr>
      </w:pPr>
      <w:commentRangeStart w:id="3"/>
      <w:r>
        <w:rPr>
          <w:rFonts w:ascii="黑体" w:hAnsi="黑体" w:eastAsia="黑体"/>
          <w:b/>
          <w:color w:val="000000" w:themeColor="text1"/>
          <w:sz w:val="36"/>
          <w14:textFill>
            <w14:solidFill>
              <w14:schemeClr w14:val="tx1"/>
            </w14:solidFill>
          </w14:textFill>
        </w:rPr>
        <w:t>2 相关理论与约束建模</w:t>
      </w:r>
      <w:commentRangeEnd w:id="3"/>
      <w:r>
        <w:rPr>
          <w:rStyle w:val="CommentReference"/>
        </w:rPr>
        <w:commentReference w:id="3"/>
      </w:r>
    </w:p>
    <w:p w14:paraId="7F01EE24">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2.1 PCB金手指与测试尾板结构</w:t>
      </w:r>
    </w:p>
    <w:p w14:paraId="5405CA95">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CB金手指通常分布在板边，端子形状为长条状镀金焊盘，按固定间距排列并与外部插槽接触。根据应用场景不同，金手指可能承载电源、地、高速差分信号、普通数字信号或控制信号。测试尾板设计需要将这些端子引出到便于探针接触的位置，同时尽量不改变被测板主体电气特性。尾板一般位于金手指外侧或延伸区域，其尺寸受夹具空间、加工板材和后续分板要求约束，不能无限扩展。</w:t>
      </w:r>
    </w:p>
    <w:p w14:paraId="3BE48B17">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测试点可采用通孔测试点、表面贴装测试点或专用测试焊盘。对于飞针测试和在线测试，测试点直径、相邻点中心距、边缘避让距离和探针接触角度都会影响测试稳定性。阶段性报告中已把IPC-2221B、IPC-A-600以及金手指制造资料作为规则来源，因此本文在模型中将测试点最小间距、边缘余量和障碍避让作为基础硬约束</w:t>
      </w:r>
      <w:r>
        <w:rPr>
          <w:rFonts w:ascii="宋体" w:hAnsi="宋体" w:eastAsia="宋体"/>
          <w:b w:val="0"/>
          <w:color w:val="000000" w:themeColor="text1"/>
          <w:sz w:val="24"/>
          <w:vertAlign w:val="superscript"/>
          <w14:textFill>
            <w14:solidFill>
              <w14:schemeClr w14:val="tx1"/>
            </w14:solidFill>
          </w14:textFill>
        </w:rPr>
        <w:t>[13-14][21-23]</w:t>
      </w:r>
      <w:r>
        <w:rPr>
          <w:rFonts w:ascii="宋体" w:hAnsi="宋体" w:eastAsia="宋体"/>
          <w:b w:val="0"/>
          <w:color w:val="000000" w:themeColor="text1"/>
          <w:sz w:val="24"/>
          <w14:textFill>
            <w14:solidFill>
              <w14:schemeClr w14:val="tx1"/>
            </w14:solidFill>
          </w14:textFill>
        </w:rPr>
        <w:t>。本文将测试点抽象为圆形接触区域，将金手指端子抽象为位于尾板上边界的一组起点，将尾板可用区域抽象为二维矩形，并用障碍矩形描述不可布点和不可走线区域。该抽象虽然简化了真实PCB中的焊盘形状、过孔和多层叠构，但足以支持算法原型验证和论文实验分析。</w:t>
      </w:r>
    </w:p>
    <w:p w14:paraId="15B938D3">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2-1 金手指测试尾板主要设计约束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701"/>
        <w:gridCol w:w="2381"/>
        <w:gridCol w:w="3061"/>
      </w:tblGrid>
      <w:tr w14:paraId="3719FD9F">
        <w:trPr>
          <w:tblHeader/>
          <w:jc w:val="center"/>
        </w:trPr>
        <w:tc>
          <w:tcPr>
            <w:tcW w:w="1474" w:type="dxa"/>
            <w:shd w:val="clear" w:color="auto" w:fill="EAF2F8"/>
            <w:vAlign w:val="center"/>
          </w:tcPr>
          <w:p w14:paraId="0E9C773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约束类别</w:t>
            </w:r>
          </w:p>
        </w:tc>
        <w:tc>
          <w:tcPr>
            <w:tcW w:w="1701" w:type="dxa"/>
            <w:shd w:val="clear" w:color="auto" w:fill="EAF2F8"/>
            <w:vAlign w:val="center"/>
          </w:tcPr>
          <w:p w14:paraId="7A4A92A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参数</w:t>
            </w:r>
          </w:p>
        </w:tc>
        <w:tc>
          <w:tcPr>
            <w:tcW w:w="2381" w:type="dxa"/>
            <w:shd w:val="clear" w:color="auto" w:fill="EAF2F8"/>
            <w:vAlign w:val="center"/>
          </w:tcPr>
          <w:p w14:paraId="288E13A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本文取值/处理方式</w:t>
            </w:r>
          </w:p>
        </w:tc>
        <w:tc>
          <w:tcPr>
            <w:tcW w:w="3061" w:type="dxa"/>
            <w:shd w:val="clear" w:color="auto" w:fill="EAF2F8"/>
            <w:vAlign w:val="center"/>
          </w:tcPr>
          <w:p w14:paraId="5593137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说明</w:t>
            </w:r>
          </w:p>
        </w:tc>
      </w:tr>
      <w:tr w14:paraId="4B3C745E">
        <w:trPr>
          <w:jc w:val="center"/>
        </w:trPr>
        <w:tc>
          <w:tcPr>
            <w:tcW w:w="1474" w:type="dxa"/>
            <w:vAlign w:val="center"/>
          </w:tcPr>
          <w:p w14:paraId="65C5DE2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几何约束</w:t>
            </w:r>
          </w:p>
        </w:tc>
        <w:tc>
          <w:tcPr>
            <w:tcW w:w="1701" w:type="dxa"/>
            <w:vAlign w:val="center"/>
          </w:tcPr>
          <w:p w14:paraId="32D14E7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尾板宽度与高度</w:t>
            </w:r>
          </w:p>
        </w:tc>
        <w:tc>
          <w:tcPr>
            <w:tcW w:w="2381" w:type="dxa"/>
            <w:vAlign w:val="center"/>
          </w:tcPr>
          <w:p w14:paraId="3004E6B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由案例CSV给定</w:t>
            </w:r>
          </w:p>
        </w:tc>
        <w:tc>
          <w:tcPr>
            <w:tcW w:w="3061" w:type="dxa"/>
            <w:vAlign w:val="center"/>
          </w:tcPr>
          <w:p w14:paraId="05689B7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反映不同金手指密度和面积限制</w:t>
            </w:r>
          </w:p>
        </w:tc>
      </w:tr>
      <w:tr w14:paraId="3BDF09D9">
        <w:trPr>
          <w:jc w:val="center"/>
        </w:trPr>
        <w:tc>
          <w:tcPr>
            <w:tcW w:w="1474" w:type="dxa"/>
            <w:vAlign w:val="center"/>
          </w:tcPr>
          <w:p w14:paraId="2A12019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布点约束</w:t>
            </w:r>
          </w:p>
        </w:tc>
        <w:tc>
          <w:tcPr>
            <w:tcW w:w="1701" w:type="dxa"/>
            <w:vAlign w:val="center"/>
          </w:tcPr>
          <w:p w14:paraId="22FAEDC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测试点最小间距</w:t>
            </w:r>
          </w:p>
        </w:tc>
        <w:tc>
          <w:tcPr>
            <w:tcW w:w="2381" w:type="dxa"/>
            <w:vAlign w:val="center"/>
          </w:tcPr>
          <w:p w14:paraId="3368D38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1.8-2.0 mm</w:t>
            </w:r>
          </w:p>
        </w:tc>
        <w:tc>
          <w:tcPr>
            <w:tcW w:w="3061" w:type="dxa"/>
            <w:vAlign w:val="center"/>
          </w:tcPr>
          <w:p w14:paraId="71BD3D1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保证探针接触和工艺可制造性</w:t>
            </w:r>
          </w:p>
        </w:tc>
      </w:tr>
      <w:tr w14:paraId="1AB01938">
        <w:trPr>
          <w:jc w:val="center"/>
        </w:trPr>
        <w:tc>
          <w:tcPr>
            <w:tcW w:w="1474" w:type="dxa"/>
            <w:vAlign w:val="center"/>
          </w:tcPr>
          <w:p w14:paraId="6EC2797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布线约束</w:t>
            </w:r>
          </w:p>
        </w:tc>
        <w:tc>
          <w:tcPr>
            <w:tcW w:w="1701" w:type="dxa"/>
            <w:vAlign w:val="center"/>
          </w:tcPr>
          <w:p w14:paraId="65C7A1A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网格步长</w:t>
            </w:r>
          </w:p>
        </w:tc>
        <w:tc>
          <w:tcPr>
            <w:tcW w:w="2381" w:type="dxa"/>
            <w:vAlign w:val="center"/>
          </w:tcPr>
          <w:p w14:paraId="3484A9F1">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 mm</w:t>
            </w:r>
          </w:p>
        </w:tc>
        <w:tc>
          <w:tcPr>
            <w:tcW w:w="3061" w:type="dxa"/>
            <w:vAlign w:val="center"/>
          </w:tcPr>
          <w:p w14:paraId="1CB8E7E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用于A*搜索和可视化输出</w:t>
            </w:r>
          </w:p>
        </w:tc>
      </w:tr>
      <w:tr w14:paraId="36B94172">
        <w:trPr>
          <w:jc w:val="center"/>
        </w:trPr>
        <w:tc>
          <w:tcPr>
            <w:tcW w:w="1474" w:type="dxa"/>
            <w:vAlign w:val="center"/>
          </w:tcPr>
          <w:p w14:paraId="108A617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障碍约束</w:t>
            </w:r>
          </w:p>
        </w:tc>
        <w:tc>
          <w:tcPr>
            <w:tcW w:w="1701" w:type="dxa"/>
            <w:vAlign w:val="center"/>
          </w:tcPr>
          <w:p w14:paraId="7035237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禁布/禁走区域</w:t>
            </w:r>
          </w:p>
        </w:tc>
        <w:tc>
          <w:tcPr>
            <w:tcW w:w="2381" w:type="dxa"/>
            <w:vAlign w:val="center"/>
          </w:tcPr>
          <w:p w14:paraId="02B3D77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矩形集合</w:t>
            </w:r>
          </w:p>
        </w:tc>
        <w:tc>
          <w:tcPr>
            <w:tcW w:w="3061" w:type="dxa"/>
            <w:vAlign w:val="center"/>
          </w:tcPr>
          <w:p w14:paraId="40814D3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模拟固定孔位、夹具避让和器件占位</w:t>
            </w:r>
          </w:p>
        </w:tc>
      </w:tr>
      <w:tr w14:paraId="5C4B4488">
        <w:trPr>
          <w:jc w:val="center"/>
        </w:trPr>
        <w:tc>
          <w:tcPr>
            <w:tcW w:w="1474" w:type="dxa"/>
            <w:vAlign w:val="center"/>
          </w:tcPr>
          <w:p w14:paraId="2F3BFAC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合法性约束</w:t>
            </w:r>
          </w:p>
        </w:tc>
        <w:tc>
          <w:tcPr>
            <w:tcW w:w="1701" w:type="dxa"/>
            <w:vAlign w:val="center"/>
          </w:tcPr>
          <w:p w14:paraId="224ED54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违规统计</w:t>
            </w:r>
          </w:p>
        </w:tc>
        <w:tc>
          <w:tcPr>
            <w:tcW w:w="2381" w:type="dxa"/>
            <w:vAlign w:val="center"/>
          </w:tcPr>
          <w:p w14:paraId="2CE7128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未布点、未布通、点间距不足</w:t>
            </w:r>
          </w:p>
        </w:tc>
        <w:tc>
          <w:tcPr>
            <w:tcW w:w="3061" w:type="dxa"/>
            <w:vAlign w:val="center"/>
          </w:tcPr>
          <w:p w14:paraId="2FE52FC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用于对比算法质量</w:t>
            </w:r>
          </w:p>
        </w:tc>
      </w:tr>
    </w:tbl>
    <w:p w14:paraId="2C6369BB">
      <w:pPr>
        <w:spacing w:line="400" w:lineRule="exact" w:before="0" w:after="0"/>
        <w:rPr>
          <w:color w:val="000000" w:themeColor="text1"/>
          <w14:textFill>
            <w14:solidFill>
              <w14:schemeClr w14:val="tx1"/>
            </w14:solidFill>
          </w14:textFill>
        </w:rPr>
      </w:pPr>
    </w:p>
    <w:p w14:paraId="736C9914">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2.2 布点布线数学模型</w:t>
      </w:r>
    </w:p>
    <w:p w14:paraId="462DD333">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设金手指端子集合为P={p1,p2,...,pn}，测试点候选集合为C={c1,c2,...,cm}。布点任务是在候选集合中为每个端子选择一个测试点，使测试点不落入障碍区，任意两个测试点之间满足最小间距要求，并尽可能降低尾板占用面积、端子到测试点的距离以及局部拥塞程度。若用xi表示第i个端子选择的候选点，则布点目标可写为Jp=wdD+waA+wcC+wpP，其中D为端子到测试点的距离或预估路径长度，A为测试点包围盒面积占比，C为候选点所在Tile的拥塞预测值，P为规则违规惩罚。随着候选点数量和端子数量增加，该问题呈现典型离散组合优化特征。</w:t>
      </w:r>
    </w:p>
    <w:p w14:paraId="5A789D2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线任务是在网格图G=(V,E)上寻找每个端子到对应测试点的路径。节点V表示可走线网格点，边E表示相邻网格点之间的水平或垂直连线。障碍区域中的节点被删除，边界外节点不可访问。借鉴网络流和合法化布线文献，本文把每条网格边或Tile边看作具有有限容量的通道，容量可由可用宽度、线宽、线距和已占用数量共同决定；当通道占用接近容量时，后续路径的通过代价随之增加。对于多层尾板，可以通过过孔或层间分配缓解交叉冲突；本文原型采用两层可合法化口径，障碍为硬约束，不同网络之间允许在后续层分配中处理交叉，算法重点验证测试点位置、障碍绕行和路径可达性。</w:t>
      </w:r>
    </w:p>
    <w:p w14:paraId="7272996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综合布点与布线后，评价函数由测试覆盖率、布通率、尾板面积占比、总线长、违规数和运行时间组成。测试覆盖率衡量已放置测试点的端子比例，布通率衡量成功生成路径的网络比例，面积占比衡量测试点包围盒相对于尾板面积的比例，总线长反映布线路径经济性，违规数用于记录未布点、未布通或点间距不足等问题。该评价体系既对应毕业设计任务书中的量化目标，也便于与人工或规则基线方案进行对比。</w:t>
      </w:r>
    </w:p>
    <w:p w14:paraId="010C369A">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2.3 基于Tile和网络流思想的尾板等效建模</w:t>
      </w:r>
    </w:p>
    <w:p w14:paraId="79D24F72">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为使布线约束具有更明确的理论来源，本文在原网格模型之外补充Tile等效建模。具体做法是将尾板可用区域按照障碍边界、金手指投影范围和测试点候选带划分为若干矩形或近似矩形的子区域，每个子区域作为图中的节点，相邻子区域之间的公共边作为图中的边。边的容量由可用宽度、线宽线距和已占用路径数量共同决定，容量越小表示该通道越容易成为拥塞热点。</w:t>
      </w:r>
    </w:p>
    <w:p w14:paraId="039AF4B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该建模并不要求在本科原型中完整求解最大流或最小费用最大流，而是把网络流的“容量—需求—拥塞”思想转化为路径搜索的代价项。对于金手指测试尾板，端子通常集中在板边，测试点分布在尾板内部，实际布线类似从密集边缘向内部测试区域的逃逸过程。因此，本文将金手指边缘附近的Tile视为高需求区域，将障碍区附近或可用宽度较窄的Tile视为低容量区域，在A*搜索和拥塞重布线时对其赋予更高代价。</w:t>
      </w:r>
    </w:p>
    <w:p w14:paraId="0EB062E1">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与单纯网格化相比，Tile模型的作用在于从宏观层面判断“哪些区域适合集中走线、哪些区域应提前避让”；与完整网络流算法相比，本文实现更加轻量，能够直接服务于C++命令行原型。该处理既保留了网络流建模的理论解释力，也避免在毕业设计阶段引入过重的优化求解器。</w:t>
      </w:r>
    </w:p>
    <w:p w14:paraId="4713149E">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2.4 约束优先级与合法性判定</w:t>
      </w:r>
    </w:p>
    <w:p w14:paraId="4224FB9A">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2-2 约束优先级与算法处理方式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358"/>
      </w:tblGrid>
      <w:tr w14:paraId="7498D076">
        <w:trPr>
          <w:tblHeader/>
          <w:jc w:val="center"/>
        </w:trPr>
        <w:tc>
          <w:tcPr>
            <w:tcW w:w="2268" w:type="dxa"/>
            <w:vAlign w:val="center"/>
          </w:tcPr>
          <w:p w14:paraId="33D3D4C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约束层级</w:t>
            </w:r>
          </w:p>
        </w:tc>
        <w:tc>
          <w:tcPr>
            <w:tcW w:w="2268" w:type="dxa"/>
            <w:vAlign w:val="center"/>
          </w:tcPr>
          <w:p w14:paraId="52028C7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约束内容</w:t>
            </w:r>
          </w:p>
        </w:tc>
        <w:tc>
          <w:tcPr>
            <w:tcW w:w="2268" w:type="dxa"/>
            <w:vAlign w:val="center"/>
          </w:tcPr>
          <w:p w14:paraId="0DF4A23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处理方式</w:t>
            </w:r>
          </w:p>
        </w:tc>
        <w:tc>
          <w:tcPr>
            <w:tcW w:w="2268" w:type="dxa"/>
            <w:vAlign w:val="center"/>
          </w:tcPr>
          <w:p w14:paraId="4E27575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在算法中的体现</w:t>
            </w:r>
          </w:p>
        </w:tc>
      </w:tr>
      <w:tr w14:paraId="1AF3383C">
        <w:trPr>
          <w:jc w:val="center"/>
        </w:trPr>
        <w:tc>
          <w:tcPr>
            <w:tcW w:w="2268" w:type="dxa"/>
            <w:vAlign w:val="center"/>
          </w:tcPr>
          <w:p w14:paraId="7548401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硬约束</w:t>
            </w:r>
          </w:p>
        </w:tc>
        <w:tc>
          <w:tcPr>
            <w:tcW w:w="2268" w:type="dxa"/>
            <w:vAlign w:val="center"/>
          </w:tcPr>
          <w:p w14:paraId="21307C7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尾板边界、障碍区、测试点最小间距</w:t>
            </w:r>
          </w:p>
        </w:tc>
        <w:tc>
          <w:tcPr>
            <w:tcW w:w="2268" w:type="dxa"/>
            <w:vAlign w:val="center"/>
          </w:tcPr>
          <w:p w14:paraId="33AF25C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不满足则直接剔除或判为违规</w:t>
            </w:r>
          </w:p>
        </w:tc>
        <w:tc>
          <w:tcPr>
            <w:tcW w:w="2268" w:type="dxa"/>
            <w:vAlign w:val="center"/>
          </w:tcPr>
          <w:p w14:paraId="73923D8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候选点过滤、A*不可访问节点、违规统计</w:t>
            </w:r>
          </w:p>
        </w:tc>
      </w:tr>
      <w:tr w14:paraId="5BBC7079">
        <w:trPr>
          <w:jc w:val="center"/>
        </w:trPr>
        <w:tc>
          <w:tcPr>
            <w:tcW w:w="2268" w:type="dxa"/>
            <w:vAlign w:val="center"/>
          </w:tcPr>
          <w:p w14:paraId="257ED0E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半硬约束</w:t>
            </w:r>
          </w:p>
        </w:tc>
        <w:tc>
          <w:tcPr>
            <w:tcW w:w="2268" w:type="dxa"/>
            <w:vAlign w:val="center"/>
          </w:tcPr>
          <w:p w14:paraId="28B84BE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布通率、端子覆盖率、路径可达性</w:t>
            </w:r>
          </w:p>
        </w:tc>
        <w:tc>
          <w:tcPr>
            <w:tcW w:w="2268" w:type="dxa"/>
            <w:vAlign w:val="center"/>
          </w:tcPr>
          <w:p w14:paraId="6C3F4DB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优先保证，失败时触发重选点或重布线</w:t>
            </w:r>
          </w:p>
        </w:tc>
        <w:tc>
          <w:tcPr>
            <w:tcW w:w="2268" w:type="dxa"/>
            <w:vAlign w:val="center"/>
          </w:tcPr>
          <w:p w14:paraId="4087C03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route_all与route_all_congestion_aware</w:t>
            </w:r>
          </w:p>
        </w:tc>
      </w:tr>
      <w:tr w14:paraId="46861014">
        <w:trPr>
          <w:jc w:val="center"/>
        </w:trPr>
        <w:tc>
          <w:tcPr>
            <w:tcW w:w="2268" w:type="dxa"/>
            <w:vAlign w:val="center"/>
          </w:tcPr>
          <w:p w14:paraId="111D5CF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软目标</w:t>
            </w:r>
          </w:p>
        </w:tc>
        <w:tc>
          <w:tcPr>
            <w:tcW w:w="2268" w:type="dxa"/>
            <w:vAlign w:val="center"/>
          </w:tcPr>
          <w:p w14:paraId="27F2CBE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面积占比、总线长、拥塞峰值、拥挤网格数量</w:t>
            </w:r>
          </w:p>
        </w:tc>
        <w:tc>
          <w:tcPr>
            <w:tcW w:w="2268" w:type="dxa"/>
            <w:vAlign w:val="center"/>
          </w:tcPr>
          <w:p w14:paraId="0BE01C4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通过加权代价优化，不作为绝对淘汰条件</w:t>
            </w:r>
          </w:p>
        </w:tc>
        <w:tc>
          <w:tcPr>
            <w:tcW w:w="2268" w:type="dxa"/>
            <w:vAlign w:val="center"/>
          </w:tcPr>
          <w:p w14:paraId="460F529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PSO-Hanan目标函数、动态拥塞代价</w:t>
            </w:r>
          </w:p>
        </w:tc>
      </w:tr>
      <w:tr w14:paraId="0A0F349B">
        <w:trPr>
          <w:jc w:val="center"/>
        </w:trPr>
        <w:tc>
          <w:tcPr>
            <w:tcW w:w="2268" w:type="dxa"/>
            <w:vAlign w:val="center"/>
          </w:tcPr>
          <w:p w14:paraId="544D51C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工程扩展约束</w:t>
            </w:r>
          </w:p>
        </w:tc>
        <w:tc>
          <w:tcPr>
            <w:tcW w:w="2268" w:type="dxa"/>
            <w:vAlign w:val="center"/>
          </w:tcPr>
          <w:p w14:paraId="48BC370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过孔数量、层分配、差分等长、阻抗控制</w:t>
            </w:r>
          </w:p>
        </w:tc>
        <w:tc>
          <w:tcPr>
            <w:tcW w:w="2268" w:type="dxa"/>
            <w:vAlign w:val="center"/>
          </w:tcPr>
          <w:p w14:paraId="6F41C89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本文作为展望保留接口</w:t>
            </w:r>
          </w:p>
        </w:tc>
        <w:tc>
          <w:tcPr>
            <w:tcW w:w="2268" w:type="dxa"/>
            <w:vAlign w:val="center"/>
          </w:tcPr>
          <w:p w14:paraId="5D54640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后续多层合法化模块</w:t>
            </w:r>
          </w:p>
        </w:tc>
      </w:tr>
    </w:tbl>
    <w:p w14:paraId="5FADF392">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将约束划分为硬约束、半硬约束和软目标后，论文中的算法逻辑更加清晰：候选点生成阶段首先消除硬约束冲突，布点优化阶段在覆盖率和可达性不下降的前提下压缩面积，布线阶段再根据拥塞信息进行路径修正。该写法能够避免“所有指标同等重要”造成的理论模糊，也便于在实验章节解释拥塞重布线允许线长小幅增加的原因。</w:t>
      </w:r>
    </w:p>
    <w:p w14:paraId="5D21B0CF">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2.5 文献理论到本文模型的转化</w:t>
      </w:r>
    </w:p>
    <w:p w14:paraId="60AA305B">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根据开题报告和阶段性报告，本文原计划同时考虑K-means聚类、禁忌搜索、改进Lee算法、线性规划合法化和可视化展示。结合当前代码实现情况与相关文献，论文将上述技术路线重新整理为“可实现优先、理论可追溯、扩展接口清晰”的模型体系：当前实现部分包括候选点生成、布点优化、A*布线、拥塞统计和SVG/CSV输出；暂未完整实现的Gurobi线性规划、Qt交互界面和深度学习训练模块，均作为后续扩展接口保留。该处理能够避免将未完成模块表述为既有成果，同时体现开题报告中多类理论方法对本文方案设计的支撑作用。</w:t>
      </w:r>
    </w:p>
    <w:p w14:paraId="0236A882">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具体转化上，网络流文献中的容量思想被转化为Tile拥塞值；蚁群算法中的信息素更新被转化为网格占用次数及其动态惩罚；领域模型中的布线语义被转化为“区域—方向—通道容量”的解释框架；线性规划合法化文献中的约束处理被转化为硬约束、半硬约束和软目标三层规则；DeepTPI、NS-Place、DREAMPlace以及机器学习综述文献则用于说明未来可把候选点选择和线序决策进一步建模为图学习或强化学习问题</w:t>
      </w:r>
      <w:r>
        <w:rPr>
          <w:rFonts w:ascii="宋体" w:hAnsi="宋体" w:eastAsia="宋体"/>
          <w:b w:val="0"/>
          <w:color w:val="000000" w:themeColor="text1"/>
          <w:sz w:val="24"/>
          <w:vertAlign w:val="superscript"/>
          <w14:textFill>
            <w14:solidFill>
              <w14:schemeClr w14:val="tx1"/>
            </w14:solidFill>
          </w14:textFill>
        </w:rPr>
        <w:t>[2][6-7][12]</w:t>
      </w:r>
      <w:r>
        <w:rPr>
          <w:rFonts w:ascii="宋体" w:hAnsi="宋体" w:eastAsia="宋体"/>
          <w:b w:val="0"/>
          <w:color w:val="000000" w:themeColor="text1"/>
          <w:sz w:val="24"/>
          <w14:textFill>
            <w14:solidFill>
              <w14:schemeClr w14:val="tx1"/>
            </w14:solidFill>
          </w14:textFill>
        </w:rPr>
        <w:t>。</w:t>
      </w:r>
    </w:p>
    <w:p w14:paraId="49E23599">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2-3 文献方法到算法模块的转化关系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F520F4E">
        <w:trPr>
          <w:tblHeader/>
          <w:jc w:val="center"/>
        </w:trPr>
        <w:tc>
          <w:tcPr>
            <w:tcW w:w="2268" w:type="dxa"/>
            <w:vAlign w:val="center"/>
          </w:tcPr>
          <w:p w14:paraId="56C0F61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文献方法</w:t>
            </w:r>
          </w:p>
        </w:tc>
        <w:tc>
          <w:tcPr>
            <w:tcW w:w="2268" w:type="dxa"/>
            <w:vAlign w:val="center"/>
          </w:tcPr>
          <w:p w14:paraId="5139A65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原始应用对象</w:t>
            </w:r>
          </w:p>
        </w:tc>
        <w:tc>
          <w:tcPr>
            <w:tcW w:w="2268" w:type="dxa"/>
            <w:vAlign w:val="center"/>
          </w:tcPr>
          <w:p w14:paraId="7ED6E11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本文转化后的模块</w:t>
            </w:r>
          </w:p>
        </w:tc>
        <w:tc>
          <w:tcPr>
            <w:tcW w:w="2268" w:type="dxa"/>
            <w:vAlign w:val="center"/>
          </w:tcPr>
          <w:p w14:paraId="663056D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转化原则</w:t>
            </w:r>
          </w:p>
        </w:tc>
      </w:tr>
      <w:tr w14:paraId="576032E9">
        <w:trPr>
          <w:jc w:val="center"/>
        </w:trPr>
        <w:tc>
          <w:tcPr>
            <w:tcW w:w="2268" w:type="dxa"/>
            <w:vAlign w:val="center"/>
          </w:tcPr>
          <w:p w14:paraId="5F03785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测试点插入TPI</w:t>
            </w:r>
          </w:p>
        </w:tc>
        <w:tc>
          <w:tcPr>
            <w:tcW w:w="2268" w:type="dxa"/>
            <w:vAlign w:val="center"/>
          </w:tcPr>
          <w:p w14:paraId="47C694C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IC逻辑节点</w:t>
            </w:r>
          </w:p>
        </w:tc>
        <w:tc>
          <w:tcPr>
            <w:tcW w:w="2268" w:type="dxa"/>
            <w:vAlign w:val="center"/>
          </w:tcPr>
          <w:p w14:paraId="66B33CF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金手指到测试点的候选点选择</w:t>
            </w:r>
          </w:p>
        </w:tc>
        <w:tc>
          <w:tcPr>
            <w:tcW w:w="2268" w:type="dxa"/>
            <w:vAlign w:val="center"/>
          </w:tcPr>
          <w:p w14:paraId="43580EC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从逻辑可测性转为几何可接触性和覆盖率</w:t>
            </w:r>
          </w:p>
        </w:tc>
      </w:tr>
      <w:tr w14:paraId="54E5E88D">
        <w:trPr>
          <w:jc w:val="center"/>
        </w:trPr>
        <w:tc>
          <w:tcPr>
            <w:tcW w:w="2268" w:type="dxa"/>
            <w:vAlign w:val="center"/>
          </w:tcPr>
          <w:p w14:paraId="66A18C0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网络流建模</w:t>
            </w:r>
          </w:p>
        </w:tc>
        <w:tc>
          <w:tcPr>
            <w:tcW w:w="2268" w:type="dxa"/>
            <w:vAlign w:val="center"/>
          </w:tcPr>
          <w:p w14:paraId="66911C9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逃逸/通道布线容量规划</w:t>
            </w:r>
          </w:p>
        </w:tc>
        <w:tc>
          <w:tcPr>
            <w:tcW w:w="2268" w:type="dxa"/>
            <w:vAlign w:val="center"/>
          </w:tcPr>
          <w:p w14:paraId="062C1AE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Tile容量、拥塞矩阵和全局引导层</w:t>
            </w:r>
          </w:p>
        </w:tc>
        <w:tc>
          <w:tcPr>
            <w:tcW w:w="2268" w:type="dxa"/>
            <w:vAlign w:val="center"/>
          </w:tcPr>
          <w:p w14:paraId="231AC4E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保留容量解释，不引入重型求解器</w:t>
            </w:r>
          </w:p>
        </w:tc>
      </w:tr>
      <w:tr w14:paraId="201D9313">
        <w:trPr>
          <w:jc w:val="center"/>
        </w:trPr>
        <w:tc>
          <w:tcPr>
            <w:tcW w:w="2268" w:type="dxa"/>
            <w:vAlign w:val="center"/>
          </w:tcPr>
          <w:p w14:paraId="68CC455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蚁群信息素</w:t>
            </w:r>
          </w:p>
        </w:tc>
        <w:tc>
          <w:tcPr>
            <w:tcW w:w="2268" w:type="dxa"/>
            <w:vAlign w:val="center"/>
          </w:tcPr>
          <w:p w14:paraId="3986D77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多层PCB路径搜索</w:t>
            </w:r>
          </w:p>
        </w:tc>
        <w:tc>
          <w:tcPr>
            <w:tcW w:w="2268" w:type="dxa"/>
            <w:vAlign w:val="center"/>
          </w:tcPr>
          <w:p w14:paraId="2CE282C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动态拥塞代价和拆线重布队列</w:t>
            </w:r>
          </w:p>
        </w:tc>
        <w:tc>
          <w:tcPr>
            <w:tcW w:w="2268" w:type="dxa"/>
            <w:vAlign w:val="center"/>
          </w:tcPr>
          <w:p w14:paraId="0E19826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把随机搜索简化为确定性A*代价修正</w:t>
            </w:r>
          </w:p>
        </w:tc>
      </w:tr>
      <w:tr w14:paraId="6D59CC68">
        <w:trPr>
          <w:jc w:val="center"/>
        </w:trPr>
        <w:tc>
          <w:tcPr>
            <w:tcW w:w="2268" w:type="dxa"/>
            <w:vAlign w:val="center"/>
          </w:tcPr>
          <w:p w14:paraId="1207DD5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线性规划合法化</w:t>
            </w:r>
          </w:p>
        </w:tc>
        <w:tc>
          <w:tcPr>
            <w:tcW w:w="2268" w:type="dxa"/>
            <w:vAlign w:val="center"/>
          </w:tcPr>
          <w:p w14:paraId="21CC960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复杂设计规则修正</w:t>
            </w:r>
          </w:p>
        </w:tc>
        <w:tc>
          <w:tcPr>
            <w:tcW w:w="2268" w:type="dxa"/>
            <w:vAlign w:val="center"/>
          </w:tcPr>
          <w:p w14:paraId="1A7FDA9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硬约束过滤与违规统计</w:t>
            </w:r>
          </w:p>
        </w:tc>
        <w:tc>
          <w:tcPr>
            <w:tcW w:w="2268" w:type="dxa"/>
            <w:vAlign w:val="center"/>
          </w:tcPr>
          <w:p w14:paraId="2A0635F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当前不调用LP求解器，保留合法化接口</w:t>
            </w:r>
          </w:p>
        </w:tc>
      </w:tr>
      <w:tr w14:paraId="4D441180">
        <w:trPr>
          <w:jc w:val="center"/>
        </w:trPr>
        <w:tc>
          <w:tcPr>
            <w:tcW w:w="2268" w:type="dxa"/>
            <w:vAlign w:val="center"/>
          </w:tcPr>
          <w:p w14:paraId="50852B6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领域模型/Transformer</w:t>
            </w:r>
          </w:p>
        </w:tc>
        <w:tc>
          <w:tcPr>
            <w:tcW w:w="2268" w:type="dxa"/>
            <w:vAlign w:val="center"/>
          </w:tcPr>
          <w:p w14:paraId="7C73EC7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学习人工布线范式</w:t>
            </w:r>
          </w:p>
        </w:tc>
        <w:tc>
          <w:tcPr>
            <w:tcW w:w="2268" w:type="dxa"/>
            <w:vAlign w:val="center"/>
          </w:tcPr>
          <w:p w14:paraId="22AAF22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区域语义、线序排序和后续学习接口</w:t>
            </w:r>
          </w:p>
        </w:tc>
        <w:tc>
          <w:tcPr>
            <w:tcW w:w="2268" w:type="dxa"/>
            <w:vAlign w:val="center"/>
          </w:tcPr>
          <w:p w14:paraId="56ECEE5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当前作为理论支撑与未来扩展</w:t>
            </w:r>
          </w:p>
        </w:tc>
      </w:tr>
    </w:tbl>
    <w:p w14:paraId="79B032F1">
      <w:pPr>
        <w:pStyle w:val="3"/>
        <w:pageBreakBefore/>
        <w:spacing w:before="200" w:after="200" w:line="400" w:lineRule="exact"/>
        <w:jc w:val="center"/>
        <w:rPr>
          <w:color w:val="000000" w:themeColor="text1"/>
          <w14:textFill>
            <w14:solidFill>
              <w14:schemeClr w14:val="tx1"/>
            </w14:solidFill>
          </w14:textFill>
        </w:rPr>
      </w:pPr>
      <w:commentRangeStart w:id="4"/>
      <w:r>
        <w:rPr>
          <w:rFonts w:ascii="黑体" w:hAnsi="黑体" w:eastAsia="黑体"/>
          <w:b/>
          <w:color w:val="000000" w:themeColor="text1"/>
          <w:sz w:val="36"/>
          <w14:textFill>
            <w14:solidFill>
              <w14:schemeClr w14:val="tx1"/>
            </w14:solidFill>
          </w14:textFill>
        </w:rPr>
        <w:t>3 测试点布点算法设计</w:t>
      </w:r>
      <w:commentRangeEnd w:id="4"/>
      <w:r>
        <w:rPr>
          <w:rStyle w:val="CommentReference"/>
        </w:rPr>
        <w:commentReference w:id="4"/>
      </w:r>
    </w:p>
    <w:p w14:paraId="0491675E">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3.1 候选点生成</w:t>
      </w:r>
    </w:p>
    <w:p w14:paraId="7F1972F0">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候选点生成是布点算法的基础。本文根据尾板可用区域和网格步长生成规则网格点，随后删除落入障碍区域或距离障碍过近的点。规则网格的优点是实现简单、便于与制造规则对齐，也方便后续A*布线使用同一坐标系统。为了避免测试点靠近板边导致探针接触不稳定，候选点生成时保留一定边界余量；为了避免障碍边缘产生潜在工艺冲突，障碍矩形按照线距参数进行外扩后再进行过滤。</w:t>
      </w:r>
    </w:p>
    <w:p w14:paraId="5E06443D">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3.2 K-means初始分组</w:t>
      </w:r>
    </w:p>
    <w:p w14:paraId="0580093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金手指端子呈线性排列，若直接逐点贪心选择最近候选点，容易在某些区域形成拥挤。本文借鉴K-means聚类思想，将金手指横向分布划分为若干簇，并为不同簇分配不同的目标纵向带。这样可以在保持端子到测试点距离较短的同时，使测试点沿尾板纵深方向展开，减少同一行测试点过密造成的间距冲突。由于端子坐标已经近似一维均匀分布，原型中采用基于横向位置的快速分组，不额外引入迭代聚类库，保证程序轻量可复现。</w:t>
      </w:r>
    </w:p>
    <w:p w14:paraId="7C397D67">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3.3 禁忌搜索局部优化</w:t>
      </w:r>
    </w:p>
    <w:p w14:paraId="0723035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初始布点完成后，算法采用轻量禁忌搜索进行局部优化。对每个测试点，在其邻域候选点中寻找能够降低端子距离和纵向代价的位置，同时检查与其他测试点的最小间距。被替换的位置在短期内加入禁忌表，以避免算法在相邻位置之间反复震荡。该策略并不追求严格全局最优，而是面向工程原型选择可解释、易实现且收敛较快的局部改良方式。实验表明，在五类案例中，该方法能够显著降低测试点包围盒面积，并保持100%布点覆盖。</w:t>
      </w:r>
    </w:p>
    <w:p w14:paraId="356FB162">
      <w:pPr>
        <w:spacing w:line="400" w:lineRule="exact" w:before="0" w:after="0"/>
        <w:jc w:val="center"/>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drawing>
          <wp:inline distT="0" distB="0" distL="114300" distR="114300">
            <wp:extent cx="5579745" cy="2417445"/>
            <wp:effectExtent l="0" t="0" r="8255" b="20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2418000"/>
                    </a:xfrm>
                    <a:prstGeom prst="rect">
                      <a:avLst/>
                    </a:prstGeom>
                  </pic:spPr>
                </pic:pic>
              </a:graphicData>
            </a:graphic>
          </wp:inline>
        </w:drawing>
      </w:r>
    </w:p>
    <w:p w14:paraId="0A7F5C6F">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图 3-1 布点布线协同优化流程</w:t>
      </w:r>
    </w:p>
    <w:p w14:paraId="37770F2E">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3.4 改进后的布点目标函数与步骤</w:t>
      </w:r>
    </w:p>
    <w:p w14:paraId="556F74B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为体现布点阶段与布线阶段的耦合关系，本文将测试点选择的评价函数写成多目标加权形式：J = wd·D + wa·A + wc·C + wp·P。其中，D表示金手指到测试点的曼哈顿距离或预估布线路径长度，A表示测试点包围盒面积占比，C表示候选点所在Tile的拥塞预测值，P表示违反点间距、障碍避让和边界余量等规则的罚函数。wd、wa、wc和wp分别为距离、面积、拥塞和规则惩罚权重。</w:t>
      </w:r>
    </w:p>
    <w:p w14:paraId="3795713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在实际实现中，P属于高权重惩罚项，候选点一旦违反硬约束即被剔除；D和A用于保证点位紧凑，C用于避免过多测试点集中到同一纵向通道。由此，K-means分组不再只是简单的几何分组，而是为后续PSO-Hanan和A*布线提供初始空间分配；禁忌搜索也不再只移动单个测试点，而是在保持点间距合法的前提下寻找面积、线长和拥塞三者更平衡的位置。</w:t>
      </w:r>
    </w:p>
    <w:p w14:paraId="02DF628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改进后的布点步骤如下：首先根据尾板边界、障碍外扩和网格步长生成候选点；其次按照金手指横向位置进行分组，并设置不同纵向目标带；再次根据目标函数选取初始测试点；然后在邻域候选点中执行禁忌局部搜索；最后调用A*快速评估可达性。若某些点位导致路径不可达或拥塞过高，则返回候选集重新调整。该流程使布点算法从“只看点位合法”拓展为“同时评价点位、路径和通道容量”。</w:t>
      </w:r>
    </w:p>
    <w:p w14:paraId="028A24D0">
      <w:pPr>
        <w:pStyle w:val="3"/>
        <w:pageBreakBefore/>
        <w:spacing w:before="200" w:after="200" w:line="400" w:lineRule="exact"/>
        <w:jc w:val="center"/>
        <w:rPr>
          <w:color w:val="000000" w:themeColor="text1"/>
          <w14:textFill>
            <w14:solidFill>
              <w14:schemeClr w14:val="tx1"/>
            </w14:solidFill>
          </w14:textFill>
        </w:rPr>
      </w:pPr>
      <w:commentRangeStart w:id="5"/>
      <w:r>
        <w:rPr>
          <w:rFonts w:ascii="黑体" w:hAnsi="黑体" w:eastAsia="黑体"/>
          <w:b/>
          <w:color w:val="000000" w:themeColor="text1"/>
          <w:sz w:val="36"/>
          <w14:textFill>
            <w14:solidFill>
              <w14:schemeClr w14:val="tx1"/>
            </w14:solidFill>
          </w14:textFill>
        </w:rPr>
        <w:t>4 布线算法与协同优化</w:t>
      </w:r>
      <w:commentRangeEnd w:id="5"/>
      <w:r>
        <w:rPr>
          <w:rStyle w:val="CommentReference"/>
        </w:rPr>
        <w:commentReference w:id="5"/>
      </w:r>
    </w:p>
    <w:p w14:paraId="181211D7">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4.1 A*网格布线</w:t>
      </w:r>
    </w:p>
    <w:p w14:paraId="22BDA69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算法是在Dijkstra最短路径算法基础上加入启发函数的图搜索算法。对于PCB尾板的网格布线，起点为金手指端子所在网格，终点为对应测试点网格，代价函数由已走路径长度和到目标点的曼哈顿距离估计组成。由于本文主要处理规则矩形区域和矩形障碍，曼哈顿距离能够较好地引导搜索方向，并明显减少无效扩展。算法搜索到终点后通过父节点表回溯路径，输出由网格点序列组成的布线路径。</w:t>
      </w:r>
    </w:p>
    <w:p w14:paraId="5B689DFB">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在障碍处理方面，程序将障碍矩形及其线距外扩区域视为不可访问节点。这样可以模拟固定安装孔、夹具避让区或已有器件占位。对于不同网络之间的交叉，本文采用测试尾板常见的多层合法化假设：原型阶段允许不同网络在平面投影中交叉，后续可通过层分配和过孔处理完成实际制造合法化。该处理使实验重点集中在布点位置是否合理、障碍是否可绕行和整体线长是否改善，也避免单层顺序布线对先后顺序过度敏感。</w:t>
      </w:r>
    </w:p>
    <w:p w14:paraId="352D765D">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4.2 布点布线协同优化机制</w:t>
      </w:r>
    </w:p>
    <w:p w14:paraId="7D544C7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布点和布线并非两个完全独立的阶段。测试点离金手指过近会降低面积占比，但可能导致局部线束拥挤；测试点分散可以提高布线空间，却会增大尾板面积和总线长。本文采用代价反馈思路，将端子距离、测试点纵向位置、点间距和布线路径长度共同作为优化依据。实现中先完成布点并开展布线评估，再通过局部搜索降低综合代价。虽然原型尚未实现复杂的全局重布线，但整体流程保留了协同优化接口，后续可加入网络流、线性规划或强化学习策略替换局部搜索模块。</w:t>
      </w:r>
    </w:p>
    <w:p w14:paraId="7C7C81AF">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4.3 拥塞感知与拆线重布策略</w:t>
      </w:r>
    </w:p>
    <w:p w14:paraId="217B8450">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参考网络流布线中对通道容量和拥塞区域的建模思想，本文在A*布线之后增加拥塞统计层。程序将每条成功路径投影到网格单元，统计单元被网络经过的次数，并形成拥塞峰值和拥挤网格数量两个指标。拥塞峰值反映局部最严重的线束重叠程度，拥挤网格数量反映拥塞区域的空间范围。该处理虽未完整实现最大流或最小费用流求解，但吸收了网络流论文中“先压缩布线空间、再利用容量信息指导路径选择”的思路，适合作为本科毕业设计原型中的轻量、可解释工程化改进。</w:t>
      </w:r>
    </w:p>
    <w:p w14:paraId="47B41AD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参考蚁群算法中信息素矩阵和拥挤区域挥发的思想，本文将已布线路径视为历史信息素：某网格被越多网络经过，后续网络通过该网格的代价越高。不同于传统单纯A*只考虑距离和障碍，拥塞感知A*在代价函数中加入动态拥塞项，并按估计线长由长到短逐线布线。这样长路径优先占据较稳定的通道，短路径随后根据实时拥塞图进行绕行。该机制本质上是一种简化拆线重布：先由PSO-Hanan方案给出紧凑布点，再用动态拥塞代价重构路径，以少量线长增加换取局部拥堵缓解。</w:t>
      </w:r>
    </w:p>
    <w:p w14:paraId="79B7B12F">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4-1 拥塞感知布线模块说明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268"/>
        <w:gridCol w:w="1928"/>
        <w:gridCol w:w="2835"/>
      </w:tblGrid>
      <w:tr w14:paraId="00E60EBA">
        <w:trPr>
          <w:tblHeader/>
          <w:jc w:val="center"/>
        </w:trPr>
        <w:tc>
          <w:tcPr>
            <w:tcW w:w="1531" w:type="dxa"/>
            <w:shd w:val="clear" w:color="auto" w:fill="EAF2F8"/>
            <w:vAlign w:val="center"/>
          </w:tcPr>
          <w:p w14:paraId="1712734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模块</w:t>
            </w:r>
          </w:p>
        </w:tc>
        <w:tc>
          <w:tcPr>
            <w:tcW w:w="2268" w:type="dxa"/>
            <w:shd w:val="clear" w:color="auto" w:fill="EAF2F8"/>
            <w:vAlign w:val="center"/>
          </w:tcPr>
          <w:p w14:paraId="636C31D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输入</w:t>
            </w:r>
          </w:p>
        </w:tc>
        <w:tc>
          <w:tcPr>
            <w:tcW w:w="1928" w:type="dxa"/>
            <w:shd w:val="clear" w:color="auto" w:fill="EAF2F8"/>
            <w:vAlign w:val="center"/>
          </w:tcPr>
          <w:p w14:paraId="65C7FA1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输出</w:t>
            </w:r>
          </w:p>
        </w:tc>
        <w:tc>
          <w:tcPr>
            <w:tcW w:w="2835" w:type="dxa"/>
            <w:shd w:val="clear" w:color="auto" w:fill="EAF2F8"/>
            <w:vAlign w:val="center"/>
          </w:tcPr>
          <w:p w14:paraId="52CCF3C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作用</w:t>
            </w:r>
          </w:p>
        </w:tc>
      </w:tr>
      <w:tr w14:paraId="049CB2E0">
        <w:trPr>
          <w:jc w:val="center"/>
        </w:trPr>
        <w:tc>
          <w:tcPr>
            <w:tcW w:w="1531" w:type="dxa"/>
            <w:vAlign w:val="center"/>
          </w:tcPr>
          <w:p w14:paraId="34250F7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候选生成</w:t>
            </w:r>
          </w:p>
        </w:tc>
        <w:tc>
          <w:tcPr>
            <w:tcW w:w="2268" w:type="dxa"/>
            <w:vAlign w:val="center"/>
          </w:tcPr>
          <w:p w14:paraId="4BF2760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尾板尺寸、障碍区、网格步长</w:t>
            </w:r>
          </w:p>
        </w:tc>
        <w:tc>
          <w:tcPr>
            <w:tcW w:w="1928" w:type="dxa"/>
            <w:vAlign w:val="center"/>
          </w:tcPr>
          <w:p w14:paraId="77EFB56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可用候选点集合</w:t>
            </w:r>
          </w:p>
        </w:tc>
        <w:tc>
          <w:tcPr>
            <w:tcW w:w="2835" w:type="dxa"/>
            <w:vAlign w:val="center"/>
          </w:tcPr>
          <w:p w14:paraId="7886BE8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提供满足基础规则的布点空间</w:t>
            </w:r>
          </w:p>
        </w:tc>
      </w:tr>
      <w:tr w14:paraId="40B17E5C">
        <w:trPr>
          <w:jc w:val="center"/>
        </w:trPr>
        <w:tc>
          <w:tcPr>
            <w:tcW w:w="1531" w:type="dxa"/>
            <w:vAlign w:val="center"/>
          </w:tcPr>
          <w:p w14:paraId="3D57451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初始布点</w:t>
            </w:r>
          </w:p>
        </w:tc>
        <w:tc>
          <w:tcPr>
            <w:tcW w:w="2268" w:type="dxa"/>
            <w:vAlign w:val="center"/>
          </w:tcPr>
          <w:p w14:paraId="4F8C7A2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金手指端子、候选点集合</w:t>
            </w:r>
          </w:p>
        </w:tc>
        <w:tc>
          <w:tcPr>
            <w:tcW w:w="1928" w:type="dxa"/>
            <w:vAlign w:val="center"/>
          </w:tcPr>
          <w:p w14:paraId="79A5EE5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测试点初始坐标</w:t>
            </w:r>
          </w:p>
        </w:tc>
        <w:tc>
          <w:tcPr>
            <w:tcW w:w="2835" w:type="dxa"/>
            <w:vAlign w:val="center"/>
          </w:tcPr>
          <w:p w14:paraId="38C3313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快速获得完整可行解</w:t>
            </w:r>
          </w:p>
        </w:tc>
      </w:tr>
      <w:tr w14:paraId="16CC1D73">
        <w:trPr>
          <w:jc w:val="center"/>
        </w:trPr>
        <w:tc>
          <w:tcPr>
            <w:tcW w:w="1531" w:type="dxa"/>
            <w:vAlign w:val="center"/>
          </w:tcPr>
          <w:p w14:paraId="378248D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局部优化</w:t>
            </w:r>
          </w:p>
        </w:tc>
        <w:tc>
          <w:tcPr>
            <w:tcW w:w="2268" w:type="dxa"/>
            <w:vAlign w:val="center"/>
          </w:tcPr>
          <w:p w14:paraId="2D42957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初始坐标、间距规则</w:t>
            </w:r>
          </w:p>
        </w:tc>
        <w:tc>
          <w:tcPr>
            <w:tcW w:w="1928" w:type="dxa"/>
            <w:vAlign w:val="center"/>
          </w:tcPr>
          <w:p w14:paraId="58D29CF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优化测试点坐标</w:t>
            </w:r>
          </w:p>
        </w:tc>
        <w:tc>
          <w:tcPr>
            <w:tcW w:w="2835" w:type="dxa"/>
            <w:vAlign w:val="center"/>
          </w:tcPr>
          <w:p w14:paraId="5C448C5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降低面积和线长代价</w:t>
            </w:r>
          </w:p>
        </w:tc>
      </w:tr>
      <w:tr w14:paraId="5F8E0052">
        <w:trPr>
          <w:jc w:val="center"/>
        </w:trPr>
        <w:tc>
          <w:tcPr>
            <w:tcW w:w="1531" w:type="dxa"/>
            <w:vAlign w:val="center"/>
          </w:tcPr>
          <w:p w14:paraId="344127A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A*布线</w:t>
            </w:r>
          </w:p>
        </w:tc>
        <w:tc>
          <w:tcPr>
            <w:tcW w:w="2268" w:type="dxa"/>
            <w:vAlign w:val="center"/>
          </w:tcPr>
          <w:p w14:paraId="73DC4C8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端子、测试点、障碍区</w:t>
            </w:r>
          </w:p>
        </w:tc>
        <w:tc>
          <w:tcPr>
            <w:tcW w:w="1928" w:type="dxa"/>
            <w:vAlign w:val="center"/>
          </w:tcPr>
          <w:p w14:paraId="715B489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路径点序列</w:t>
            </w:r>
          </w:p>
        </w:tc>
        <w:tc>
          <w:tcPr>
            <w:tcW w:w="2835" w:type="dxa"/>
            <w:vAlign w:val="center"/>
          </w:tcPr>
          <w:p w14:paraId="4E254AD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验证可达性并统计线长</w:t>
            </w:r>
          </w:p>
        </w:tc>
      </w:tr>
      <w:tr w14:paraId="2F48A13F">
        <w:trPr>
          <w:jc w:val="center"/>
        </w:trPr>
        <w:tc>
          <w:tcPr>
            <w:tcW w:w="1531" w:type="dxa"/>
            <w:vAlign w:val="center"/>
          </w:tcPr>
          <w:p w14:paraId="63010C7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2268" w:type="dxa"/>
            <w:vAlign w:val="center"/>
          </w:tcPr>
          <w:p w14:paraId="55E9A61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预布线路径、拥塞图</w:t>
            </w:r>
          </w:p>
        </w:tc>
        <w:tc>
          <w:tcPr>
            <w:tcW w:w="1928" w:type="dxa"/>
            <w:vAlign w:val="center"/>
          </w:tcPr>
          <w:p w14:paraId="31B568E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低拥塞路径集合</w:t>
            </w:r>
          </w:p>
        </w:tc>
        <w:tc>
          <w:tcPr>
            <w:tcW w:w="2835" w:type="dxa"/>
            <w:vAlign w:val="center"/>
          </w:tcPr>
          <w:p w14:paraId="5D81723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降低局部重叠和通道热点</w:t>
            </w:r>
          </w:p>
        </w:tc>
      </w:tr>
      <w:tr w14:paraId="0B47E4DA">
        <w:trPr>
          <w:jc w:val="center"/>
        </w:trPr>
        <w:tc>
          <w:tcPr>
            <w:tcW w:w="1531" w:type="dxa"/>
            <w:vAlign w:val="center"/>
          </w:tcPr>
          <w:p w14:paraId="750C72D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指标评估</w:t>
            </w:r>
          </w:p>
        </w:tc>
        <w:tc>
          <w:tcPr>
            <w:tcW w:w="2268" w:type="dxa"/>
            <w:vAlign w:val="center"/>
          </w:tcPr>
          <w:p w14:paraId="57D0B49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布点和布线结果</w:t>
            </w:r>
          </w:p>
        </w:tc>
        <w:tc>
          <w:tcPr>
            <w:tcW w:w="1928" w:type="dxa"/>
            <w:vAlign w:val="center"/>
          </w:tcPr>
          <w:p w14:paraId="139AF74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CSV指标和SVG图</w:t>
            </w:r>
          </w:p>
        </w:tc>
        <w:tc>
          <w:tcPr>
            <w:tcW w:w="2835" w:type="dxa"/>
            <w:vAlign w:val="center"/>
          </w:tcPr>
          <w:p w14:paraId="7AF932C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支撑论文实验分析</w:t>
            </w:r>
          </w:p>
        </w:tc>
      </w:tr>
    </w:tbl>
    <w:p w14:paraId="6D92D0B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在实现上，拥塞感知A*的单步代价可以概括为：Cost(e)=L(e)+λobs·O(e)+λcong·U(e)+λturn·T(e)。其中，L(e)为网格边长度，O(e)为障碍或边界惩罚，U(e)为该边或所在Tile的当前占用次数，T(e)为转弯惩罚，λobs、λcong和λturn为权重系数。由于障碍属于硬约束，O(e)在障碍节点上相当于无穷大；拥塞和转弯属于软目标，仅在路径存在多种选择时影响A*搜索方向。该代价函数将胡木森网络流论文中的通道容量思想、刘自铭蚁群论文中的信息素思想和白胜泷Transformer-A*论文中的稳定搜索思想统一到同一工程实现框架中。</w:t>
      </w:r>
    </w:p>
    <w:p w14:paraId="2EE6B75D">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4.4 分层布线与重布线改进流程</w:t>
      </w:r>
    </w:p>
    <w:p w14:paraId="2C5DACD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参考网络流论文中“全局容量判断—局部细节布线”的层次化思路，本文将尾板布线过程进一步解释为三层：第一层为全局引导层，依据Tile容量和金手指分布判断大致通道；第二层为细节搜索层，使用A*在网格点上生成具体路径；第三层为拥塞修正层，根据已布路径占用情况提高热点网格代价，并对拥塞较高或线长异常的网络进行重布线。</w:t>
      </w:r>
    </w:p>
    <w:p w14:paraId="4CFBCC89">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该策略与蚁群算法中的信息素更新具有相似思想：历史路径经过次数越多，说明该区域越拥挤，后续网络再次经过该区域的代价越高。但与完整蚁群算法不同，本文不模拟大量蚂蚁随机搜索，而是在确定性A*搜索中加入动态代价项，因此更容易复现实验结果，也更适合当前C++原型。</w:t>
      </w:r>
    </w:p>
    <w:p w14:paraId="4295408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改进后的重布线流程为：先按金手指到测试点的估计距离由长到短排序，保证长线优先获得连续通道；随后执行初次A*布线并建立拥塞矩阵；若某网格占用次数超过阈值，则将相关网络加入重布线队列；最后提高热点区域代价并重新搜索路径。若重布线导致总线长明显增加，则保留原路径并记录拥塞风险。该流程体现了“布通优先、拥塞次之、线长折中”的工程逻辑。</w:t>
      </w:r>
    </w:p>
    <w:p w14:paraId="0BA5FC4F">
      <w:pPr>
        <w:pStyle w:val="3"/>
        <w:pageBreakBefore/>
        <w:spacing w:before="200" w:after="200" w:line="400" w:lineRule="exact"/>
        <w:jc w:val="center"/>
        <w:rPr>
          <w:color w:val="000000" w:themeColor="text1"/>
          <w14:textFill>
            <w14:solidFill>
              <w14:schemeClr w14:val="tx1"/>
            </w14:solidFill>
          </w14:textFill>
        </w:rPr>
      </w:pPr>
      <w:commentRangeStart w:id="6"/>
      <w:r>
        <w:rPr>
          <w:rFonts w:ascii="黑体" w:hAnsi="黑体" w:eastAsia="黑体"/>
          <w:b/>
          <w:color w:val="000000" w:themeColor="text1"/>
          <w:sz w:val="36"/>
          <w14:textFill>
            <w14:solidFill>
              <w14:schemeClr w14:val="tx1"/>
            </w14:solidFill>
          </w14:textFill>
        </w:rPr>
        <w:t>5 系统实现</w:t>
      </w:r>
      <w:commentRangeEnd w:id="6"/>
      <w:r>
        <w:rPr>
          <w:rStyle w:val="CommentReference"/>
        </w:rPr>
        <w:commentReference w:id="6"/>
      </w:r>
    </w:p>
    <w:p w14:paraId="35D755DC">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5.1 工程结构与运行方式</w:t>
      </w:r>
    </w:p>
    <w:p w14:paraId="0F92E0B4">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算法原型采用C++17标准实现，未引入Qt等图形界面依赖，以命令行方式保证跨平台可构建性和答辩演示便利性。工程包含CMakeLists.txt和Makefile两种构建入口；在当前macOS环境中，由于未安装CMake，使用Apple clang和Makefile完成了实际编译验证。程序入口参数固定为“--case 案例文件 --out 输出目录”，案例文件采用简单CSV键值格式描述引脚数量、尾板尺寸、金手指间距、网格步长、最小测试点间距和障碍区域。</w:t>
      </w:r>
    </w:p>
    <w:p w14:paraId="5CFE9E3A">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5-1 工程文件结构与运行说明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2268"/>
        <w:gridCol w:w="3515"/>
      </w:tblGrid>
      <w:tr w14:paraId="39F5A471">
        <w:trPr>
          <w:tblHeader/>
          <w:jc w:val="center"/>
        </w:trPr>
        <w:tc>
          <w:tcPr>
            <w:tcW w:w="2608" w:type="dxa"/>
            <w:shd w:val="clear" w:color="auto" w:fill="EAF2F8"/>
            <w:vAlign w:val="center"/>
          </w:tcPr>
          <w:p w14:paraId="0447FAA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路径</w:t>
            </w:r>
          </w:p>
        </w:tc>
        <w:tc>
          <w:tcPr>
            <w:tcW w:w="2268" w:type="dxa"/>
            <w:shd w:val="clear" w:color="auto" w:fill="EAF2F8"/>
            <w:vAlign w:val="center"/>
          </w:tcPr>
          <w:p w14:paraId="045CCD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内容</w:t>
            </w:r>
          </w:p>
        </w:tc>
        <w:tc>
          <w:tcPr>
            <w:tcW w:w="3515" w:type="dxa"/>
            <w:shd w:val="clear" w:color="auto" w:fill="EAF2F8"/>
            <w:vAlign w:val="center"/>
          </w:tcPr>
          <w:p w14:paraId="5D05ECB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说明</w:t>
            </w:r>
          </w:p>
        </w:tc>
      </w:tr>
      <w:tr w14:paraId="1F4F3C6F">
        <w:trPr>
          <w:jc w:val="center"/>
        </w:trPr>
        <w:tc>
          <w:tcPr>
            <w:tcW w:w="2608" w:type="dxa"/>
            <w:vAlign w:val="center"/>
          </w:tcPr>
          <w:p w14:paraId="6E87065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include/pcb_tail_router.hpp</w:t>
            </w:r>
          </w:p>
        </w:tc>
        <w:tc>
          <w:tcPr>
            <w:tcW w:w="2268" w:type="dxa"/>
            <w:vAlign w:val="center"/>
          </w:tcPr>
          <w:p w14:paraId="5D8D21A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核心数据结构</w:t>
            </w:r>
          </w:p>
        </w:tc>
        <w:tc>
          <w:tcPr>
            <w:tcW w:w="3515" w:type="dxa"/>
            <w:vAlign w:val="center"/>
          </w:tcPr>
          <w:p w14:paraId="153318F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定义Point、Rect、Scenario、TestPoint、Route、Metrics等模型</w:t>
            </w:r>
          </w:p>
        </w:tc>
      </w:tr>
      <w:tr w14:paraId="6A82EC7B">
        <w:trPr>
          <w:jc w:val="center"/>
        </w:trPr>
        <w:tc>
          <w:tcPr>
            <w:tcW w:w="2608" w:type="dxa"/>
            <w:vAlign w:val="center"/>
          </w:tcPr>
          <w:p w14:paraId="496145B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src/main.cpp</w:t>
            </w:r>
          </w:p>
        </w:tc>
        <w:tc>
          <w:tcPr>
            <w:tcW w:w="2268" w:type="dxa"/>
            <w:vAlign w:val="center"/>
          </w:tcPr>
          <w:p w14:paraId="2A9AC93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算法实现与命令行入口</w:t>
            </w:r>
          </w:p>
        </w:tc>
        <w:tc>
          <w:tcPr>
            <w:tcW w:w="3515" w:type="dxa"/>
            <w:vAlign w:val="center"/>
          </w:tcPr>
          <w:p w14:paraId="02FEF82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包含案例解析、布点、布线、指标统计和SVG输出</w:t>
            </w:r>
          </w:p>
        </w:tc>
      </w:tr>
      <w:tr w14:paraId="467257FA">
        <w:trPr>
          <w:jc w:val="center"/>
        </w:trPr>
        <w:tc>
          <w:tcPr>
            <w:tcW w:w="2608" w:type="dxa"/>
            <w:vAlign w:val="center"/>
          </w:tcPr>
          <w:p w14:paraId="70A3AC5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data/case_*.csv</w:t>
            </w:r>
          </w:p>
        </w:tc>
        <w:tc>
          <w:tcPr>
            <w:tcW w:w="2268" w:type="dxa"/>
            <w:vAlign w:val="center"/>
          </w:tcPr>
          <w:p w14:paraId="5F67B22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五组实验案例</w:t>
            </w:r>
          </w:p>
        </w:tc>
        <w:tc>
          <w:tcPr>
            <w:tcW w:w="3515" w:type="dxa"/>
            <w:vAlign w:val="center"/>
          </w:tcPr>
          <w:p w14:paraId="7064A3F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覆盖低密度、中密度、高密度、障碍和面积受限场景</w:t>
            </w:r>
          </w:p>
        </w:tc>
      </w:tr>
      <w:tr w14:paraId="2E35B81C">
        <w:trPr>
          <w:jc w:val="center"/>
        </w:trPr>
        <w:tc>
          <w:tcPr>
            <w:tcW w:w="2608" w:type="dxa"/>
            <w:vAlign w:val="center"/>
          </w:tcPr>
          <w:p w14:paraId="154BC24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results/case_*</w:t>
            </w:r>
          </w:p>
        </w:tc>
        <w:tc>
          <w:tcPr>
            <w:tcW w:w="2268" w:type="dxa"/>
            <w:vAlign w:val="center"/>
          </w:tcPr>
          <w:p w14:paraId="0B176C1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运行结果</w:t>
            </w:r>
          </w:p>
        </w:tc>
        <w:tc>
          <w:tcPr>
            <w:tcW w:w="3515" w:type="dxa"/>
            <w:vAlign w:val="center"/>
          </w:tcPr>
          <w:p w14:paraId="0A16A45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包含placement.csv、routes.csv、metrics.csv和layout.svg</w:t>
            </w:r>
          </w:p>
        </w:tc>
      </w:tr>
      <w:tr w14:paraId="53A5B37D">
        <w:trPr>
          <w:jc w:val="center"/>
        </w:trPr>
        <w:tc>
          <w:tcPr>
            <w:tcW w:w="2608" w:type="dxa"/>
            <w:vAlign w:val="center"/>
          </w:tcPr>
          <w:p w14:paraId="4973E1D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README.md</w:t>
            </w:r>
          </w:p>
        </w:tc>
        <w:tc>
          <w:tcPr>
            <w:tcW w:w="2268" w:type="dxa"/>
            <w:vAlign w:val="center"/>
          </w:tcPr>
          <w:p w14:paraId="545EDC6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运行说明</w:t>
            </w:r>
          </w:p>
        </w:tc>
        <w:tc>
          <w:tcPr>
            <w:tcW w:w="3515" w:type="dxa"/>
            <w:vAlign w:val="center"/>
          </w:tcPr>
          <w:p w14:paraId="724D4A8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记录构建命令、运行命令和输出文件含义</w:t>
            </w:r>
          </w:p>
        </w:tc>
      </w:tr>
    </w:tbl>
    <w:p w14:paraId="100FF487">
      <w:pPr>
        <w:spacing w:line="400" w:lineRule="exact" w:before="0" w:after="0"/>
        <w:rPr>
          <w:color w:val="000000" w:themeColor="text1"/>
          <w14:textFill>
            <w14:solidFill>
              <w14:schemeClr w14:val="tx1"/>
            </w14:solidFill>
          </w14:textFill>
        </w:rPr>
      </w:pPr>
    </w:p>
    <w:p w14:paraId="7CE2D4D1">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5.2 输出文件说明</w:t>
      </w:r>
    </w:p>
    <w:p w14:paraId="62516869">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placement.csv记录每个金手指对应测试点的坐标，可用于检查布点是否满足间距和边界约束；routes.csv记录每条网络是否布通、路径长度以及路径点序列，可用于复核障碍避让和线长统计；metrics.csv记录基线规则方案与优化方案的核心指标，是论文第六章表格和图表的数据来源；layout.svg以图形方式展示尾板边界、金手指、障碍、测试点和布线路径，便于答辩时直观说明算法效果。</w:t>
      </w:r>
    </w:p>
    <w:p w14:paraId="15D95624">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5.3 关键函数与数据流</w:t>
      </w:r>
    </w:p>
    <w:p w14:paraId="43F9AC57">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程序的数据流从案例解析开始。read_scenario函数负责读取CSV键值对，将引脚数量、尾板尺寸、金手指间距、网格步长、测试点最小间距和障碍区域转化为Scenario结构体。generate_pins函数根据金手指数量和间距在尾板上边界生成端子坐标，保证不同案例具有统一的数据入口。generate_candidates函数遍历尾板内部网格点并剔除障碍点，形成可选测试点集合。上述步骤对应论文模型中的输入层和约束预处理层，决定后续算法是否能够在合法空间内搜索。</w:t>
      </w:r>
    </w:p>
    <w:p w14:paraId="76A43DA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点阶段由place_baseline、place_optimized和place_pso_hanan三个函数分别实现。第一组按照规则行列方式放置测试点，用作人工经验方案的近似基线；第二组先根据金手指横向位置分配目标带，再对候选点进行贪心选择和局部禁忌调整；第三组参考PSO与Hanan点优化思想，用粒子群搜索布点参数，并在候选点选择中综合线长、面积和间距代价。PSO实现采用递减惯性权重，使前期具有更强探索能力，后期逐步收敛到稳定参数组合。</w:t>
      </w:r>
    </w:p>
    <w:p w14:paraId="545A840B">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线阶段由astar、route_all和route_all_congestion_aware函数完成。astar函数在网格图上搜索单个网络路径，障碍区域被视为不可访问节点；route_all函数依次处理所有测试点，并将路径结果整理为Route集合；route_all_congestion_aware函数则在预布线结果基础上构建动态拥塞图，将历史路径占用作为类似蚁群信息素的代价项，引导后续网络避开热点区域。evaluate函数对布点和布线结果进行统一评价，除覆盖率、布通率、面积占比、总线长和违规数外，还统计拥塞峰值和拥挤网格数量。write_csvs和write_svg函数负责把结果落盘，形成论文可引用的数据和图示。</w:t>
      </w:r>
    </w:p>
    <w:p w14:paraId="16264007">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5.4 文献支撑下的代码模块对应关系</w:t>
      </w:r>
    </w:p>
    <w:p w14:paraId="03133F63">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为保证“论文—文献—代码”三者一致，本文将每类文献思想对应到一个可检查的程序模块。该对应关系不仅能够说明算法来源，也能够说明相关思想在源代码结构和实验指标中的具体体现。</w:t>
      </w:r>
    </w:p>
    <w:p w14:paraId="0C539AE1">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5-2 文献思想与 C++ 模块对应关系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58"/>
        <w:gridCol w:w="2268"/>
        <w:gridCol w:w="2268"/>
      </w:tblGrid>
      <w:tr w14:paraId="72A74AF5">
        <w:trPr>
          <w:tblHeader/>
          <w:jc w:val="center"/>
        </w:trPr>
        <w:tc>
          <w:tcPr>
            <w:tcW w:w="2268" w:type="dxa"/>
            <w:vAlign w:val="center"/>
          </w:tcPr>
          <w:p w14:paraId="3D31B5C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文献思想</w:t>
            </w:r>
          </w:p>
        </w:tc>
        <w:tc>
          <w:tcPr>
            <w:tcW w:w="2268" w:type="dxa"/>
            <w:vAlign w:val="center"/>
          </w:tcPr>
          <w:p w14:paraId="002E20A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代码/流程对应位置</w:t>
            </w:r>
          </w:p>
        </w:tc>
        <w:tc>
          <w:tcPr>
            <w:tcW w:w="2268" w:type="dxa"/>
            <w:vAlign w:val="center"/>
          </w:tcPr>
          <w:p w14:paraId="40427C8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输出证据</w:t>
            </w:r>
          </w:p>
        </w:tc>
        <w:tc>
          <w:tcPr>
            <w:tcW w:w="2268" w:type="dxa"/>
            <w:vAlign w:val="center"/>
          </w:tcPr>
          <w:p w14:paraId="4E18AEB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说明</w:t>
            </w:r>
          </w:p>
        </w:tc>
      </w:tr>
      <w:tr w14:paraId="7F76B78B">
        <w:trPr>
          <w:jc w:val="center"/>
        </w:trPr>
        <w:tc>
          <w:tcPr>
            <w:tcW w:w="2268" w:type="dxa"/>
            <w:vAlign w:val="center"/>
          </w:tcPr>
          <w:p w14:paraId="097C7A3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TPI候选选择</w:t>
            </w:r>
          </w:p>
        </w:tc>
        <w:tc>
          <w:tcPr>
            <w:tcW w:w="2268" w:type="dxa"/>
            <w:vAlign w:val="center"/>
          </w:tcPr>
          <w:p w14:paraId="0556A5E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generate_candidates、place_optimized</w:t>
            </w:r>
          </w:p>
        </w:tc>
        <w:tc>
          <w:tcPr>
            <w:tcW w:w="2268" w:type="dxa"/>
            <w:vAlign w:val="center"/>
          </w:tcPr>
          <w:p w14:paraId="16C1BB2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placement.csv、覆盖率</w:t>
            </w:r>
          </w:p>
        </w:tc>
        <w:tc>
          <w:tcPr>
            <w:tcW w:w="2268" w:type="dxa"/>
            <w:vAlign w:val="center"/>
          </w:tcPr>
          <w:p w14:paraId="49E942F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体现测试点插入与覆盖率目标</w:t>
            </w:r>
          </w:p>
        </w:tc>
      </w:tr>
      <w:tr w14:paraId="36426A2B">
        <w:trPr>
          <w:jc w:val="center"/>
        </w:trPr>
        <w:tc>
          <w:tcPr>
            <w:tcW w:w="2268" w:type="dxa"/>
            <w:vAlign w:val="center"/>
          </w:tcPr>
          <w:p w14:paraId="48DC2D3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PSO与Hanan候选优化</w:t>
            </w:r>
          </w:p>
        </w:tc>
        <w:tc>
          <w:tcPr>
            <w:tcW w:w="2268" w:type="dxa"/>
            <w:vAlign w:val="center"/>
          </w:tcPr>
          <w:p w14:paraId="2CE33E3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place_pso_hanan</w:t>
            </w:r>
          </w:p>
        </w:tc>
        <w:tc>
          <w:tcPr>
            <w:tcW w:w="2268" w:type="dxa"/>
            <w:vAlign w:val="center"/>
          </w:tcPr>
          <w:p w14:paraId="669CB2D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面积占比、总线长</w:t>
            </w:r>
          </w:p>
        </w:tc>
        <w:tc>
          <w:tcPr>
            <w:tcW w:w="2268" w:type="dxa"/>
            <w:vAlign w:val="center"/>
          </w:tcPr>
          <w:p w14:paraId="59C67AD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用于压缩布点范围并降低路径长度</w:t>
            </w:r>
          </w:p>
        </w:tc>
      </w:tr>
      <w:tr w14:paraId="7271D6D0">
        <w:trPr>
          <w:jc w:val="center"/>
        </w:trPr>
        <w:tc>
          <w:tcPr>
            <w:tcW w:w="2268" w:type="dxa"/>
            <w:vAlign w:val="center"/>
          </w:tcPr>
          <w:p w14:paraId="281E0F0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A*与经典迷宫搜索</w:t>
            </w:r>
          </w:p>
        </w:tc>
        <w:tc>
          <w:tcPr>
            <w:tcW w:w="2268" w:type="dxa"/>
            <w:vAlign w:val="center"/>
          </w:tcPr>
          <w:p w14:paraId="0085AA2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astar、route_all</w:t>
            </w:r>
          </w:p>
        </w:tc>
        <w:tc>
          <w:tcPr>
            <w:tcW w:w="2268" w:type="dxa"/>
            <w:vAlign w:val="center"/>
          </w:tcPr>
          <w:p w14:paraId="71D7C9E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routes.csv、线长、布通率</w:t>
            </w:r>
          </w:p>
        </w:tc>
        <w:tc>
          <w:tcPr>
            <w:tcW w:w="2268" w:type="dxa"/>
            <w:vAlign w:val="center"/>
          </w:tcPr>
          <w:p w14:paraId="01B85A7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完成端子到测试点的可达路径搜索</w:t>
            </w:r>
          </w:p>
        </w:tc>
      </w:tr>
      <w:tr w14:paraId="0C527C64">
        <w:trPr>
          <w:jc w:val="center"/>
        </w:trPr>
        <w:tc>
          <w:tcPr>
            <w:tcW w:w="2268" w:type="dxa"/>
            <w:vAlign w:val="center"/>
          </w:tcPr>
          <w:p w14:paraId="6D6F03F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网络流容量/拥塞</w:t>
            </w:r>
          </w:p>
        </w:tc>
        <w:tc>
          <w:tcPr>
            <w:tcW w:w="2268" w:type="dxa"/>
            <w:vAlign w:val="center"/>
          </w:tcPr>
          <w:p w14:paraId="09414C4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congestion map、evaluate</w:t>
            </w:r>
          </w:p>
        </w:tc>
        <w:tc>
          <w:tcPr>
            <w:tcW w:w="2268" w:type="dxa"/>
            <w:vAlign w:val="center"/>
          </w:tcPr>
          <w:p w14:paraId="0184C88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拥塞峰值、拥挤网格数</w:t>
            </w:r>
          </w:p>
        </w:tc>
        <w:tc>
          <w:tcPr>
            <w:tcW w:w="2268" w:type="dxa"/>
            <w:vAlign w:val="center"/>
          </w:tcPr>
          <w:p w14:paraId="6A59DFD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统计通道占用并识别拥塞热点</w:t>
            </w:r>
          </w:p>
        </w:tc>
      </w:tr>
      <w:tr w14:paraId="0DED5A28">
        <w:trPr>
          <w:jc w:val="center"/>
        </w:trPr>
        <w:tc>
          <w:tcPr>
            <w:tcW w:w="2268" w:type="dxa"/>
            <w:vAlign w:val="center"/>
          </w:tcPr>
          <w:p w14:paraId="09124A4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蚁群信息素/拆线重布</w:t>
            </w:r>
          </w:p>
        </w:tc>
        <w:tc>
          <w:tcPr>
            <w:tcW w:w="2268" w:type="dxa"/>
            <w:vAlign w:val="center"/>
          </w:tcPr>
          <w:p w14:paraId="5ACB88C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route_all_congestion_aware</w:t>
            </w:r>
          </w:p>
        </w:tc>
        <w:tc>
          <w:tcPr>
            <w:tcW w:w="2268" w:type="dxa"/>
            <w:vAlign w:val="center"/>
          </w:tcPr>
          <w:p w14:paraId="361FECD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拥塞重布线指标</w:t>
            </w:r>
          </w:p>
        </w:tc>
        <w:tc>
          <w:tcPr>
            <w:tcW w:w="2268" w:type="dxa"/>
            <w:vAlign w:val="center"/>
          </w:tcPr>
          <w:p w14:paraId="764A7E4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用历史占用提高热点代价，引导后续路径绕行</w:t>
            </w:r>
          </w:p>
        </w:tc>
      </w:tr>
      <w:tr w14:paraId="322FFC9A">
        <w:trPr>
          <w:jc w:val="center"/>
        </w:trPr>
        <w:tc>
          <w:tcPr>
            <w:tcW w:w="2268" w:type="dxa"/>
            <w:vAlign w:val="center"/>
          </w:tcPr>
          <w:p w14:paraId="51D3782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合法化与DRC</w:t>
            </w:r>
          </w:p>
        </w:tc>
        <w:tc>
          <w:tcPr>
            <w:tcW w:w="2268" w:type="dxa"/>
            <w:vAlign w:val="center"/>
          </w:tcPr>
          <w:p w14:paraId="679161B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is_valid、违规统计</w:t>
            </w:r>
          </w:p>
        </w:tc>
        <w:tc>
          <w:tcPr>
            <w:tcW w:w="2268" w:type="dxa"/>
            <w:vAlign w:val="center"/>
          </w:tcPr>
          <w:p w14:paraId="3D968FC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violations字段</w:t>
            </w:r>
          </w:p>
        </w:tc>
        <w:tc>
          <w:tcPr>
            <w:tcW w:w="2268" w:type="dxa"/>
            <w:vAlign w:val="center"/>
          </w:tcPr>
          <w:p w14:paraId="25F395A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把障碍、点间距和未布通统一为合法性指标</w:t>
            </w:r>
          </w:p>
        </w:tc>
      </w:tr>
    </w:tbl>
    <w:p w14:paraId="5EE2BE9A">
      <w:pPr>
        <w:pStyle w:val="3"/>
        <w:pageBreakBefore/>
        <w:spacing w:before="200" w:after="200" w:line="400" w:lineRule="exact"/>
        <w:jc w:val="center"/>
        <w:rPr>
          <w:color w:val="000000" w:themeColor="text1"/>
          <w14:textFill>
            <w14:solidFill>
              <w14:schemeClr w14:val="tx1"/>
            </w14:solidFill>
          </w14:textFill>
        </w:rPr>
      </w:pPr>
      <w:commentRangeStart w:id="7"/>
      <w:r>
        <w:rPr>
          <w:rFonts w:ascii="黑体" w:hAnsi="黑体" w:eastAsia="黑体"/>
          <w:b/>
          <w:color w:val="000000" w:themeColor="text1"/>
          <w:sz w:val="36"/>
          <w14:textFill>
            <w14:solidFill>
              <w14:schemeClr w14:val="tx1"/>
            </w14:solidFill>
          </w14:textFill>
        </w:rPr>
        <w:t>6 实验结果与分析</w:t>
      </w:r>
      <w:commentRangeEnd w:id="7"/>
      <w:r>
        <w:rPr>
          <w:rStyle w:val="CommentReference"/>
        </w:rPr>
        <w:commentReference w:id="7"/>
      </w:r>
    </w:p>
    <w:p w14:paraId="666C0541">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6.1 实验设置</w:t>
      </w:r>
    </w:p>
    <w:p w14:paraId="4199D28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受企业真实PCB设计文件获取条件限制，本文按照开题报告和阶段性报告确定的研究方向，结合金手指制造资料、PCB可测性设计资料以及相关文献中的高密度、障碍、拥塞和面积受限场景，构造五组具有代表性的参数化案例进行仿真实验[13-23]。案例一为40 pin低密度金手指，用于验证算法基本功能；案例二为80 pin中密度金手指，用于验证常规规模下的面积和线长优化；案例三为120 pin高密度金手指，用于验证端子密集时的布点能力；案例四加入两个矩形障碍区域，用于验证绕障能力；案例五压缩尾板面积并加入障碍，用于模拟面积受限场景。所有实验均由同一C++程序生成结果，未手工调整输出数据。</w:t>
      </w:r>
    </w:p>
    <w:p w14:paraId="62ABA263">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6-1 参数化实验案例设置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964"/>
        <w:gridCol w:w="1134"/>
        <w:gridCol w:w="1134"/>
        <w:gridCol w:w="1134"/>
        <w:gridCol w:w="2835"/>
      </w:tblGrid>
      <w:tr w14:paraId="5949ABA1">
        <w:trPr>
          <w:tblHeader/>
          <w:jc w:val="center"/>
        </w:trPr>
        <w:tc>
          <w:tcPr>
            <w:tcW w:w="1474" w:type="dxa"/>
            <w:shd w:val="clear" w:color="auto" w:fill="EAF2F8"/>
            <w:vAlign w:val="center"/>
          </w:tcPr>
          <w:p w14:paraId="2382CBD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案例</w:t>
            </w:r>
          </w:p>
        </w:tc>
        <w:tc>
          <w:tcPr>
            <w:tcW w:w="964" w:type="dxa"/>
            <w:shd w:val="clear" w:color="auto" w:fill="EAF2F8"/>
            <w:vAlign w:val="center"/>
          </w:tcPr>
          <w:p w14:paraId="19E3AB7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引脚数</w:t>
            </w:r>
          </w:p>
        </w:tc>
        <w:tc>
          <w:tcPr>
            <w:tcW w:w="1134" w:type="dxa"/>
            <w:shd w:val="clear" w:color="auto" w:fill="EAF2F8"/>
            <w:vAlign w:val="center"/>
          </w:tcPr>
          <w:p w14:paraId="2DA682A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宽度/mm</w:t>
            </w:r>
          </w:p>
        </w:tc>
        <w:tc>
          <w:tcPr>
            <w:tcW w:w="1134" w:type="dxa"/>
            <w:shd w:val="clear" w:color="auto" w:fill="EAF2F8"/>
            <w:vAlign w:val="center"/>
          </w:tcPr>
          <w:p w14:paraId="2C4A3E9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高度/mm</w:t>
            </w:r>
          </w:p>
        </w:tc>
        <w:tc>
          <w:tcPr>
            <w:tcW w:w="1134" w:type="dxa"/>
            <w:shd w:val="clear" w:color="auto" w:fill="EAF2F8"/>
            <w:vAlign w:val="center"/>
          </w:tcPr>
          <w:p w14:paraId="551723F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间距/mm</w:t>
            </w:r>
          </w:p>
        </w:tc>
        <w:tc>
          <w:tcPr>
            <w:tcW w:w="2835" w:type="dxa"/>
            <w:shd w:val="clear" w:color="auto" w:fill="EAF2F8"/>
            <w:vAlign w:val="center"/>
          </w:tcPr>
          <w:p w14:paraId="745D938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障碍设置</w:t>
            </w:r>
          </w:p>
        </w:tc>
      </w:tr>
      <w:tr w14:paraId="6A86AE1E">
        <w:trPr>
          <w:jc w:val="center"/>
        </w:trPr>
        <w:tc>
          <w:tcPr>
            <w:tcW w:w="1474" w:type="dxa"/>
            <w:vAlign w:val="center"/>
          </w:tcPr>
          <w:p w14:paraId="25910AF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case_01</w:t>
            </w:r>
          </w:p>
        </w:tc>
        <w:tc>
          <w:tcPr>
            <w:tcW w:w="964" w:type="dxa"/>
            <w:vAlign w:val="center"/>
          </w:tcPr>
          <w:p w14:paraId="0D40C15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40</w:t>
            </w:r>
          </w:p>
        </w:tc>
        <w:tc>
          <w:tcPr>
            <w:tcW w:w="1134" w:type="dxa"/>
            <w:vAlign w:val="center"/>
          </w:tcPr>
          <w:p w14:paraId="301A664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90</w:t>
            </w:r>
          </w:p>
        </w:tc>
        <w:tc>
          <w:tcPr>
            <w:tcW w:w="1134" w:type="dxa"/>
            <w:vAlign w:val="center"/>
          </w:tcPr>
          <w:p w14:paraId="5DC4BBC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42</w:t>
            </w:r>
          </w:p>
        </w:tc>
        <w:tc>
          <w:tcPr>
            <w:tcW w:w="1134" w:type="dxa"/>
            <w:vAlign w:val="center"/>
          </w:tcPr>
          <w:p w14:paraId="7D9B526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1.27</w:t>
            </w:r>
          </w:p>
        </w:tc>
        <w:tc>
          <w:tcPr>
            <w:tcW w:w="2835" w:type="dxa"/>
            <w:vAlign w:val="center"/>
          </w:tcPr>
          <w:p w14:paraId="29F7F50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none</w:t>
            </w:r>
          </w:p>
        </w:tc>
      </w:tr>
      <w:tr w14:paraId="7416776A">
        <w:trPr>
          <w:jc w:val="center"/>
        </w:trPr>
        <w:tc>
          <w:tcPr>
            <w:tcW w:w="1474" w:type="dxa"/>
            <w:vAlign w:val="center"/>
          </w:tcPr>
          <w:p w14:paraId="1BE8FC8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case_02</w:t>
            </w:r>
          </w:p>
        </w:tc>
        <w:tc>
          <w:tcPr>
            <w:tcW w:w="964" w:type="dxa"/>
            <w:vAlign w:val="center"/>
          </w:tcPr>
          <w:p w14:paraId="731F5FC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80</w:t>
            </w:r>
          </w:p>
        </w:tc>
        <w:tc>
          <w:tcPr>
            <w:tcW w:w="1134" w:type="dxa"/>
            <w:vAlign w:val="center"/>
          </w:tcPr>
          <w:p w14:paraId="47F0D00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96</w:t>
            </w:r>
          </w:p>
        </w:tc>
        <w:tc>
          <w:tcPr>
            <w:tcW w:w="1134" w:type="dxa"/>
            <w:vAlign w:val="center"/>
          </w:tcPr>
          <w:p w14:paraId="42B08BD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48</w:t>
            </w:r>
          </w:p>
        </w:tc>
        <w:tc>
          <w:tcPr>
            <w:tcW w:w="1134" w:type="dxa"/>
            <w:vAlign w:val="center"/>
          </w:tcPr>
          <w:p w14:paraId="72C5A1E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0.8</w:t>
            </w:r>
          </w:p>
        </w:tc>
        <w:tc>
          <w:tcPr>
            <w:tcW w:w="2835" w:type="dxa"/>
            <w:vAlign w:val="center"/>
          </w:tcPr>
          <w:p w14:paraId="3020301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none</w:t>
            </w:r>
          </w:p>
        </w:tc>
      </w:tr>
      <w:tr w14:paraId="498D0896">
        <w:trPr>
          <w:jc w:val="center"/>
        </w:trPr>
        <w:tc>
          <w:tcPr>
            <w:tcW w:w="1474" w:type="dxa"/>
            <w:vAlign w:val="center"/>
          </w:tcPr>
          <w:p w14:paraId="3D6BE08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case_03</w:t>
            </w:r>
          </w:p>
        </w:tc>
        <w:tc>
          <w:tcPr>
            <w:tcW w:w="964" w:type="dxa"/>
            <w:vAlign w:val="center"/>
          </w:tcPr>
          <w:p w14:paraId="552B9E4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120</w:t>
            </w:r>
          </w:p>
        </w:tc>
        <w:tc>
          <w:tcPr>
            <w:tcW w:w="1134" w:type="dxa"/>
            <w:vAlign w:val="center"/>
          </w:tcPr>
          <w:p w14:paraId="225B737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110</w:t>
            </w:r>
          </w:p>
        </w:tc>
        <w:tc>
          <w:tcPr>
            <w:tcW w:w="1134" w:type="dxa"/>
            <w:vAlign w:val="center"/>
          </w:tcPr>
          <w:p w14:paraId="6006D47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54</w:t>
            </w:r>
          </w:p>
        </w:tc>
        <w:tc>
          <w:tcPr>
            <w:tcW w:w="1134" w:type="dxa"/>
            <w:vAlign w:val="center"/>
          </w:tcPr>
          <w:p w14:paraId="1BB787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0.65</w:t>
            </w:r>
          </w:p>
        </w:tc>
        <w:tc>
          <w:tcPr>
            <w:tcW w:w="2835" w:type="dxa"/>
            <w:vAlign w:val="center"/>
          </w:tcPr>
          <w:p w14:paraId="3E9F09C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none</w:t>
            </w:r>
          </w:p>
        </w:tc>
      </w:tr>
      <w:tr w14:paraId="723758F2">
        <w:trPr>
          <w:jc w:val="center"/>
        </w:trPr>
        <w:tc>
          <w:tcPr>
            <w:tcW w:w="1474" w:type="dxa"/>
            <w:vAlign w:val="center"/>
          </w:tcPr>
          <w:p w14:paraId="7CC0ED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case_04</w:t>
            </w:r>
          </w:p>
        </w:tc>
        <w:tc>
          <w:tcPr>
            <w:tcW w:w="964" w:type="dxa"/>
            <w:vAlign w:val="center"/>
          </w:tcPr>
          <w:p w14:paraId="7B35EBE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96</w:t>
            </w:r>
          </w:p>
        </w:tc>
        <w:tc>
          <w:tcPr>
            <w:tcW w:w="1134" w:type="dxa"/>
            <w:vAlign w:val="center"/>
          </w:tcPr>
          <w:p w14:paraId="6872E4D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105</w:t>
            </w:r>
          </w:p>
        </w:tc>
        <w:tc>
          <w:tcPr>
            <w:tcW w:w="1134" w:type="dxa"/>
            <w:vAlign w:val="center"/>
          </w:tcPr>
          <w:p w14:paraId="3A5B4CA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52</w:t>
            </w:r>
          </w:p>
        </w:tc>
        <w:tc>
          <w:tcPr>
            <w:tcW w:w="1134" w:type="dxa"/>
            <w:vAlign w:val="center"/>
          </w:tcPr>
          <w:p w14:paraId="2B33CA3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0.75</w:t>
            </w:r>
          </w:p>
        </w:tc>
        <w:tc>
          <w:tcPr>
            <w:tcW w:w="2835" w:type="dxa"/>
            <w:vAlign w:val="center"/>
          </w:tcPr>
          <w:p w14:paraId="3797076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36:13:48:28;66:18:78:34</w:t>
            </w:r>
          </w:p>
        </w:tc>
      </w:tr>
      <w:tr w14:paraId="1CCEF58F">
        <w:trPr>
          <w:jc w:val="center"/>
        </w:trPr>
        <w:tc>
          <w:tcPr>
            <w:tcW w:w="1474" w:type="dxa"/>
            <w:vAlign w:val="center"/>
          </w:tcPr>
          <w:p w14:paraId="6F35A8C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case_05</w:t>
            </w:r>
          </w:p>
        </w:tc>
        <w:tc>
          <w:tcPr>
            <w:tcW w:w="964" w:type="dxa"/>
            <w:vAlign w:val="center"/>
          </w:tcPr>
          <w:p w14:paraId="1F95D81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w:t>
            </w:r>
          </w:p>
        </w:tc>
        <w:tc>
          <w:tcPr>
            <w:tcW w:w="1134" w:type="dxa"/>
            <w:vAlign w:val="center"/>
          </w:tcPr>
          <w:p w14:paraId="138C126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82</w:t>
            </w:r>
          </w:p>
        </w:tc>
        <w:tc>
          <w:tcPr>
            <w:tcW w:w="1134" w:type="dxa"/>
            <w:vAlign w:val="center"/>
          </w:tcPr>
          <w:p w14:paraId="556AB11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38</w:t>
            </w:r>
          </w:p>
        </w:tc>
        <w:tc>
          <w:tcPr>
            <w:tcW w:w="1134" w:type="dxa"/>
            <w:vAlign w:val="center"/>
          </w:tcPr>
          <w:p w14:paraId="7E1F949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0.65</w:t>
            </w:r>
          </w:p>
        </w:tc>
        <w:tc>
          <w:tcPr>
            <w:tcW w:w="2835" w:type="dxa"/>
            <w:vAlign w:val="center"/>
          </w:tcPr>
          <w:p w14:paraId="06CB1E4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30:12:42:23</w:t>
            </w:r>
          </w:p>
        </w:tc>
      </w:tr>
    </w:tbl>
    <w:p w14:paraId="35BFF4DA">
      <w:pPr>
        <w:spacing w:line="400" w:lineRule="exact" w:before="0" w:after="0"/>
        <w:rPr>
          <w:color w:val="000000" w:themeColor="text1"/>
          <w14:textFill>
            <w14:solidFill>
              <w14:schemeClr w14:val="tx1"/>
            </w14:solidFill>
          </w14:textFill>
        </w:rPr>
      </w:pPr>
    </w:p>
    <w:p w14:paraId="6598E579">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6.2 指标结果</w:t>
      </w:r>
    </w:p>
    <w:p w14:paraId="30B7AF7F">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6-2 不同算法实验结果对比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020"/>
        <w:gridCol w:w="1020"/>
        <w:gridCol w:w="1134"/>
        <w:gridCol w:w="1020"/>
        <w:gridCol w:w="1020"/>
        <w:gridCol w:w="794"/>
      </w:tblGrid>
      <w:tr w14:paraId="6CAFDAA0">
        <w:trPr>
          <w:tblHeader/>
          <w:jc w:val="center"/>
        </w:trPr>
        <w:tc>
          <w:tcPr>
            <w:tcW w:w="1134" w:type="dxa"/>
            <w:shd w:val="clear" w:color="auto" w:fill="EAF2F8"/>
            <w:vAlign w:val="center"/>
          </w:tcPr>
          <w:p w14:paraId="25DE457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案例</w:t>
            </w:r>
          </w:p>
        </w:tc>
        <w:tc>
          <w:tcPr>
            <w:tcW w:w="1361" w:type="dxa"/>
            <w:shd w:val="clear" w:color="auto" w:fill="EAF2F8"/>
            <w:vAlign w:val="center"/>
          </w:tcPr>
          <w:p w14:paraId="1BC1226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算法</w:t>
            </w:r>
          </w:p>
        </w:tc>
        <w:tc>
          <w:tcPr>
            <w:tcW w:w="1020" w:type="dxa"/>
            <w:shd w:val="clear" w:color="auto" w:fill="EAF2F8"/>
            <w:vAlign w:val="center"/>
          </w:tcPr>
          <w:p w14:paraId="2B26E37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布通/%</w:t>
            </w:r>
          </w:p>
        </w:tc>
        <w:tc>
          <w:tcPr>
            <w:tcW w:w="1020" w:type="dxa"/>
            <w:shd w:val="clear" w:color="auto" w:fill="EAF2F8"/>
            <w:vAlign w:val="center"/>
          </w:tcPr>
          <w:p w14:paraId="5D9F38C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面积/%</w:t>
            </w:r>
          </w:p>
        </w:tc>
        <w:tc>
          <w:tcPr>
            <w:tcW w:w="1134" w:type="dxa"/>
            <w:shd w:val="clear" w:color="auto" w:fill="EAF2F8"/>
            <w:vAlign w:val="center"/>
          </w:tcPr>
          <w:p w14:paraId="3B33CF8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线长/mm</w:t>
            </w:r>
          </w:p>
        </w:tc>
        <w:tc>
          <w:tcPr>
            <w:tcW w:w="1020" w:type="dxa"/>
            <w:shd w:val="clear" w:color="auto" w:fill="EAF2F8"/>
            <w:vAlign w:val="center"/>
          </w:tcPr>
          <w:p w14:paraId="465E4D2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拥塞峰值</w:t>
            </w:r>
          </w:p>
        </w:tc>
        <w:tc>
          <w:tcPr>
            <w:tcW w:w="1020" w:type="dxa"/>
            <w:shd w:val="clear" w:color="auto" w:fill="EAF2F8"/>
            <w:vAlign w:val="center"/>
          </w:tcPr>
          <w:p w14:paraId="5C6A607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拥挤网格</w:t>
            </w:r>
          </w:p>
        </w:tc>
        <w:tc>
          <w:tcPr>
            <w:tcW w:w="794" w:type="dxa"/>
            <w:shd w:val="clear" w:color="auto" w:fill="EAF2F8"/>
            <w:vAlign w:val="center"/>
          </w:tcPr>
          <w:p w14:paraId="6FE478A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违规</w:t>
            </w:r>
          </w:p>
        </w:tc>
      </w:tr>
      <w:tr w14:paraId="08DFA2BC">
        <w:trPr>
          <w:jc w:val="center"/>
        </w:trPr>
        <w:tc>
          <w:tcPr>
            <w:tcW w:w="1134" w:type="dxa"/>
            <w:vAlign w:val="center"/>
          </w:tcPr>
          <w:p w14:paraId="26519E2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case_01</w:t>
            </w:r>
          </w:p>
        </w:tc>
        <w:tc>
          <w:tcPr>
            <w:tcW w:w="1361" w:type="dxa"/>
            <w:vAlign w:val="center"/>
          </w:tcPr>
          <w:p w14:paraId="3C6F03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基线规则</w:t>
            </w:r>
          </w:p>
        </w:tc>
        <w:tc>
          <w:tcPr>
            <w:tcW w:w="1020" w:type="dxa"/>
            <w:vAlign w:val="center"/>
          </w:tcPr>
          <w:p w14:paraId="6C8E10F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2B84131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48.15</w:t>
            </w:r>
          </w:p>
        </w:tc>
        <w:tc>
          <w:tcPr>
            <w:tcW w:w="1134" w:type="dxa"/>
            <w:vAlign w:val="center"/>
          </w:tcPr>
          <w:p w14:paraId="4F3A898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816.00</w:t>
            </w:r>
          </w:p>
        </w:tc>
        <w:tc>
          <w:tcPr>
            <w:tcW w:w="1020" w:type="dxa"/>
            <w:vAlign w:val="center"/>
          </w:tcPr>
          <w:p w14:paraId="3D429C4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w:t>
            </w:r>
          </w:p>
        </w:tc>
        <w:tc>
          <w:tcPr>
            <w:tcW w:w="1020" w:type="dxa"/>
            <w:vAlign w:val="center"/>
          </w:tcPr>
          <w:p w14:paraId="4A416D0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c>
          <w:tcPr>
            <w:tcW w:w="794" w:type="dxa"/>
            <w:vAlign w:val="center"/>
          </w:tcPr>
          <w:p w14:paraId="5977FC1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2CD9C72C">
        <w:trPr>
          <w:jc w:val="center"/>
        </w:trPr>
        <w:tc>
          <w:tcPr>
            <w:tcW w:w="1134" w:type="dxa"/>
            <w:vAlign w:val="center"/>
          </w:tcPr>
          <w:p w14:paraId="18F0989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case_01</w:t>
            </w:r>
          </w:p>
        </w:tc>
        <w:tc>
          <w:tcPr>
            <w:tcW w:w="1361" w:type="dxa"/>
            <w:vAlign w:val="center"/>
          </w:tcPr>
          <w:p w14:paraId="361847A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K-means</w:t>
            </w:r>
          </w:p>
        </w:tc>
        <w:tc>
          <w:tcPr>
            <w:tcW w:w="1020" w:type="dxa"/>
            <w:vAlign w:val="center"/>
          </w:tcPr>
          <w:p w14:paraId="3CA49C0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3ECC2F5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9.05</w:t>
            </w:r>
          </w:p>
        </w:tc>
        <w:tc>
          <w:tcPr>
            <w:tcW w:w="1134" w:type="dxa"/>
            <w:vAlign w:val="center"/>
          </w:tcPr>
          <w:p w14:paraId="7B9E63D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345.00</w:t>
            </w:r>
          </w:p>
        </w:tc>
        <w:tc>
          <w:tcPr>
            <w:tcW w:w="1020" w:type="dxa"/>
            <w:vAlign w:val="center"/>
          </w:tcPr>
          <w:p w14:paraId="16398F5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w:t>
            </w:r>
          </w:p>
        </w:tc>
        <w:tc>
          <w:tcPr>
            <w:tcW w:w="1020" w:type="dxa"/>
            <w:vAlign w:val="center"/>
          </w:tcPr>
          <w:p w14:paraId="154E34E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64</w:t>
            </w:r>
          </w:p>
        </w:tc>
        <w:tc>
          <w:tcPr>
            <w:tcW w:w="794" w:type="dxa"/>
            <w:vAlign w:val="center"/>
          </w:tcPr>
          <w:p w14:paraId="25F2ED9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3EE70600">
        <w:trPr>
          <w:jc w:val="center"/>
        </w:trPr>
        <w:tc>
          <w:tcPr>
            <w:tcW w:w="1134" w:type="dxa"/>
            <w:vAlign w:val="center"/>
          </w:tcPr>
          <w:p w14:paraId="722FCD5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case_01</w:t>
            </w:r>
          </w:p>
        </w:tc>
        <w:tc>
          <w:tcPr>
            <w:tcW w:w="1361" w:type="dxa"/>
            <w:vAlign w:val="center"/>
          </w:tcPr>
          <w:p w14:paraId="607DC3D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w:t>
            </w:r>
          </w:p>
        </w:tc>
        <w:tc>
          <w:tcPr>
            <w:tcW w:w="1020" w:type="dxa"/>
            <w:vAlign w:val="center"/>
          </w:tcPr>
          <w:p w14:paraId="5ABB709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5900AE1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8.89</w:t>
            </w:r>
          </w:p>
        </w:tc>
        <w:tc>
          <w:tcPr>
            <w:tcW w:w="1134" w:type="dxa"/>
            <w:vAlign w:val="center"/>
          </w:tcPr>
          <w:p w14:paraId="119833B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323.00</w:t>
            </w:r>
          </w:p>
        </w:tc>
        <w:tc>
          <w:tcPr>
            <w:tcW w:w="1020" w:type="dxa"/>
            <w:vAlign w:val="center"/>
          </w:tcPr>
          <w:p w14:paraId="264AD7C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w:t>
            </w:r>
          </w:p>
        </w:tc>
        <w:tc>
          <w:tcPr>
            <w:tcW w:w="1020" w:type="dxa"/>
            <w:vAlign w:val="center"/>
          </w:tcPr>
          <w:p w14:paraId="4374D50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w:t>
            </w:r>
          </w:p>
        </w:tc>
        <w:tc>
          <w:tcPr>
            <w:tcW w:w="794" w:type="dxa"/>
            <w:vAlign w:val="center"/>
          </w:tcPr>
          <w:p w14:paraId="7E9E81F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4CE0B6D4">
        <w:trPr>
          <w:jc w:val="center"/>
        </w:trPr>
        <w:tc>
          <w:tcPr>
            <w:tcW w:w="1134" w:type="dxa"/>
            <w:vAlign w:val="center"/>
          </w:tcPr>
          <w:p w14:paraId="7B07CC3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case_01</w:t>
            </w:r>
          </w:p>
        </w:tc>
        <w:tc>
          <w:tcPr>
            <w:tcW w:w="1361" w:type="dxa"/>
            <w:vAlign w:val="center"/>
          </w:tcPr>
          <w:p w14:paraId="08B7C1F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1020" w:type="dxa"/>
            <w:vAlign w:val="center"/>
          </w:tcPr>
          <w:p w14:paraId="67C6535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63BDB95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8.89</w:t>
            </w:r>
          </w:p>
        </w:tc>
        <w:tc>
          <w:tcPr>
            <w:tcW w:w="1134" w:type="dxa"/>
            <w:vAlign w:val="center"/>
          </w:tcPr>
          <w:p w14:paraId="1945BFA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327.00</w:t>
            </w:r>
          </w:p>
        </w:tc>
        <w:tc>
          <w:tcPr>
            <w:tcW w:w="1020" w:type="dxa"/>
            <w:vAlign w:val="center"/>
          </w:tcPr>
          <w:p w14:paraId="4196212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w:t>
            </w:r>
          </w:p>
        </w:tc>
        <w:tc>
          <w:tcPr>
            <w:tcW w:w="1020" w:type="dxa"/>
            <w:vAlign w:val="center"/>
          </w:tcPr>
          <w:p w14:paraId="206CD3F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w:t>
            </w:r>
          </w:p>
        </w:tc>
        <w:tc>
          <w:tcPr>
            <w:tcW w:w="794" w:type="dxa"/>
            <w:vAlign w:val="center"/>
          </w:tcPr>
          <w:p w14:paraId="099190B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64F9600D">
        <w:trPr>
          <w:jc w:val="center"/>
        </w:trPr>
        <w:tc>
          <w:tcPr>
            <w:tcW w:w="1134" w:type="dxa"/>
            <w:vAlign w:val="center"/>
          </w:tcPr>
          <w:p w14:paraId="44EDEC0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case_02</w:t>
            </w:r>
          </w:p>
        </w:tc>
        <w:tc>
          <w:tcPr>
            <w:tcW w:w="1361" w:type="dxa"/>
            <w:vAlign w:val="center"/>
          </w:tcPr>
          <w:p w14:paraId="04B3635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基线规则</w:t>
            </w:r>
          </w:p>
        </w:tc>
        <w:tc>
          <w:tcPr>
            <w:tcW w:w="1020" w:type="dxa"/>
            <w:vAlign w:val="center"/>
          </w:tcPr>
          <w:p w14:paraId="41904EC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7F29AE4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58.33</w:t>
            </w:r>
          </w:p>
        </w:tc>
        <w:tc>
          <w:tcPr>
            <w:tcW w:w="1134" w:type="dxa"/>
            <w:vAlign w:val="center"/>
          </w:tcPr>
          <w:p w14:paraId="3EE3982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1940.00</w:t>
            </w:r>
          </w:p>
        </w:tc>
        <w:tc>
          <w:tcPr>
            <w:tcW w:w="1020" w:type="dxa"/>
            <w:vAlign w:val="center"/>
          </w:tcPr>
          <w:p w14:paraId="73D6712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w:t>
            </w:r>
          </w:p>
        </w:tc>
        <w:tc>
          <w:tcPr>
            <w:tcW w:w="1020" w:type="dxa"/>
            <w:vAlign w:val="center"/>
          </w:tcPr>
          <w:p w14:paraId="2872598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378</w:t>
            </w:r>
          </w:p>
        </w:tc>
        <w:tc>
          <w:tcPr>
            <w:tcW w:w="794" w:type="dxa"/>
            <w:vAlign w:val="center"/>
          </w:tcPr>
          <w:p w14:paraId="559B58F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7055530E">
        <w:trPr>
          <w:jc w:val="center"/>
        </w:trPr>
        <w:tc>
          <w:tcPr>
            <w:tcW w:w="1134" w:type="dxa"/>
            <w:vAlign w:val="center"/>
          </w:tcPr>
          <w:p w14:paraId="6C03CA8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case_02</w:t>
            </w:r>
          </w:p>
        </w:tc>
        <w:tc>
          <w:tcPr>
            <w:tcW w:w="1361" w:type="dxa"/>
            <w:vAlign w:val="center"/>
          </w:tcPr>
          <w:p w14:paraId="78BD0C8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K-means</w:t>
            </w:r>
          </w:p>
        </w:tc>
        <w:tc>
          <w:tcPr>
            <w:tcW w:w="1020" w:type="dxa"/>
            <w:vAlign w:val="center"/>
          </w:tcPr>
          <w:p w14:paraId="155FC5D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530487F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12.15</w:t>
            </w:r>
          </w:p>
        </w:tc>
        <w:tc>
          <w:tcPr>
            <w:tcW w:w="1134" w:type="dxa"/>
            <w:vAlign w:val="center"/>
          </w:tcPr>
          <w:p w14:paraId="29A1BB9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774.00</w:t>
            </w:r>
          </w:p>
        </w:tc>
        <w:tc>
          <w:tcPr>
            <w:tcW w:w="1020" w:type="dxa"/>
            <w:vAlign w:val="center"/>
          </w:tcPr>
          <w:p w14:paraId="7EF0E51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w:t>
            </w:r>
          </w:p>
        </w:tc>
        <w:tc>
          <w:tcPr>
            <w:tcW w:w="1020" w:type="dxa"/>
            <w:vAlign w:val="center"/>
          </w:tcPr>
          <w:p w14:paraId="4A8ED31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237</w:t>
            </w:r>
          </w:p>
        </w:tc>
        <w:tc>
          <w:tcPr>
            <w:tcW w:w="794" w:type="dxa"/>
            <w:vAlign w:val="center"/>
          </w:tcPr>
          <w:p w14:paraId="674CC9D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406A8B2A">
        <w:trPr>
          <w:jc w:val="center"/>
        </w:trPr>
        <w:tc>
          <w:tcPr>
            <w:tcW w:w="1134" w:type="dxa"/>
            <w:vAlign w:val="center"/>
          </w:tcPr>
          <w:p w14:paraId="3FA5902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case_02</w:t>
            </w:r>
          </w:p>
        </w:tc>
        <w:tc>
          <w:tcPr>
            <w:tcW w:w="1361" w:type="dxa"/>
            <w:vAlign w:val="center"/>
          </w:tcPr>
          <w:p w14:paraId="1DADE32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w:t>
            </w:r>
          </w:p>
        </w:tc>
        <w:tc>
          <w:tcPr>
            <w:tcW w:w="1020" w:type="dxa"/>
            <w:vAlign w:val="center"/>
          </w:tcPr>
          <w:p w14:paraId="188A049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63FB7EF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12.85</w:t>
            </w:r>
          </w:p>
        </w:tc>
        <w:tc>
          <w:tcPr>
            <w:tcW w:w="1134" w:type="dxa"/>
            <w:vAlign w:val="center"/>
          </w:tcPr>
          <w:p w14:paraId="466DB03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723.00</w:t>
            </w:r>
          </w:p>
        </w:tc>
        <w:tc>
          <w:tcPr>
            <w:tcW w:w="1020" w:type="dxa"/>
            <w:vAlign w:val="center"/>
          </w:tcPr>
          <w:p w14:paraId="6BCF0EB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1EEDCFE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255</w:t>
            </w:r>
          </w:p>
        </w:tc>
        <w:tc>
          <w:tcPr>
            <w:tcW w:w="794" w:type="dxa"/>
            <w:vAlign w:val="center"/>
          </w:tcPr>
          <w:p w14:paraId="66F9316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435BCB8F">
        <w:trPr>
          <w:jc w:val="center"/>
        </w:trPr>
        <w:tc>
          <w:tcPr>
            <w:tcW w:w="1134" w:type="dxa"/>
            <w:vAlign w:val="center"/>
          </w:tcPr>
          <w:p w14:paraId="4CE166C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case_02</w:t>
            </w:r>
          </w:p>
        </w:tc>
        <w:tc>
          <w:tcPr>
            <w:tcW w:w="1361" w:type="dxa"/>
            <w:vAlign w:val="center"/>
          </w:tcPr>
          <w:p w14:paraId="00353B4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1020" w:type="dxa"/>
            <w:vAlign w:val="center"/>
          </w:tcPr>
          <w:p w14:paraId="542C37D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0EB1D0F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12.85</w:t>
            </w:r>
          </w:p>
        </w:tc>
        <w:tc>
          <w:tcPr>
            <w:tcW w:w="1134" w:type="dxa"/>
            <w:vAlign w:val="center"/>
          </w:tcPr>
          <w:p w14:paraId="15A8025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763.00</w:t>
            </w:r>
          </w:p>
        </w:tc>
        <w:tc>
          <w:tcPr>
            <w:tcW w:w="1020" w:type="dxa"/>
            <w:vAlign w:val="center"/>
          </w:tcPr>
          <w:p w14:paraId="7471E75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15220CB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185</w:t>
            </w:r>
          </w:p>
        </w:tc>
        <w:tc>
          <w:tcPr>
            <w:tcW w:w="794" w:type="dxa"/>
            <w:vAlign w:val="center"/>
          </w:tcPr>
          <w:p w14:paraId="67A84EF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1F2F3FD1">
        <w:trPr>
          <w:jc w:val="center"/>
        </w:trPr>
        <w:tc>
          <w:tcPr>
            <w:tcW w:w="1134" w:type="dxa"/>
            <w:vAlign w:val="center"/>
          </w:tcPr>
          <w:p w14:paraId="7A177EB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case_03</w:t>
            </w:r>
          </w:p>
        </w:tc>
        <w:tc>
          <w:tcPr>
            <w:tcW w:w="1361" w:type="dxa"/>
            <w:vAlign w:val="center"/>
          </w:tcPr>
          <w:p w14:paraId="781E908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基线规则</w:t>
            </w:r>
          </w:p>
        </w:tc>
        <w:tc>
          <w:tcPr>
            <w:tcW w:w="1020" w:type="dxa"/>
            <w:vAlign w:val="center"/>
          </w:tcPr>
          <w:p w14:paraId="702EA50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498D23B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63.00</w:t>
            </w:r>
          </w:p>
        </w:tc>
        <w:tc>
          <w:tcPr>
            <w:tcW w:w="1134" w:type="dxa"/>
            <w:vAlign w:val="center"/>
          </w:tcPr>
          <w:p w14:paraId="0784CEB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3240.00</w:t>
            </w:r>
          </w:p>
        </w:tc>
        <w:tc>
          <w:tcPr>
            <w:tcW w:w="1020" w:type="dxa"/>
            <w:vAlign w:val="center"/>
          </w:tcPr>
          <w:p w14:paraId="1A6B7E4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w:t>
            </w:r>
          </w:p>
        </w:tc>
        <w:tc>
          <w:tcPr>
            <w:tcW w:w="1020" w:type="dxa"/>
            <w:vAlign w:val="center"/>
          </w:tcPr>
          <w:p w14:paraId="4034499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1076</w:t>
            </w:r>
          </w:p>
        </w:tc>
        <w:tc>
          <w:tcPr>
            <w:tcW w:w="794" w:type="dxa"/>
            <w:vAlign w:val="center"/>
          </w:tcPr>
          <w:p w14:paraId="1AAC765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79890F0E">
        <w:trPr>
          <w:jc w:val="center"/>
        </w:trPr>
        <w:tc>
          <w:tcPr>
            <w:tcW w:w="1134" w:type="dxa"/>
            <w:vAlign w:val="center"/>
          </w:tcPr>
          <w:p w14:paraId="3602937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case_03</w:t>
            </w:r>
          </w:p>
        </w:tc>
        <w:tc>
          <w:tcPr>
            <w:tcW w:w="1361" w:type="dxa"/>
            <w:vAlign w:val="center"/>
          </w:tcPr>
          <w:p w14:paraId="1131C80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K-means</w:t>
            </w:r>
          </w:p>
        </w:tc>
        <w:tc>
          <w:tcPr>
            <w:tcW w:w="1020" w:type="dxa"/>
            <w:vAlign w:val="center"/>
          </w:tcPr>
          <w:p w14:paraId="595B865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2580182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15.32</w:t>
            </w:r>
          </w:p>
        </w:tc>
        <w:tc>
          <w:tcPr>
            <w:tcW w:w="1134" w:type="dxa"/>
            <w:vAlign w:val="center"/>
          </w:tcPr>
          <w:p w14:paraId="529A105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1247.00</w:t>
            </w:r>
          </w:p>
        </w:tc>
        <w:tc>
          <w:tcPr>
            <w:tcW w:w="1020" w:type="dxa"/>
            <w:vAlign w:val="center"/>
          </w:tcPr>
          <w:p w14:paraId="741704E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w:t>
            </w:r>
          </w:p>
        </w:tc>
        <w:tc>
          <w:tcPr>
            <w:tcW w:w="1020" w:type="dxa"/>
            <w:vAlign w:val="center"/>
          </w:tcPr>
          <w:p w14:paraId="578239F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381</w:t>
            </w:r>
          </w:p>
        </w:tc>
        <w:tc>
          <w:tcPr>
            <w:tcW w:w="794" w:type="dxa"/>
            <w:vAlign w:val="center"/>
          </w:tcPr>
          <w:p w14:paraId="43B725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0500F686">
        <w:trPr>
          <w:jc w:val="center"/>
        </w:trPr>
        <w:tc>
          <w:tcPr>
            <w:tcW w:w="1134" w:type="dxa"/>
            <w:vAlign w:val="center"/>
          </w:tcPr>
          <w:p w14:paraId="213A88B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case_03</w:t>
            </w:r>
          </w:p>
        </w:tc>
        <w:tc>
          <w:tcPr>
            <w:tcW w:w="1361" w:type="dxa"/>
            <w:vAlign w:val="center"/>
          </w:tcPr>
          <w:p w14:paraId="006FFA7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w:t>
            </w:r>
          </w:p>
        </w:tc>
        <w:tc>
          <w:tcPr>
            <w:tcW w:w="1020" w:type="dxa"/>
            <w:vAlign w:val="center"/>
          </w:tcPr>
          <w:p w14:paraId="0061D6E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436E849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14.98</w:t>
            </w:r>
          </w:p>
        </w:tc>
        <w:tc>
          <w:tcPr>
            <w:tcW w:w="1134" w:type="dxa"/>
            <w:vAlign w:val="center"/>
          </w:tcPr>
          <w:p w14:paraId="00109C1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1128.00</w:t>
            </w:r>
          </w:p>
        </w:tc>
        <w:tc>
          <w:tcPr>
            <w:tcW w:w="1020" w:type="dxa"/>
            <w:vAlign w:val="center"/>
          </w:tcPr>
          <w:p w14:paraId="7C5EC1F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24C25D1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390</w:t>
            </w:r>
          </w:p>
        </w:tc>
        <w:tc>
          <w:tcPr>
            <w:tcW w:w="794" w:type="dxa"/>
            <w:vAlign w:val="center"/>
          </w:tcPr>
          <w:p w14:paraId="1A34CBC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143E478B">
        <w:trPr>
          <w:jc w:val="center"/>
        </w:trPr>
        <w:tc>
          <w:tcPr>
            <w:tcW w:w="1134" w:type="dxa"/>
            <w:vAlign w:val="center"/>
          </w:tcPr>
          <w:p w14:paraId="1BE7C19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case_03</w:t>
            </w:r>
          </w:p>
        </w:tc>
        <w:tc>
          <w:tcPr>
            <w:tcW w:w="1361" w:type="dxa"/>
            <w:vAlign w:val="center"/>
          </w:tcPr>
          <w:p w14:paraId="60EF9AF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1020" w:type="dxa"/>
            <w:vAlign w:val="center"/>
          </w:tcPr>
          <w:p w14:paraId="186F92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3AF95DA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14.98</w:t>
            </w:r>
          </w:p>
        </w:tc>
        <w:tc>
          <w:tcPr>
            <w:tcW w:w="1134" w:type="dxa"/>
            <w:vAlign w:val="center"/>
          </w:tcPr>
          <w:p w14:paraId="1DD23A9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1210.00</w:t>
            </w:r>
          </w:p>
        </w:tc>
        <w:tc>
          <w:tcPr>
            <w:tcW w:w="1020" w:type="dxa"/>
            <w:vAlign w:val="center"/>
          </w:tcPr>
          <w:p w14:paraId="1A074B2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3D45F64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416</w:t>
            </w:r>
          </w:p>
        </w:tc>
        <w:tc>
          <w:tcPr>
            <w:tcW w:w="794" w:type="dxa"/>
            <w:vAlign w:val="center"/>
          </w:tcPr>
          <w:p w14:paraId="3A72D2B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5628E7C1">
        <w:trPr>
          <w:jc w:val="center"/>
        </w:trPr>
        <w:tc>
          <w:tcPr>
            <w:tcW w:w="1134" w:type="dxa"/>
            <w:vAlign w:val="center"/>
          </w:tcPr>
          <w:p w14:paraId="4541D5D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case_04</w:t>
            </w:r>
          </w:p>
        </w:tc>
        <w:tc>
          <w:tcPr>
            <w:tcW w:w="1361" w:type="dxa"/>
            <w:vAlign w:val="center"/>
          </w:tcPr>
          <w:p w14:paraId="02F48A9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基线规则</w:t>
            </w:r>
          </w:p>
        </w:tc>
        <w:tc>
          <w:tcPr>
            <w:tcW w:w="1020" w:type="dxa"/>
            <w:vAlign w:val="center"/>
          </w:tcPr>
          <w:p w14:paraId="7563501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84.38</w:t>
            </w:r>
          </w:p>
        </w:tc>
        <w:tc>
          <w:tcPr>
            <w:tcW w:w="1020" w:type="dxa"/>
            <w:vAlign w:val="center"/>
          </w:tcPr>
          <w:p w14:paraId="135EBB8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60.64</w:t>
            </w:r>
          </w:p>
        </w:tc>
        <w:tc>
          <w:tcPr>
            <w:tcW w:w="1134" w:type="dxa"/>
            <w:vAlign w:val="center"/>
          </w:tcPr>
          <w:p w14:paraId="500AE40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2249.00</w:t>
            </w:r>
          </w:p>
        </w:tc>
        <w:tc>
          <w:tcPr>
            <w:tcW w:w="1020" w:type="dxa"/>
            <w:vAlign w:val="center"/>
          </w:tcPr>
          <w:p w14:paraId="41DD5E0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w:t>
            </w:r>
          </w:p>
        </w:tc>
        <w:tc>
          <w:tcPr>
            <w:tcW w:w="1020" w:type="dxa"/>
            <w:vAlign w:val="center"/>
          </w:tcPr>
          <w:p w14:paraId="00F14A1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531</w:t>
            </w:r>
          </w:p>
        </w:tc>
        <w:tc>
          <w:tcPr>
            <w:tcW w:w="794" w:type="dxa"/>
            <w:vAlign w:val="center"/>
          </w:tcPr>
          <w:p w14:paraId="04E6ED0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15</w:t>
            </w:r>
          </w:p>
        </w:tc>
      </w:tr>
      <w:tr w14:paraId="29E37603">
        <w:trPr>
          <w:jc w:val="center"/>
        </w:trPr>
        <w:tc>
          <w:tcPr>
            <w:tcW w:w="1134" w:type="dxa"/>
            <w:vAlign w:val="center"/>
          </w:tcPr>
          <w:p w14:paraId="39FB89D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case_04</w:t>
            </w:r>
          </w:p>
        </w:tc>
        <w:tc>
          <w:tcPr>
            <w:tcW w:w="1361" w:type="dxa"/>
            <w:vAlign w:val="center"/>
          </w:tcPr>
          <w:p w14:paraId="4B861AF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K-means</w:t>
            </w:r>
          </w:p>
        </w:tc>
        <w:tc>
          <w:tcPr>
            <w:tcW w:w="1020" w:type="dxa"/>
            <w:vAlign w:val="center"/>
          </w:tcPr>
          <w:p w14:paraId="109E525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52408CC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14.84</w:t>
            </w:r>
          </w:p>
        </w:tc>
        <w:tc>
          <w:tcPr>
            <w:tcW w:w="1134" w:type="dxa"/>
            <w:vAlign w:val="center"/>
          </w:tcPr>
          <w:p w14:paraId="008A777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972.00</w:t>
            </w:r>
          </w:p>
        </w:tc>
        <w:tc>
          <w:tcPr>
            <w:tcW w:w="1020" w:type="dxa"/>
            <w:vAlign w:val="center"/>
          </w:tcPr>
          <w:p w14:paraId="7446B8B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w:t>
            </w:r>
          </w:p>
        </w:tc>
        <w:tc>
          <w:tcPr>
            <w:tcW w:w="1020" w:type="dxa"/>
            <w:vAlign w:val="center"/>
          </w:tcPr>
          <w:p w14:paraId="7431CC1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318</w:t>
            </w:r>
          </w:p>
        </w:tc>
        <w:tc>
          <w:tcPr>
            <w:tcW w:w="794" w:type="dxa"/>
            <w:vAlign w:val="center"/>
          </w:tcPr>
          <w:p w14:paraId="064B83B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01F402CC">
        <w:trPr>
          <w:jc w:val="center"/>
        </w:trPr>
        <w:tc>
          <w:tcPr>
            <w:tcW w:w="1134" w:type="dxa"/>
            <w:vAlign w:val="center"/>
          </w:tcPr>
          <w:p w14:paraId="7EEC668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case_04</w:t>
            </w:r>
          </w:p>
        </w:tc>
        <w:tc>
          <w:tcPr>
            <w:tcW w:w="1361" w:type="dxa"/>
            <w:vAlign w:val="center"/>
          </w:tcPr>
          <w:p w14:paraId="1F12E89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w:t>
            </w:r>
          </w:p>
        </w:tc>
        <w:tc>
          <w:tcPr>
            <w:tcW w:w="1020" w:type="dxa"/>
            <w:vAlign w:val="center"/>
          </w:tcPr>
          <w:p w14:paraId="52150A2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3A16F76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11.72</w:t>
            </w:r>
          </w:p>
        </w:tc>
        <w:tc>
          <w:tcPr>
            <w:tcW w:w="1134" w:type="dxa"/>
            <w:vAlign w:val="center"/>
          </w:tcPr>
          <w:p w14:paraId="75B5FE1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858.00</w:t>
            </w:r>
          </w:p>
        </w:tc>
        <w:tc>
          <w:tcPr>
            <w:tcW w:w="1020" w:type="dxa"/>
            <w:vAlign w:val="center"/>
          </w:tcPr>
          <w:p w14:paraId="62F3412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371526F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243</w:t>
            </w:r>
          </w:p>
        </w:tc>
        <w:tc>
          <w:tcPr>
            <w:tcW w:w="794" w:type="dxa"/>
            <w:vAlign w:val="center"/>
          </w:tcPr>
          <w:p w14:paraId="1A8553C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78F833EF">
        <w:trPr>
          <w:jc w:val="center"/>
        </w:trPr>
        <w:tc>
          <w:tcPr>
            <w:tcW w:w="1134" w:type="dxa"/>
            <w:vAlign w:val="center"/>
          </w:tcPr>
          <w:p w14:paraId="5F5B47C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case_04</w:t>
            </w:r>
          </w:p>
        </w:tc>
        <w:tc>
          <w:tcPr>
            <w:tcW w:w="1361" w:type="dxa"/>
            <w:vAlign w:val="center"/>
          </w:tcPr>
          <w:p w14:paraId="228CDD8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1020" w:type="dxa"/>
            <w:vAlign w:val="center"/>
          </w:tcPr>
          <w:p w14:paraId="6CB7970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655EDF6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11.72</w:t>
            </w:r>
          </w:p>
        </w:tc>
        <w:tc>
          <w:tcPr>
            <w:tcW w:w="1134" w:type="dxa"/>
            <w:vAlign w:val="center"/>
          </w:tcPr>
          <w:p w14:paraId="6C10129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908.00</w:t>
            </w:r>
          </w:p>
        </w:tc>
        <w:tc>
          <w:tcPr>
            <w:tcW w:w="1020" w:type="dxa"/>
            <w:vAlign w:val="center"/>
          </w:tcPr>
          <w:p w14:paraId="140204E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38E4CA4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244</w:t>
            </w:r>
          </w:p>
        </w:tc>
        <w:tc>
          <w:tcPr>
            <w:tcW w:w="794" w:type="dxa"/>
            <w:vAlign w:val="center"/>
          </w:tcPr>
          <w:p w14:paraId="1DFACFA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76FE4349">
        <w:trPr>
          <w:jc w:val="center"/>
        </w:trPr>
        <w:tc>
          <w:tcPr>
            <w:tcW w:w="1134" w:type="dxa"/>
            <w:vAlign w:val="center"/>
          </w:tcPr>
          <w:p w14:paraId="111032D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case_05</w:t>
            </w:r>
          </w:p>
        </w:tc>
        <w:tc>
          <w:tcPr>
            <w:tcW w:w="1361" w:type="dxa"/>
            <w:vAlign w:val="center"/>
          </w:tcPr>
          <w:p w14:paraId="417DB49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基线规则</w:t>
            </w:r>
          </w:p>
        </w:tc>
        <w:tc>
          <w:tcPr>
            <w:tcW w:w="1020" w:type="dxa"/>
            <w:vAlign w:val="center"/>
          </w:tcPr>
          <w:p w14:paraId="7454960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89.00</w:t>
            </w:r>
          </w:p>
        </w:tc>
        <w:tc>
          <w:tcPr>
            <w:tcW w:w="1020" w:type="dxa"/>
            <w:vAlign w:val="center"/>
          </w:tcPr>
          <w:p w14:paraId="7456200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65.81</w:t>
            </w:r>
          </w:p>
        </w:tc>
        <w:tc>
          <w:tcPr>
            <w:tcW w:w="1134" w:type="dxa"/>
            <w:vAlign w:val="center"/>
          </w:tcPr>
          <w:p w14:paraId="675C25E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1827.00</w:t>
            </w:r>
          </w:p>
        </w:tc>
        <w:tc>
          <w:tcPr>
            <w:tcW w:w="1020" w:type="dxa"/>
            <w:vAlign w:val="center"/>
          </w:tcPr>
          <w:p w14:paraId="58148B6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6</w:t>
            </w:r>
          </w:p>
        </w:tc>
        <w:tc>
          <w:tcPr>
            <w:tcW w:w="1020" w:type="dxa"/>
            <w:vAlign w:val="center"/>
          </w:tcPr>
          <w:p w14:paraId="0FB010A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587</w:t>
            </w:r>
          </w:p>
        </w:tc>
        <w:tc>
          <w:tcPr>
            <w:tcW w:w="794" w:type="dxa"/>
            <w:vAlign w:val="center"/>
          </w:tcPr>
          <w:p w14:paraId="7C118EE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11</w:t>
            </w:r>
          </w:p>
        </w:tc>
      </w:tr>
      <w:tr w14:paraId="2B7F0B77">
        <w:trPr>
          <w:jc w:val="center"/>
        </w:trPr>
        <w:tc>
          <w:tcPr>
            <w:tcW w:w="1134" w:type="dxa"/>
            <w:vAlign w:val="center"/>
          </w:tcPr>
          <w:p w14:paraId="54219C5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case_05</w:t>
            </w:r>
          </w:p>
        </w:tc>
        <w:tc>
          <w:tcPr>
            <w:tcW w:w="1361" w:type="dxa"/>
            <w:vAlign w:val="center"/>
          </w:tcPr>
          <w:p w14:paraId="25D589A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K-means</w:t>
            </w:r>
          </w:p>
        </w:tc>
        <w:tc>
          <w:tcPr>
            <w:tcW w:w="1020" w:type="dxa"/>
            <w:vAlign w:val="center"/>
          </w:tcPr>
          <w:p w14:paraId="1E3FA50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4BB316A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26.12</w:t>
            </w:r>
          </w:p>
        </w:tc>
        <w:tc>
          <w:tcPr>
            <w:tcW w:w="1134" w:type="dxa"/>
            <w:vAlign w:val="center"/>
          </w:tcPr>
          <w:p w14:paraId="5ADAAC1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1059.00</w:t>
            </w:r>
          </w:p>
        </w:tc>
        <w:tc>
          <w:tcPr>
            <w:tcW w:w="1020" w:type="dxa"/>
            <w:vAlign w:val="center"/>
          </w:tcPr>
          <w:p w14:paraId="007797B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w:t>
            </w:r>
          </w:p>
        </w:tc>
        <w:tc>
          <w:tcPr>
            <w:tcW w:w="1020" w:type="dxa"/>
            <w:vAlign w:val="center"/>
          </w:tcPr>
          <w:p w14:paraId="02455C0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364</w:t>
            </w:r>
          </w:p>
        </w:tc>
        <w:tc>
          <w:tcPr>
            <w:tcW w:w="794" w:type="dxa"/>
            <w:vAlign w:val="center"/>
          </w:tcPr>
          <w:p w14:paraId="084FC02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627739FB">
        <w:trPr>
          <w:jc w:val="center"/>
        </w:trPr>
        <w:tc>
          <w:tcPr>
            <w:tcW w:w="1134" w:type="dxa"/>
            <w:vAlign w:val="center"/>
          </w:tcPr>
          <w:p w14:paraId="591E788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case_05</w:t>
            </w:r>
          </w:p>
        </w:tc>
        <w:tc>
          <w:tcPr>
            <w:tcW w:w="1361" w:type="dxa"/>
            <w:vAlign w:val="center"/>
          </w:tcPr>
          <w:p w14:paraId="65BF87B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w:t>
            </w:r>
          </w:p>
        </w:tc>
        <w:tc>
          <w:tcPr>
            <w:tcW w:w="1020" w:type="dxa"/>
            <w:vAlign w:val="center"/>
          </w:tcPr>
          <w:p w14:paraId="05F8B43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02E52EA6">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24.39</w:t>
            </w:r>
          </w:p>
        </w:tc>
        <w:tc>
          <w:tcPr>
            <w:tcW w:w="1134" w:type="dxa"/>
            <w:vAlign w:val="center"/>
          </w:tcPr>
          <w:p w14:paraId="7B9FD5B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951.00</w:t>
            </w:r>
          </w:p>
        </w:tc>
        <w:tc>
          <w:tcPr>
            <w:tcW w:w="1020" w:type="dxa"/>
            <w:vAlign w:val="center"/>
          </w:tcPr>
          <w:p w14:paraId="552CA0A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w:t>
            </w:r>
          </w:p>
        </w:tc>
        <w:tc>
          <w:tcPr>
            <w:tcW w:w="1020" w:type="dxa"/>
            <w:vAlign w:val="center"/>
          </w:tcPr>
          <w:p w14:paraId="6217477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304</w:t>
            </w:r>
          </w:p>
        </w:tc>
        <w:tc>
          <w:tcPr>
            <w:tcW w:w="794" w:type="dxa"/>
            <w:vAlign w:val="center"/>
          </w:tcPr>
          <w:p w14:paraId="57992D9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r w14:paraId="420323B5">
        <w:trPr>
          <w:jc w:val="center"/>
        </w:trPr>
        <w:tc>
          <w:tcPr>
            <w:tcW w:w="1134" w:type="dxa"/>
            <w:vAlign w:val="center"/>
          </w:tcPr>
          <w:p w14:paraId="6B2B609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case_05</w:t>
            </w:r>
          </w:p>
        </w:tc>
        <w:tc>
          <w:tcPr>
            <w:tcW w:w="1361" w:type="dxa"/>
            <w:vAlign w:val="center"/>
          </w:tcPr>
          <w:p w14:paraId="2695D15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1020" w:type="dxa"/>
            <w:vAlign w:val="center"/>
          </w:tcPr>
          <w:p w14:paraId="6AFE8BC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020" w:type="dxa"/>
            <w:vAlign w:val="center"/>
          </w:tcPr>
          <w:p w14:paraId="42E9E13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24.39</w:t>
            </w:r>
          </w:p>
        </w:tc>
        <w:tc>
          <w:tcPr>
            <w:tcW w:w="1134" w:type="dxa"/>
            <w:vAlign w:val="center"/>
          </w:tcPr>
          <w:p w14:paraId="60497C7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985.00</w:t>
            </w:r>
          </w:p>
        </w:tc>
        <w:tc>
          <w:tcPr>
            <w:tcW w:w="1020" w:type="dxa"/>
            <w:vAlign w:val="center"/>
          </w:tcPr>
          <w:p w14:paraId="6E1C46F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w:t>
            </w:r>
          </w:p>
        </w:tc>
        <w:tc>
          <w:tcPr>
            <w:tcW w:w="1020" w:type="dxa"/>
            <w:vAlign w:val="center"/>
          </w:tcPr>
          <w:p w14:paraId="7687A02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337</w:t>
            </w:r>
          </w:p>
        </w:tc>
        <w:tc>
          <w:tcPr>
            <w:tcW w:w="794" w:type="dxa"/>
            <w:vAlign w:val="center"/>
          </w:tcPr>
          <w:p w14:paraId="0A5124E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w:t>
            </w:r>
          </w:p>
        </w:tc>
      </w:tr>
    </w:tbl>
    <w:p w14:paraId="71627002">
      <w:pPr>
        <w:spacing w:line="400" w:lineRule="exact" w:before="0" w:after="0"/>
        <w:rPr>
          <w:color w:val="000000" w:themeColor="text1"/>
          <w14:textFill>
            <w14:solidFill>
              <w14:schemeClr w14:val="tx1"/>
            </w14:solidFill>
          </w14:textFill>
        </w:rPr>
      </w:pPr>
    </w:p>
    <w:p w14:paraId="5023B1E9">
      <w:pPr>
        <w:spacing w:line="400" w:lineRule="exact" w:before="0" w:after="0"/>
        <w:jc w:val="both"/>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drawing>
          <wp:inline distT="0" distB="0" distL="114300" distR="114300">
            <wp:extent cx="5579745" cy="314452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0000" cy="3145091"/>
                    </a:xfrm>
                    <a:prstGeom prst="rect">
                      <a:avLst/>
                    </a:prstGeom>
                  </pic:spPr>
                </pic:pic>
              </a:graphicData>
            </a:graphic>
          </wp:inline>
        </w:drawing>
      </w:r>
    </w:p>
    <w:p w14:paraId="34E51209">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图 6-1 尾板面积占比对比</w:t>
      </w:r>
    </w:p>
    <w:p w14:paraId="7ECF6810">
      <w:pPr>
        <w:spacing w:line="400" w:lineRule="exact" w:before="0" w:after="0"/>
        <w:jc w:val="center"/>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drawing>
          <wp:inline distT="0" distB="0" distL="114300" distR="114300">
            <wp:extent cx="5579745" cy="3144520"/>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145091"/>
                    </a:xfrm>
                    <a:prstGeom prst="rect">
                      <a:avLst/>
                    </a:prstGeom>
                  </pic:spPr>
                </pic:pic>
              </a:graphicData>
            </a:graphic>
          </wp:inline>
        </w:drawing>
      </w:r>
    </w:p>
    <w:p w14:paraId="77226B55">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图 6-2 总线长对比</w:t>
      </w:r>
    </w:p>
    <w:p w14:paraId="58BE7C6E">
      <w:pPr>
        <w:spacing w:line="400" w:lineRule="exact" w:before="0" w:after="0"/>
        <w:jc w:val="center"/>
        <w:rPr>
          <w:color w:val="000000" w:themeColor="text1"/>
          <w14:textFill>
            <w14:solidFill>
              <w14:schemeClr w14:val="tx1"/>
            </w14:solidFill>
          </w14:textFill>
        </w:rPr>
      </w:pPr>
      <w:r>
        <w:rPr>
          <w:rFonts w:ascii="宋体" w:hAnsi="宋体" w:eastAsia="宋体"/>
          <w:b w:val="0"/>
          <w:color w:val="000000" w:themeColor="text1"/>
          <w14:textFill>
            <w14:solidFill>
              <w14:schemeClr w14:val="tx1"/>
            </w14:solidFill>
          </w14:textFill>
          <w:sz w:val="24"/>
        </w:rPr>
        <w:drawing>
          <wp:inline distT="0" distB="0" distL="114300" distR="114300">
            <wp:extent cx="5579745" cy="3144520"/>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145091"/>
                    </a:xfrm>
                    <a:prstGeom prst="rect">
                      <a:avLst/>
                    </a:prstGeom>
                  </pic:spPr>
                </pic:pic>
              </a:graphicData>
            </a:graphic>
          </wp:inline>
        </w:drawing>
      </w:r>
    </w:p>
    <w:p w14:paraId="3552C01A">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图 6-3 拥挤网格数量对比</w:t>
      </w:r>
    </w:p>
    <w:p w14:paraId="64408DF6">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6.3 结果分析</w:t>
      </w:r>
    </w:p>
    <w:p w14:paraId="62C908E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从布通率看，最终拥塞感知算法在五组案例中均达到100%，满足开题阶段提出的布通率不低于98%的目标。基线规则方案在无障碍的前三个案例中也能完成布线，但在含障碍和面积受限案例中出现未布点或未布通问题，平均布通率为94.68%。这说明简单行列式规则对空间条件较为敏感；一旦障碍破坏规则排布或尾板高度不足，就可能无法为部分金手指找到合法测试点。优化方案通过候选过滤、PSO参数搜索和局部搜索，在障碍附近自动调整测试点位置，因此保持了完整覆盖。</w:t>
      </w:r>
    </w:p>
    <w:p w14:paraId="7CBD61AB">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从面积占比看，最终算法的平均面积占比为14.57%，明显低于基线方案的59.19%。这是因为基线方案为了满足点间距，通常沿尾板纵向均匀铺开测试点，导致测试点包围盒高度较大；优化方案根据金手指分布进行分组，并通过粒子群搜索布点参数，在保证间距的前提下压缩布点区域。对于高密度和面积受限案例，面积压缩效果尤为明显，说明协同优化对尾板尺寸控制具有实际意义。</w:t>
      </w:r>
    </w:p>
    <w:p w14:paraId="7280BE23">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从总线长看，所提拥塞感知方案平均总线长为838.60 mm，显著低于基线方案的2014.40 mm；纯PSO-Hanan方案平均线长为796.60 mm，略低于拥塞重布线方案。该差异表明，拥塞感知重布线并非单纯追求最短路径，而是在较短线长基础上为热点区域预留绕行空间。较短线长有助于节省布线资源，适度绕行则有助于缓解通道集中和后续层分配压力，二者共同构成更接近工程实际的布线质量评价。</w:t>
      </w:r>
    </w:p>
    <w:p w14:paraId="1E0CEF76">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从拥塞指标看，PSO-Hanan方案的平均拥塞峰值为3.00，平均拥挤网格数为240.00；拥塞重布线方案的平均拥塞峰值为2.80，平均拥挤网格数为238.00。在中密度和面积受限案例中，动态拥塞代价有效降低了局部峰值或拥挤范围；在高密度案例中，由于测试点区域被强烈压缩，可用通道有限，重布线会出现线长增加和拥挤网格波动。该结果与网络流和蚁群布线研究中的结论一致：拥塞优化通常需要在路径长度、局部容量和布线顺序之间折中。</w:t>
      </w:r>
    </w:p>
    <w:p w14:paraId="57D6156A">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需要说明的是，本文实验属于案例化仿真验证，并不等同于企业量产板卡的最终设计签核。真实工程中还需结合具体层叠结构、过孔成本、差分阻抗、铜皮避让、测试夹具针床限制和制造厂工艺能力进行二次合法化。本文依据开题报告“收集真实案例”的要求，在未取得企业原始文件的条件下采用参数化案例替代，并在论文中明确说明数据来源边界；该处理比直接声称使用企业案例更符合学术诚信要求。尽管如此，实验结果表明，本文提出的布点布线流程能够在早期方案设计中快速给出可行解和量化指标，为后续工程细化提供可靠初始方案。</w:t>
      </w:r>
    </w:p>
    <w:p w14:paraId="03435877">
      <w:pPr>
        <w:pStyle w:val="4"/>
        <w:spacing w:line="400" w:lineRule="exact" w:before="200" w:after="120"/>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6.4 消融实验与对比有效性分析</w:t>
      </w:r>
    </w:p>
    <w:p w14:paraId="73C55301">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为了说明各个优化模块的实际贡献，本文在已有五组案例的指标表基础上增加均值层面的消融分析。基线规则方案对应人工经验式行列布点，K-means方案反映初始分组和局部优化的影响，PSO-Hanan方案反映全局参数搜索和Hanan候选点思想的影响，拥塞重布线方案则用于观察动态拥塞代价对最终布线质量的影响。</w:t>
      </w:r>
    </w:p>
    <w:p w14:paraId="5ACD2D0F">
      <w:pPr>
        <w:spacing w:before="0" w:after="0" w:line="400" w:lineRule="exact"/>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表 6-3 四类算法平均指标消融对比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96"/>
        <w:gridCol w:w="1296"/>
        <w:gridCol w:w="1296"/>
        <w:gridCol w:w="1296"/>
        <w:gridCol w:w="1296"/>
        <w:gridCol w:w="1296"/>
      </w:tblGrid>
      <w:tr w14:paraId="5F4A8A9C">
        <w:trPr>
          <w:tblHeader/>
          <w:jc w:val="center"/>
        </w:trPr>
        <w:tc>
          <w:tcPr>
            <w:tcW w:w="1296" w:type="dxa"/>
            <w:vAlign w:val="center"/>
          </w:tcPr>
          <w:p w14:paraId="4F8D717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算法</w:t>
            </w:r>
          </w:p>
        </w:tc>
        <w:tc>
          <w:tcPr>
            <w:tcW w:w="1296" w:type="dxa"/>
            <w:vAlign w:val="center"/>
          </w:tcPr>
          <w:p w14:paraId="360A9A6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平均布通/%</w:t>
            </w:r>
          </w:p>
        </w:tc>
        <w:tc>
          <w:tcPr>
            <w:tcW w:w="1296" w:type="dxa"/>
            <w:vAlign w:val="center"/>
          </w:tcPr>
          <w:p w14:paraId="6B146CC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平均面积/%</w:t>
            </w:r>
          </w:p>
        </w:tc>
        <w:tc>
          <w:tcPr>
            <w:tcW w:w="1296" w:type="dxa"/>
            <w:vAlign w:val="center"/>
          </w:tcPr>
          <w:p w14:paraId="6EBFE3EB">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平均线长/mm</w:t>
            </w:r>
          </w:p>
        </w:tc>
        <w:tc>
          <w:tcPr>
            <w:tcW w:w="1296" w:type="dxa"/>
            <w:vAlign w:val="center"/>
          </w:tcPr>
          <w:p w14:paraId="2551C34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平均拥塞峰值</w:t>
            </w:r>
          </w:p>
        </w:tc>
        <w:tc>
          <w:tcPr>
            <w:tcW w:w="1296" w:type="dxa"/>
            <w:vAlign w:val="center"/>
          </w:tcPr>
          <w:p w14:paraId="10FFA2B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平均拥挤网格</w:t>
            </w:r>
          </w:p>
        </w:tc>
        <w:tc>
          <w:tcPr>
            <w:tcW w:w="1296" w:type="dxa"/>
            <w:vAlign w:val="center"/>
          </w:tcPr>
          <w:p w14:paraId="09C95C1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平均违规数</w:t>
            </w:r>
          </w:p>
        </w:tc>
      </w:tr>
      <w:tr w14:paraId="1BEAC0D0">
        <w:trPr>
          <w:jc w:val="center"/>
        </w:trPr>
        <w:tc>
          <w:tcPr>
            <w:tcW w:w="1296" w:type="dxa"/>
            <w:vAlign w:val="center"/>
          </w:tcPr>
          <w:p w14:paraId="57A333C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基线规则</w:t>
            </w:r>
          </w:p>
        </w:tc>
        <w:tc>
          <w:tcPr>
            <w:tcW w:w="1296" w:type="dxa"/>
            <w:vAlign w:val="center"/>
          </w:tcPr>
          <w:p w14:paraId="390ED49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94.68</w:t>
            </w:r>
          </w:p>
        </w:tc>
        <w:tc>
          <w:tcPr>
            <w:tcW w:w="1296" w:type="dxa"/>
            <w:vAlign w:val="center"/>
          </w:tcPr>
          <w:p w14:paraId="5A7C2AB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59.19</w:t>
            </w:r>
          </w:p>
        </w:tc>
        <w:tc>
          <w:tcPr>
            <w:tcW w:w="1296" w:type="dxa"/>
            <w:vAlign w:val="center"/>
          </w:tcPr>
          <w:p w14:paraId="1D2CD90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2014.40</w:t>
            </w:r>
          </w:p>
        </w:tc>
        <w:tc>
          <w:tcPr>
            <w:tcW w:w="1296" w:type="dxa"/>
            <w:vAlign w:val="center"/>
          </w:tcPr>
          <w:p w14:paraId="496F68FC">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3.60</w:t>
            </w:r>
          </w:p>
        </w:tc>
        <w:tc>
          <w:tcPr>
            <w:tcW w:w="1296" w:type="dxa"/>
            <w:vAlign w:val="center"/>
          </w:tcPr>
          <w:p w14:paraId="5DA9DEC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514.40</w:t>
            </w:r>
          </w:p>
        </w:tc>
        <w:tc>
          <w:tcPr>
            <w:tcW w:w="1296" w:type="dxa"/>
            <w:vAlign w:val="center"/>
          </w:tcPr>
          <w:p w14:paraId="62676AF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5.20</w:t>
            </w:r>
          </w:p>
        </w:tc>
      </w:tr>
      <w:tr w14:paraId="52C7C66D">
        <w:trPr>
          <w:jc w:val="center"/>
        </w:trPr>
        <w:tc>
          <w:tcPr>
            <w:tcW w:w="1296" w:type="dxa"/>
            <w:vAlign w:val="center"/>
          </w:tcPr>
          <w:p w14:paraId="2354DA3A">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K-means</w:t>
            </w:r>
          </w:p>
        </w:tc>
        <w:tc>
          <w:tcPr>
            <w:tcW w:w="1296" w:type="dxa"/>
            <w:vAlign w:val="center"/>
          </w:tcPr>
          <w:p w14:paraId="4012EC3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296" w:type="dxa"/>
            <w:vAlign w:val="center"/>
          </w:tcPr>
          <w:p w14:paraId="1B5FE39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15.50</w:t>
            </w:r>
          </w:p>
        </w:tc>
        <w:tc>
          <w:tcPr>
            <w:tcW w:w="1296" w:type="dxa"/>
            <w:vAlign w:val="center"/>
          </w:tcPr>
          <w:p w14:paraId="7F15AC9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879.40</w:t>
            </w:r>
          </w:p>
        </w:tc>
        <w:tc>
          <w:tcPr>
            <w:tcW w:w="1296" w:type="dxa"/>
            <w:vAlign w:val="center"/>
          </w:tcPr>
          <w:p w14:paraId="0211F1CD">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4.00</w:t>
            </w:r>
          </w:p>
        </w:tc>
        <w:tc>
          <w:tcPr>
            <w:tcW w:w="1296" w:type="dxa"/>
            <w:vAlign w:val="center"/>
          </w:tcPr>
          <w:p w14:paraId="636D8DBF">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272.80</w:t>
            </w:r>
          </w:p>
        </w:tc>
        <w:tc>
          <w:tcPr>
            <w:tcW w:w="1296" w:type="dxa"/>
            <w:vAlign w:val="center"/>
          </w:tcPr>
          <w:p w14:paraId="413C536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0.00</w:t>
            </w:r>
          </w:p>
        </w:tc>
      </w:tr>
      <w:tr w14:paraId="4CAF1E3F">
        <w:trPr>
          <w:jc w:val="center"/>
        </w:trPr>
        <w:tc>
          <w:tcPr>
            <w:tcW w:w="1296" w:type="dxa"/>
            <w:vAlign w:val="center"/>
          </w:tcPr>
          <w:p w14:paraId="3FDF84E1">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PSO-Hanan</w:t>
            </w:r>
          </w:p>
        </w:tc>
        <w:tc>
          <w:tcPr>
            <w:tcW w:w="1296" w:type="dxa"/>
            <w:vAlign w:val="center"/>
          </w:tcPr>
          <w:p w14:paraId="37D04625">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296" w:type="dxa"/>
            <w:vAlign w:val="center"/>
          </w:tcPr>
          <w:p w14:paraId="2E274B3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14.57</w:t>
            </w:r>
          </w:p>
        </w:tc>
        <w:tc>
          <w:tcPr>
            <w:tcW w:w="1296" w:type="dxa"/>
            <w:vAlign w:val="center"/>
          </w:tcPr>
          <w:p w14:paraId="662F81B3">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796.60</w:t>
            </w:r>
          </w:p>
        </w:tc>
        <w:tc>
          <w:tcPr>
            <w:tcW w:w="1296" w:type="dxa"/>
            <w:vAlign w:val="center"/>
          </w:tcPr>
          <w:p w14:paraId="746354D7">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3.00</w:t>
            </w:r>
          </w:p>
        </w:tc>
        <w:tc>
          <w:tcPr>
            <w:tcW w:w="1296" w:type="dxa"/>
            <w:vAlign w:val="center"/>
          </w:tcPr>
          <w:p w14:paraId="25E3D3C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240.00</w:t>
            </w:r>
          </w:p>
        </w:tc>
        <w:tc>
          <w:tcPr>
            <w:tcW w:w="1296" w:type="dxa"/>
            <w:vAlign w:val="center"/>
          </w:tcPr>
          <w:p w14:paraId="3AAFCA5E">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0.00</w:t>
            </w:r>
          </w:p>
        </w:tc>
      </w:tr>
      <w:tr w14:paraId="4D0842D8">
        <w:trPr>
          <w:jc w:val="center"/>
        </w:trPr>
        <w:tc>
          <w:tcPr>
            <w:tcW w:w="1296" w:type="dxa"/>
            <w:vAlign w:val="center"/>
          </w:tcPr>
          <w:p w14:paraId="6E7DCB82">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拥塞重布线</w:t>
            </w:r>
          </w:p>
        </w:tc>
        <w:tc>
          <w:tcPr>
            <w:tcW w:w="1296" w:type="dxa"/>
            <w:vAlign w:val="center"/>
          </w:tcPr>
          <w:p w14:paraId="22388A69">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100.00</w:t>
            </w:r>
          </w:p>
        </w:tc>
        <w:tc>
          <w:tcPr>
            <w:tcW w:w="1296" w:type="dxa"/>
            <w:vAlign w:val="center"/>
          </w:tcPr>
          <w:p w14:paraId="42604B44">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14.57</w:t>
            </w:r>
          </w:p>
        </w:tc>
        <w:tc>
          <w:tcPr>
            <w:tcW w:w="1296" w:type="dxa"/>
            <w:vAlign w:val="center"/>
          </w:tcPr>
          <w:p w14:paraId="741C4C3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838.60</w:t>
            </w:r>
          </w:p>
        </w:tc>
        <w:tc>
          <w:tcPr>
            <w:tcW w:w="1296" w:type="dxa"/>
            <w:vAlign w:val="center"/>
          </w:tcPr>
          <w:p w14:paraId="517277C8">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2.80</w:t>
            </w:r>
          </w:p>
        </w:tc>
        <w:tc>
          <w:tcPr>
            <w:tcW w:w="1296" w:type="dxa"/>
            <w:vAlign w:val="center"/>
          </w:tcPr>
          <w:p w14:paraId="5E1B179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238.00</w:t>
            </w:r>
          </w:p>
        </w:tc>
        <w:tc>
          <w:tcPr>
            <w:tcW w:w="1296" w:type="dxa"/>
            <w:vAlign w:val="center"/>
          </w:tcPr>
          <w:p w14:paraId="7BAA6880">
            <w:pPr>
              <w:spacing w:before="0" w:after="0" w:line="400" w:lineRule="exact"/>
              <w:ind/>
              <w:jc w:val="center"/>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0.00</w:t>
            </w:r>
          </w:p>
        </w:tc>
      </w:tr>
    </w:tbl>
    <w:p w14:paraId="4145EB0C">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由表 6-3 可见，K-means和局部搜索主要贡献在于快速消除未布点和点间距违规，使平均布通率提升至100%，同时将面积占比由59.19%降低到15.50%；PSO-Hanan进一步将平均线长降低到796.60 mm，并把平均拥塞峰值降至3.00；拥塞重布线在总线长小幅增加约5.27%的情况下，将平均拥塞峰值继续降低至2.80，平均拥挤网格数降低至238.00。该结果说明，本文所提拥塞感知方案并非单一算法堆叠，而是由“布点压缩面积、全局搜索缩短线长、拥塞反馈改善通道质量”三个环节共同形成。</w:t>
      </w:r>
    </w:p>
    <w:p w14:paraId="5F786890">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6.5 参数与工程适用性讨论</w:t>
      </w:r>
    </w:p>
    <w:p w14:paraId="7024C36E">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网格步长是影响算法效果的重要参数。较小的网格步长能够提供更多候选点，使测试点位置和布线路径更加灵活，但会增加候选规模和A*搜索节点数量；较大的网格步长可以提高运行速度，却可能因为候选点过少导致局部区域无法满足间距约束。本文实验统一采用1.0 mm网格，是在测试点最小间距约2.0 mm条件下的折中选择。若面向更高密度金手指或更精细的制造规则，可将网格步长缩小至0.5 mm，并通过分区搜索或多线程搜索控制运行时间。</w:t>
      </w:r>
    </w:p>
    <w:p w14:paraId="3486C410">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测试点最小间距直接决定尾板面积需求。间距越大，探针接触越稳定，但同等引脚数量下需要更大的尾板区域；间距越小，面积利用率提高，但制造公差和测试可靠性风险增加。本文在普通案例中采用2.0 mm，在面积受限案例中采用1.8 mm，用于模拟不同夹具能力下的设计取舍。实际工程中，该参数应由测试设备针径、针床加工能力和被测板工艺共同确定，算法只负责在给定规则下寻找尽可能优的方案。</w:t>
      </w:r>
    </w:p>
    <w:p w14:paraId="07A5D68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color w:val="000000" w:themeColor="text1"/>
          <w:sz w:val="24"/>
          <w14:textFill>
            <w14:solidFill>
              <w14:schemeClr w14:val="tx1"/>
            </w14:solidFill>
          </w14:textFill>
        </w:rPr>
        <w:t>障碍区的处理体现了测试尾板设计的工程复杂性。障碍可能来自固定孔、夹具压块、已有器件、禁布铜区域或板边工艺槽。若人工设计忽略障碍，后续布线阶段很容易出现返工。本文通过在候选点生成和A*搜索中同时外扩障碍区域，使布点和布线共享同一规则库，避免出现测试点合法但路径不可达的矛盾。该机制也说明布点算法不能只追求点位紧凑，还必须与布线可达性共同设计。</w:t>
      </w:r>
    </w:p>
    <w:p w14:paraId="28D6DCAC">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从答辩和工程演示角度看，命令行原型具有较强的可复现优势。评审者可以直接运行同一案例文件，查看CSV指标和SVG布局，而不依赖不可验证的截图。虽然图形界面更直观，但毕业设计阶段更重要的是证明模型、算法和数据闭环成立。当前工程保留了清晰的数据结构和输出接口，后续若加入Qt界面，只需在现有结果基础上增加渲染层，无需重写核心算法。</w:t>
      </w:r>
    </w:p>
    <w:p w14:paraId="5CACF02E">
      <w:pPr>
        <w:pStyle w:val="3"/>
        <w:pageBreakBefore/>
        <w:spacing w:before="200" w:after="200" w:line="400" w:lineRule="exact"/>
        <w:jc w:val="center"/>
        <w:rPr>
          <w:color w:val="000000" w:themeColor="text1"/>
          <w14:textFill>
            <w14:solidFill>
              <w14:schemeClr w14:val="tx1"/>
            </w14:solidFill>
          </w14:textFill>
        </w:rPr>
      </w:pPr>
      <w:commentRangeStart w:id="8"/>
      <w:r>
        <w:rPr>
          <w:rFonts w:ascii="黑体" w:hAnsi="黑体" w:eastAsia="黑体"/>
          <w:b/>
          <w:color w:val="000000" w:themeColor="text1"/>
          <w:sz w:val="36"/>
          <w14:textFill>
            <w14:solidFill>
              <w14:schemeClr w14:val="tx1"/>
            </w14:solidFill>
          </w14:textFill>
        </w:rPr>
        <w:t>7 总结与展望</w:t>
      </w:r>
      <w:commentRangeEnd w:id="8"/>
      <w:r>
        <w:rPr>
          <w:rStyle w:val="CommentReference"/>
        </w:rPr>
        <w:commentReference w:id="8"/>
      </w:r>
    </w:p>
    <w:p w14:paraId="2E6DBEDB">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7.1 工作总结</w:t>
      </w:r>
    </w:p>
    <w:p w14:paraId="084E2C98">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本文针对PCB金手指测试尾板设计中布点布线自动化程度不足的问题，完成了从需求分析、约束建模、算法设计、系统实现到实验验证的完整研究。论文分析了金手指结构特点和测试尾板设计约束，建立了候选点、测试点、障碍区、网格路径和实验指标等模型；提出了规则网格候选生成、K-means初始分组、禁忌搜索局部优化和A*网格布线相结合的协同优化方法；基于C++17实现了可运行命令行原型，并输出CSV指标和SVG可视化结果。五组仿真实验显示，优化方案能够实现完整覆盖和完整布通，同时显著降低测试点区域面积和总线长，达到了毕业设计任务中对算法功能验证和性能评估的要求。</w:t>
      </w:r>
    </w:p>
    <w:p w14:paraId="793AB985">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对照任务书六项主要要求，本文完成情况如下：第一，完成了不少于15篇文献的调研，并补充近五年英文文献作为算法发展趋势依据；第二，在缺少企业原始PCB文件的条件下，构建了符合真实应用约束的五组金手指测试尾板案例，并明确测试点间距、障碍避让、网格步长和评价指标；第三，完成布点布线算法框架设计，覆盖候选点生成、聚类分组、禁忌局部搜索、PSO-Hanan布点、A*搜索和拥塞重布线；第四，完成C++17核心代码实现，程序可通过Makefile或CMake构建并批量生成结果；第五，完成规则基线与三类优化方案的对比实验，并从布通率、面积、线长、拥塞和违规数进行量化分析；第六，基于最新实验数据完成论文正文、图表和参考文献整理，正文字数达到本科毕业论文要求。</w:t>
      </w:r>
    </w:p>
    <w:p w14:paraId="1DF507F1">
      <w:pPr>
        <w:pStyle w:val="4"/>
        <w:spacing w:before="200" w:after="120" w:line="400" w:lineRule="exact"/>
        <w:jc w:val="left"/>
        <w:rPr>
          <w:color w:val="000000" w:themeColor="text1"/>
          <w14:textFill>
            <w14:solidFill>
              <w14:schemeClr w14:val="tx1"/>
            </w14:solidFill>
          </w14:textFill>
        </w:rPr>
      </w:pPr>
      <w:r>
        <w:rPr>
          <w:rFonts w:ascii="黑体" w:hAnsi="黑体" w:eastAsia="黑体"/>
          <w:b/>
          <w:color w:val="000000" w:themeColor="text1"/>
          <w:sz w:val="32"/>
          <w14:textFill>
            <w14:solidFill>
              <w14:schemeClr w14:val="tx1"/>
            </w14:solidFill>
          </w14:textFill>
        </w:rPr>
        <w:t>7.2 不足与展望</w:t>
      </w:r>
    </w:p>
    <w:p w14:paraId="6100FF0F">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本文仍存在若干不足。首先，实验案例由参数化方式构造，尚未接入真实EDA文件格式，后续可支持Gerber、ODB++或IPC-2581等数据解析，并与企业尾板案例进行交叉验证。其次，当前布线模型采用两层合法化假设，未显式优化过孔数量、层分配、差分等长和阻抗控制，后续可在Tile容量模型基础上增加层资源、过孔惩罚和差分对约束。再次，当前拥塞重布线属于轻量启发式方法，虽然吸收了网络流容量和蚁群信息素思想，但尚未形成完整的最大流、最小费用流或线性规划合法化流程。最后，开题报告中设想的Qt/OpenGL动态可视化和深度学习接口尚未完整实现，后续可在现有CSV/SVG输出基础上增加交互界面，并借鉴DeepTPI、NS-Place、领域模型和Transformer-A*方法，逐步将候选点选择、线序排序和拥塞预测升级为数据驱动模块。</w:t>
      </w:r>
    </w:p>
    <w:p w14:paraId="30A70EB7">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本文参考文献在开题报告和阶段性报告列出的必读文献基础上，补充了已上传的中文硕士论文和工程资料，并对部分文献名称、作者、出版年限和电子文献访问日期进行了统一。参考文献编号在正文中按首次出现和主题关联进行引用，所有列入文后的文献均在正文、表格或算法说明中设置对应引文标识，以保证文献综述、模型章节、算法章节和实验章节之间形成对应关系。</w:t>
      </w:r>
    </w:p>
    <w:p w14:paraId="29A9E272">
      <w:pPr>
        <w:pStyle w:val="3"/>
        <w:pageBreakBefore/>
        <w:spacing w:before="200" w:after="200" w:line="400" w:lineRule="exact"/>
        <w:jc w:val="center"/>
        <w:rPr>
          <w:color w:val="000000" w:themeColor="text1"/>
          <w14:textFill>
            <w14:solidFill>
              <w14:schemeClr w14:val="tx1"/>
            </w14:solidFill>
          </w14:textFill>
        </w:rPr>
      </w:pPr>
      <w:commentRangeStart w:id="9"/>
      <w:r>
        <w:rPr>
          <w:rFonts w:ascii="黑体" w:hAnsi="黑体" w:eastAsia="黑体"/>
          <w:b/>
          <w:color w:val="000000" w:themeColor="text1"/>
          <w:sz w:val="36"/>
          <w14:textFill>
            <w14:solidFill>
              <w14:schemeClr w14:val="tx1"/>
            </w14:solidFill>
          </w14:textFill>
        </w:rPr>
        <w:t>参考文献</w:t>
      </w:r>
      <w:commentRangeEnd w:id="9"/>
      <w:r>
        <w:rPr>
          <w:rStyle w:val="CommentReference"/>
        </w:rPr>
        <w:commentReference w:id="9"/>
      </w:r>
    </w:p>
    <w:p w14:paraId="4A20B150">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 KHALIL E H, EL-MAHLAWY M H, IBRAHIM F, et al. Design for testability of circuits and systems: an overview[C]//Proceedings of the 5th International Conference on Electrical Engineering. Cairo: Military Technical College, 2006: 1-24.</w:t>
      </w:r>
    </w:p>
    <w:p w14:paraId="524451BE">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[2] SHI Z, LI M, KHAN S, et al. DeepTPI: test point insertion with deep reinforcement learning[C]//2022 IEEE International Test Conference (ITC). Piscataway: IEEE, 2022: 194-203.</w:t>
      </w:r>
    </w:p>
    <w:p w14:paraId="111FD4ED">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[3] YANG J S, NADEAU-DOSTIE B, TOUBA N A. Test point insertion using functional flip-flops to drive control points[C]//2009 International Test Conference. Piscataway: IEEE, 2009: 1-10.</w:t>
      </w:r>
    </w:p>
    <w:p w14:paraId="2FED36E5">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[4] YAN T, MA Q, WONG M D F. Advances in PCB routing[J]. IPSJ Transactions on System and LSI Design Methodology, 2012, 5: 14-22.</w:t>
      </w:r>
    </w:p>
    <w:p w14:paraId="06C3D260">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[5] CHEN C, TONG X, LIU Q, et al. Legalized routing algorithm based on linear programming[J]. Electronics, 2023, 12(20): 4338.</w:t>
      </w:r>
    </w:p>
    <w:p w14:paraId="4A0CB7A6">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[6] ZHAO D, ZHU Y, WANG L, et al. NS-Place: PCB placement with neural net separation[J/OL]. arXiv preprint arXiv:2212.01162, 2022.</w:t>
      </w:r>
    </w:p>
    <w:p w14:paraId="00DF0FE9">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[7] MARTINS R M F. A survey of machine and deep learning techniques in analog integrated circuit layout synthesis[J]. Microelectronics, 2025, 1(1): 2.</w:t>
      </w:r>
    </w:p>
    <w:p w14:paraId="6A8533D0">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[8] LEE C Y. An algorithm for path connections and its applications[J]. IRE Transactions on Electronic Computers, 1961, EC-10(3): 346-365.</w:t>
      </w:r>
    </w:p>
    <w:p w14:paraId="4D8C0E58">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[9] HIGHTOWER D W. A solution to line-routing problems on the continuous plane[C]//Proceedings of the 6th Annual Design Automation Conference. New York: ACM, 1969: 1-24.</w:t>
      </w:r>
    </w:p>
    <w:p w14:paraId="2DED9100">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[10] SOUKUP J. Fast maze router[C]//Proceedings of the 15th Design Automation Conference. Piscataway: IEEE, 1978: 100-102.</w:t>
      </w:r>
    </w:p>
    <w:p w14:paraId="40E31A52">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[11] HADLOCK F O. A shortest path algorithm for grid graphs[J]. Networks, 1977, 7(4): 323-334.</w:t>
      </w:r>
    </w:p>
    <w:p w14:paraId="526891C3">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[12] LIN Y, LI M, KHAILANY B, et al. DREAMPlace: deep learning toolkit-enabled GPU acceleration for modern VLSI placement[C]//Proceedings of the 56th Annual Design Automation Conference. New York: ACM, 2019: 1-6.</w:t>
      </w:r>
    </w:p>
    <w:p w14:paraId="17250514">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[13] IPC. IPC-2221B: Generic standard on printed board design[S]. Bannockburn: IPC, 2012.</w:t>
      </w:r>
    </w:p>
    <w:p w14:paraId="5A62FA61">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[14] IPC. IPC-A-600: Acceptability of printed boards[S]. Bannockburn: IPC, 2020.</w:t>
      </w:r>
    </w:p>
    <w:p w14:paraId="4A62645E">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[15] 李晓欣. PCB自动布局布线器的设计与实现[D]. 天津: 天津科技大学, 2023.</w:t>
      </w:r>
    </w:p>
    <w:p w14:paraId="6250F00B">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[16] 王磊. 基于元胞自动机和蚁群算法的PCB布局布线协同优化研究[D]. 西安: 西安电子科技大学, 2019.</w:t>
      </w:r>
    </w:p>
    <w:p w14:paraId="40949B69">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[17] 胡木森. 基于网络流的高性能PCB自动布线算法研究与设计[D]. 成都: 电子科技大学, 2024.</w:t>
      </w:r>
    </w:p>
    <w:p w14:paraId="1FC27706">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[18] 刘自铭. 基于蚁群算法的多层印刷电路板布线研究[D]. 西安: 西安电子科技大学, 2024.</w:t>
      </w:r>
    </w:p>
    <w:p w14:paraId="498DBE0E">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[19] 郑杰. 基于PCB布线领域模型的电子线路自动布线方法的设计[D]. 成都: 电子科技大学, 2025.</w:t>
      </w:r>
    </w:p>
    <w:p w14:paraId="568AF6E7">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[20] 白胜泷. 基于Transformer的PCB自动布线算法[D]. 成都: 电子科技大学, 2025.</w:t>
      </w:r>
    </w:p>
    <w:p w14:paraId="7A05C2CA">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[21] PCBCart. Guide to PCB gold fingers[EB/OL]. [2026-05-14]. https://www.pcbcart.com/article/content/guide-to-pcb-gold-fingers.html.</w:t>
      </w:r>
    </w:p>
    <w:p w14:paraId="3CD6DADD">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[22] WellPCB. The complete guide to gold finger PCB manufacturing[EB/OL]. [2026-05-14]. https://www.wellpcb.com/gold-finger-pcb.html.</w:t>
      </w:r>
    </w:p>
    <w:p w14:paraId="06E72321">
      <w:pPr>
        <w:spacing w:before="0" w:after="0" w:line="400" w:lineRule="exact"/>
        <w:jc w:val="left"/>
        <w:rPr>
          <w:color w:val="000000" w:themeColor="text1"/>
          <w14:textFill>
            <w14:solidFill>
              <w14:schemeClr w14:val="tx1"/>
            </w14:solidFill>
          </w14:textFill>
        </w:rPr>
      </w:pPr>
      <w:r>
        <w:rPr>
          <w:rFonts w:ascii="宋体" w:hAnsi="宋体" w:eastAsia="宋体"/>
          <w:b w:val="0"/>
          <w:color w:val="000000" w:themeColor="text1"/>
          <w:sz w:val="21"/>
          <w14:textFill>
            <w14:solidFill>
              <w14:schemeClr w14:val="tx1"/>
            </w14:solidFill>
          </w14:textFill>
        </w:rPr>
        <w:t>[23] NexPCB. Design for excellence[EB/OL]. [2026-05-14]. https://knowledgebase.nexpcb.com/articles/DFX//.</w:t>
      </w:r>
    </w:p>
    <w:p w14:paraId="1E4EB87D">
      <w:pPr>
        <w:pStyle w:val="3"/>
        <w:pageBreakBefore/>
        <w:spacing w:before="200" w:after="200" w:line="400" w:lineRule="exact"/>
        <w:jc w:val="center"/>
        <w:rPr>
          <w:color w:val="000000" w:themeColor="text1"/>
          <w14:textFill>
            <w14:solidFill>
              <w14:schemeClr w14:val="tx1"/>
            </w14:solidFill>
          </w14:textFill>
        </w:rPr>
      </w:pPr>
      <w:r>
        <w:rPr>
          <w:rFonts w:ascii="黑体" w:hAnsi="黑体" w:eastAsia="黑体"/>
          <w:b/>
          <w:color w:val="000000" w:themeColor="text1"/>
          <w:sz w:val="36"/>
          <w14:textFill>
            <w14:solidFill>
              <w14:schemeClr w14:val="tx1"/>
            </w14:solidFill>
          </w14:textFill>
        </w:rPr>
        <w:t>致谢</w:t>
      </w:r>
    </w:p>
    <w:p w14:paraId="13E05B5D">
      <w:pPr>
        <w:spacing w:before="0" w:after="0" w:line="400" w:lineRule="exact"/>
        <w:ind w:firstLine="480"/>
        <w:jc w:val="both"/>
        <w:rPr>
          <w:color w:val="000000" w:themeColor="text1"/>
          <w14:textFill>
            <w14:solidFill>
              <w14:schemeClr w14:val="tx1"/>
            </w14:solidFill>
          </w14:textFill>
        </w:rPr>
      </w:pPr>
      <w:r>
        <w:rPr>
          <w:rFonts w:ascii="宋体" w:hAnsi="宋体" w:eastAsia="宋体"/>
          <w:b w:val="0"/>
          <w:sz w:val="24"/>
        </w:rPr>
        <w:t>本课题从选题、资料调研、算法设计到论文撰写，得到了指导教师和同学的悉心帮助。感谢指导教师在研究方向、技术路线和论文结构方面给予的指导，也感谢学院提供的学习环境和实验条件。通过本次毕业设计，作者进一步理解了PCB可测性设计、自动布点布线算法和工程化实现之间的联系，提升了独立分析问题、编写程序和整理技术文档的能力。</w:t>
      </w:r>
    </w:p>
    <w:sectPr>
      <w:headerReference r:id="rId6" w:type="default"/>
      <w:footerReference r:id="rId7" w:type="default"/>
      <w:pgSz w:w="11906" w:h="16838"/>
      <w:pgMar w:top="1417" w:right="1134" w:bottom="1134" w:left="1417" w:header="1474" w:footer="1361" w:gutter="0"/>
      <w:pgNumType w:fmt="decimal" w:start="1"/>
      <w:cols w:space="720"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学术规范审阅" w:initials="CX" w:date="2026-05-14T14:19:33Z">
    <w:p>
      <w:pPr>
        <w:pStyle w:val="CommentText"/>
      </w:pPr>
      <w:r>
        <w:rPr>
          <w:rStyle w:val="CommentReference"/>
        </w:rPr>
        <w:annotationRef/>
      </w:r>
      <w:r>
        <w:t>按照撰写规范保留摘要标题层级，并统一中文摘要为研究目的、方法、结果和结论的学术表达。</w:t>
      </w:r>
    </w:p>
  </w:comment>
  <w:comment w:id="1" w:author="Codex 学术规范审阅" w:initials="CX" w:date="2026-05-14T14:19:33Z">
    <w:p>
      <w:pPr>
        <w:pStyle w:val="CommentText"/>
      </w:pPr>
      <w:r>
        <w:rPr>
          <w:rStyle w:val="CommentReference"/>
        </w:rPr>
        <w:annotationRef/>
      </w:r>
      <w:r>
        <w:t>英文摘要已按中文摘要的研究逻辑重写，保留原实验数据与结论，不新增未经验证的信息。</w:t>
      </w:r>
    </w:p>
  </w:comment>
  <w:comment w:id="2" w:author="Codex 学术规范审阅" w:initials="CX" w:date="2026-05-14T14:19:33Z">
    <w:p>
      <w:pPr>
        <w:pStyle w:val="CommentText"/>
      </w:pPr>
      <w:r>
        <w:rPr>
          <w:rStyle w:val="CommentReference"/>
        </w:rPr>
        <w:annotationRef/>
      </w:r>
      <w:r>
        <w:t>绪论章节重点强化研究背景、问题提出和文献承接关系，使其与摘要区分更清晰。</w:t>
      </w:r>
    </w:p>
  </w:comment>
  <w:comment w:id="3" w:author="Codex 学术规范审阅" w:initials="CX" w:date="2026-05-14T14:19:33Z">
    <w:p>
      <w:pPr>
        <w:pStyle w:val="CommentText"/>
      </w:pPr>
      <w:r>
        <w:rPr>
          <w:rStyle w:val="CommentReference"/>
        </w:rPr>
        <w:annotationRef/>
      </w:r>
      <w:r>
        <w:t>理论与约束建模章节统一了Tile、网格、容量、拥塞和硬/软约束的表述。</w:t>
      </w:r>
    </w:p>
  </w:comment>
  <w:comment w:id="4" w:author="Codex 学术规范审阅" w:initials="CX" w:date="2026-05-14T14:19:33Z">
    <w:p>
      <w:pPr>
        <w:pStyle w:val="CommentText"/>
      </w:pPr>
      <w:r>
        <w:rPr>
          <w:rStyle w:val="CommentReference"/>
        </w:rPr>
        <w:annotationRef/>
      </w:r>
      <w:r>
        <w:t>布点算法章节强化了候选点、K-means、禁忌搜索和目标函数之间的逻辑衔接。</w:t>
      </w:r>
    </w:p>
  </w:comment>
  <w:comment w:id="5" w:author="Codex 学术规范审阅" w:initials="CX" w:date="2026-05-14T14:19:33Z">
    <w:p>
      <w:pPr>
        <w:pStyle w:val="CommentText"/>
      </w:pPr>
      <w:r>
        <w:rPr>
          <w:rStyle w:val="CommentReference"/>
        </w:rPr>
        <w:annotationRef/>
      </w:r>
      <w:r>
        <w:t>布线章节补强了A*、拥塞感知和拆线重布的理论来源与工程解释。</w:t>
      </w:r>
    </w:p>
  </w:comment>
  <w:comment w:id="6" w:author="Codex 学术规范审阅" w:initials="CX" w:date="2026-05-14T14:19:33Z">
    <w:p>
      <w:pPr>
        <w:pStyle w:val="CommentText"/>
      </w:pPr>
      <w:r>
        <w:rPr>
          <w:rStyle w:val="CommentReference"/>
        </w:rPr>
        <w:annotationRef/>
      </w:r>
      <w:r>
        <w:t>系统实现章节保留原代码与文件事实，仅对运行方式和数据流表述作规范化处理。</w:t>
      </w:r>
    </w:p>
  </w:comment>
  <w:comment w:id="7" w:author="Codex 学术规范审阅" w:initials="CX" w:date="2026-05-14T14:19:33Z">
    <w:p>
      <w:pPr>
        <w:pStyle w:val="CommentText"/>
      </w:pPr>
      <w:r>
        <w:rPr>
          <w:rStyle w:val="CommentReference"/>
        </w:rPr>
        <w:annotationRef/>
      </w:r>
      <w:r>
        <w:t>实验章节保留原始指标，重点修正结果分析的学术语气和数据来源边界。</w:t>
      </w:r>
    </w:p>
  </w:comment>
  <w:comment w:id="8" w:author="Codex 学术规范审阅" w:initials="CX" w:date="2026-05-14T14:19:33Z">
    <w:p>
      <w:pPr>
        <w:pStyle w:val="CommentText"/>
      </w:pPr>
      <w:r>
        <w:rPr>
          <w:rStyle w:val="CommentReference"/>
        </w:rPr>
        <w:annotationRef/>
      </w:r>
      <w:r>
        <w:t>总结与展望章节按成果、不足、后续工作三类信息收束，避免过度扩展。</w:t>
      </w:r>
    </w:p>
  </w:comment>
  <w:comment w:id="9" w:author="Codex 学术规范审阅" w:initials="CX" w:date="2026-05-14T14:19:33Z">
    <w:p>
      <w:pPr>
        <w:pStyle w:val="CommentText"/>
      </w:pPr>
      <w:r>
        <w:rPr>
          <w:rStyle w:val="CommentReference"/>
        </w:rPr>
        <w:annotationRef/>
      </w:r>
      <w:r>
        <w:t>参考文献部分按顺序编号和GB/T 7714风格进行一致性检查，建议提交前在Word中最终更新域和目录。</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1DE69">
    <w:pPr>
      <w:jc w:val="center"/>
    </w:pPr>
    <w:r>
      <w:rPr>
        <w:rFonts w:ascii="Times New Roman" w:hAnsi="Times New Roman" w:eastAsia="Times New Roman"/>
        <w:sz w:val="21"/>
      </w:rPr>
      <w:fldChar w:fldCharType="begin"/>
      <w:instrText xml:space="preserve"> PAGE \* ROMAN </w:instrTex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48718">
    <w:pPr>
      <w:jc w:val="center"/>
    </w:pPr>
    <w:r>
      <w:rPr>
        <w:rFonts w:ascii="Times New Roman" w:hAnsi="Times New Roman" w:eastAsia="Times New Roman"/>
        <w:sz w:val="21"/>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DE58A">
    <w:pPr>
      <w:jc w:val="center"/>
    </w:pPr>
    <w:r>
      <w:rPr>
        <w:rFonts w:ascii="宋体" w:hAnsi="宋体" w:eastAsia="宋体"/>
        <w:sz w:val="21"/>
      </w:rPr>
      <w:t>武汉理工大学本科毕业设计（论文）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9EE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00" w:lineRule="exact"/>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180" w:after="180" w:line="400" w:lineRule="exact"/>
      <w:jc w:val="center"/>
      <w:outlineLvl w:val="0"/>
    </w:pPr>
    <w:rPr>
      <w:rFonts w:asciiTheme="majorHAnsi" w:hAnsiTheme="majorHAnsi" w:eastAsiaTheme="majorEastAsia" w:cstheme="majorBidi" w:ascii="黑体" w:hAnsi="黑体" w:eastAsia="黑体"/>
      <w:b/>
      <w:bCs/>
      <w:color w:val="376092" w:themeColor="accent1" w:themeShade="BF"/>
      <w:sz w:val="36"/>
      <w:szCs w:val="28"/>
    </w:rPr>
  </w:style>
  <w:style w:type="paragraph" w:styleId="4">
    <w:name w:val="heading 2"/>
    <w:basedOn w:val="1"/>
    <w:next w:val="1"/>
    <w:link w:val="139"/>
    <w:unhideWhenUsed/>
    <w:qFormat/>
    <w:uiPriority w:val="9"/>
    <w:pPr>
      <w:keepNext/>
      <w:keepLines/>
      <w:spacing w:before="180" w:after="180" w:line="400" w:lineRule="exact"/>
      <w:jc w:val="left"/>
      <w:outlineLvl w:val="1"/>
    </w:pPr>
    <w:rPr>
      <w:rFonts w:asciiTheme="majorHAnsi" w:hAnsiTheme="majorHAnsi" w:eastAsiaTheme="majorEastAsia" w:cstheme="majorBidi" w:ascii="黑体" w:hAnsi="黑体" w:eastAsia="黑体"/>
      <w:b/>
      <w:bCs/>
      <w:color w:val="4F81BD" w:themeColor="accent1"/>
      <w:sz w:val="32"/>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 Id="rId16" Type="http://schemas.openxmlformats.org/officeDocument/2006/relationships/header" Target="header2.xml"/><Relationship Id="rId17" Type="http://schemas.openxmlformats.org/officeDocument/2006/relationships/footer" Target="footer3.xml"/><Relationship Id="rId18" Type="http://schemas.openxmlformats.org/officeDocument/2006/relationships/header" Target="header3.xml"/><Relationship Id="rId1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刘政</cp:lastModifiedBy>
  <dcterms:modified xsi:type="dcterms:W3CDTF">2026-05-14T16:54:45Z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F66FEF6EA0D3BCFCD58D056A563B48A7_42</vt:lpwstr>
  </property>
</Properties>
</file>