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武汉理工大学</w:t>
      </w:r>
    </w:p>
    <w:p w14:paraId="0CF04AF5">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本科毕业设计（论文）</w:t>
      </w:r>
    </w:p>
    <w:p w14:paraId="127F74C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学院</w:t>
            </w:r>
          </w:p>
        </w:tc>
        <w:tc>
          <w:tcPr>
            <w:tcW w:w="5102" w:type="dxa"/>
            <w:vAlign w:val="center"/>
          </w:tcPr>
          <w:p w14:paraId="39C1C60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专业</w:t>
            </w:r>
          </w:p>
        </w:tc>
        <w:tc>
          <w:tcPr>
            <w:tcW w:w="5102" w:type="dxa"/>
            <w:vAlign w:val="center"/>
          </w:tcPr>
          <w:p w14:paraId="36E8548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班级</w:t>
            </w:r>
          </w:p>
        </w:tc>
        <w:tc>
          <w:tcPr>
            <w:tcW w:w="5102" w:type="dxa"/>
            <w:vAlign w:val="center"/>
          </w:tcPr>
          <w:p w14:paraId="29D8E2A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0" w:line="400" w:lineRule="exact"/>
              <w:jc w:val="center"/>
              <w:rPr>
                <w:color w:val="000000" w:themeColor="text1"/>
                <w14:textFill>
                  <w14:solidFill>
                    <w14:schemeClr w14:val="tx1"/>
                  </w14:solidFill>
                </w14:textFill>
              </w:rPr>
            </w:pPr>
          </w:p>
        </w:tc>
        <w:tc>
          <w:tcPr>
            <w:tcW w:w="5102" w:type="dxa"/>
            <w:vAlign w:val="center"/>
          </w:tcPr>
          <w:p w14:paraId="6E5D7733">
            <w:pPr>
              <w:spacing w:before="0" w:after="0" w:line="400" w:lineRule="exact"/>
              <w:jc w:val="center"/>
              <w:rPr>
                <w:color w:val="000000" w:themeColor="text1"/>
                <w14:textFill>
                  <w14:solidFill>
                    <w14:schemeClr w14:val="tx1"/>
                  </w14:solidFill>
                </w14:textFill>
              </w:rPr>
            </w:pPr>
          </w:p>
        </w:tc>
      </w:tr>
    </w:tbl>
    <w:p w14:paraId="01E3081F">
      <w:pPr>
        <w:spacing w:line="400" w:lineRule="exact" w:before="0" w:after="0"/>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br w:type="page"/>
      </w:r>
    </w:p>
    <w:p w14:paraId="22CC7D4C">
      <w:pPr>
        <w:pStyle w:val="3"/>
        <w:spacing w:line="400" w:lineRule="exact" w:before="200" w:after="200"/>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学位论文原创性声明</w:t>
      </w:r>
    </w:p>
    <w:p w14:paraId="21084DB6">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作者签名：                       年    月    日</w:t>
      </w:r>
    </w:p>
    <w:p w14:paraId="1FA7B530">
      <w:pPr>
        <w:spacing w:before="0" w:after="0" w:line="400" w:lineRule="exact"/>
        <w:ind w:firstLine="480"/>
        <w:jc w:val="both"/>
        <w:rPr>
          <w:color w:val="000000" w:themeColor="text1"/>
          <w14:textFill>
            <w14:solidFill>
              <w14:schemeClr w14:val="tx1"/>
            </w14:solidFill>
          </w14:textFill>
        </w:rPr>
        <w:sectPr>
          <w:headerReference w:type="default" r:id="rId16"/>
          <w:footerReference w:type="default" r:id="rId17"/>
          <w:pgSz w:w="11906" w:h="16838"/>
          <w:pgMar w:top="1417" w:right="1134" w:bottom="1134" w:left="1417" w:header="1474" w:footer="1361" w:gutter="0"/>
          <w:cols w:space="720" w:num="1"/>
          <w:docGrid w:linePitch="360" w:charSpace="0"/>
        </w:sectPr>
      </w:pPr>
      <w:r>
        <w:rPr>
          <w:rFonts w:ascii="宋体" w:hAnsi="宋体" w:eastAsia="宋体"/>
          <w:b w:val="0"/>
          <w:color w:val="000000" w:themeColor="text1"/>
          <w:sz w:val="24"/>
          <w14:textFill>
            <w14:solidFill>
              <w14:schemeClr w14:val="tx1"/>
            </w14:solidFill>
          </w14:textFill>
        </w:rPr>
        <w:t>指导教师签名：                   年    月    日</w:t>
      </w:r>
    </w:p>
    <w:p w14:paraId="79B224D7">
      <w:pPr>
        <w:pStyle w:val="3"/>
        <w:spacing w:line="400" w:lineRule="exact" w:before="200" w:after="200"/>
        <w:jc w:val="center"/>
        <w:rPr>
          <w:color w:val="000000" w:themeColor="text1"/>
          <w14:textFill>
            <w14:solidFill>
              <w14:schemeClr w14:val="tx1"/>
            </w14:solidFill>
          </w14:textFill>
        </w:rPr>
      </w:pPr>
      <w:r>
        <w:rPr>
          <w:rFonts w:ascii="黑体" w:hAnsi="黑体" w:eastAsia="黑体"/>
          <w:b/>
          <w:color w:val="000000" w:themeColor="text1"/>
          <w14:textFill>
            <w14:solidFill>
              <w14:schemeClr w14:val="tx1"/>
            </w14:solidFill>
          </w14:textFill>
          <w:sz w:val="36"/>
        </w:rPr>
        <w:t>摘  要</w:t>
      </w:r>
    </w:p>
    <w:p w14:paraId="2EFFC559">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PCB金手指是板卡与外部设备、测试夹具及扩展接口实现电气连接的关键边缘接口，具有端子密度高、可用边缘空间受限、信号类型混合以及接触可靠性要求高等特点。针对生产测试阶段人工布点布线效率较低、局部通道易拥塞和尾板面积利用不足等问题，本文面向PCB金手指测试尾板构建了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并通过K-means分组、禁忌局部搜索、PSO-Hanan候选优化和动态拥塞代价改善布点布线结果。五组参数化案例表明，在低密度、中密度、高密度、含障碍和面积受限场景中，所提方法均实现100%覆盖率与100%布通率，平均尾板面积占比由基线方案的59.19%降低至14.57%，平均总线长由2014.40 mm降低至838.60 mm。研究结果说明，该方法能够为金手指测试尾板自动化设计提供可解释、可复现的算法基础。</w:t>
      </w:r>
    </w:p>
    <w:p w14:paraId="2C1967AA">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关键词：PCB金手指；测试尾板；布点布线；拥塞感知；A*算法</w:t>
      </w:r>
    </w:p>
    <w:p w14:paraId="1B17B0DB">
      <w:pPr>
        <w:spacing w:line="400" w:lineRule="exact" w:before="0" w:after="0"/>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br w:type="page"/>
      </w:r>
    </w:p>
    <w:p w14:paraId="733BC8CD">
      <w:pPr>
        <w:pStyle w:val="3"/>
        <w:spacing w:line="400" w:lineRule="exact" w:before="200" w:after="200"/>
        <w:jc w:val="center"/>
        <w:rPr>
          <w:color w:val="000000" w:themeColor="text1"/>
          <w14:textFill>
            <w14:solidFill>
              <w14:schemeClr w14:val="tx1"/>
            </w14:solidFill>
          </w14:textFill>
        </w:rPr>
      </w:pPr>
      <w:r>
        <w:rPr>
          <w:rFonts w:ascii="Times New Roman" w:hAnsi="Times New Roman" w:eastAsia="Times New Roman"/>
          <w:b/>
          <w:color w:val="000000" w:themeColor="text1"/>
          <w14:textFill>
            <w14:solidFill>
              <w14:schemeClr w14:val="tx1"/>
            </w14:solidFill>
          </w14:textFill>
          <w:sz w:val="36"/>
        </w:rPr>
        <w:t>Abstract</w:t>
      </w:r>
    </w:p>
    <w:p w14:paraId="088E449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PCB gold fingers are dense edge contacts used for board-level interconnection, fixture contact, and functional testing. In a test tailboard, accessible test pads must be placed in a constrained extension region, and each gold-finger terminal must be routed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The algorithm further separates candidate generation, constraint filtering, placement optimization, congestion-aware routing, rip-up and rerouting, and metric evaluation, so that each stage can be inspected and reproduced. A C++17 prototype implements K-means grouping, tabu local search, PSO-Hanan placement, congestion-aware A* routing, and CSV/SVG result export. Five parameterized cases, including low-density, medium-density, high-density, obstacle-constrained, and area-limited scenarios, are used for evaluation. The results show that the proposed scheme achieves full pad coverage and full routability in all cases. Compared with the rule-based baseline, the average occupied tailboard-area ratio is reduced from 59.19% to 14.57%, and the average total routing length is reduced from 2014.40 mm to 838.60 mm. By explicitly distinguishing hard feasibility checks from soft optimization objectives, the method also improves the traceability of experimental conclusions and supports later replacement of local heuristic modules by network-flow, linear-programming, or learning-based strategies without changing the data interface. The study provides an interpretable and reproducible algorithmic basis for automated test-tailboard design and subsequent integration into domestic EDA toolchains.</w:t>
      </w:r>
    </w:p>
    <w:p w14:paraId="3E21446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400" w:lineRule="exact" w:before="0" w:after="0"/>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br w:type="page"/>
      </w:r>
    </w:p>
    <w:p w14:paraId="29C6946C">
      <w:pPr>
        <w:pStyle w:val="3"/>
        <w:spacing w:line="400" w:lineRule="exact" w:before="200" w:after="200"/>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 绪论</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1.1 研究背景</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1.2 国内外研究现状</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1.3 研究内容与论文结构</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1.4 任务书要求与完成情况</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1.5 本文创新点</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 相关理论与约束建模</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2.1 PCB金手指与测试尾板结构</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2.2 布点布线数学模型</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2.3 基于Tile和网络流思想的尾板等效建模</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2.4 约束优先级与合法性判定</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2.5 文献理论到本文模型的转化</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 测试点布点算法设计</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3.1 候选点生成</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3.2 K-means初始分组</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3.3 禁忌搜索局部优化</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3.4 改进后的布点目标函数与步骤</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 布线算法与协同优化</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4.1 A*网格布线</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4.2 布点布线协同优化机制</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4.3 拥塞感知与拆线重布策略</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4.4 分层布线与重布线改进流程</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 系统实现</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5.1 工程结构与运行方式</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5.2 输出文件说明</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5.3 关键函数与数据流</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5.4 文献支撑下的代码模块对应关系</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15</w:t>
      </w:r>
    </w:p>
    <w:p w14:paraId="0B7DED81">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 实验结果与分析</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16</w:t>
      </w:r>
    </w:p>
    <w:p w14:paraId="3D2BDD5A">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6.1 实验设置</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16</w:t>
      </w:r>
    </w:p>
    <w:p w14:paraId="5F07FAAD">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6.2 指标结果</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16</w:t>
      </w:r>
    </w:p>
    <w:p w14:paraId="2C22927E">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6.3 结果分析</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17</w:t>
      </w:r>
    </w:p>
    <w:p w14:paraId="622FAA2D">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6.4 消融实验与对比有效性分析</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18</w:t>
      </w:r>
    </w:p>
    <w:p w14:paraId="68DB9CA6">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6.5 参数与工程适用性讨论</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19</w:t>
      </w:r>
    </w:p>
    <w:p w14:paraId="47483621">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 总结与展望</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20</w:t>
      </w:r>
    </w:p>
    <w:p w14:paraId="53D73006">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7.1 工作总结</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20</w:t>
      </w:r>
    </w:p>
    <w:p w14:paraId="3083ADEB">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7.2 不足与展望</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20</w:t>
      </w:r>
    </w:p>
    <w:p w14:paraId="13A97185">
      <w:pPr>
        <w:pageBreakBefore w:val="0"/>
        <w:tabs>
          <w:tab w:val="right" w:leader="dot" w:pos="8617"/>
        </w:tabs>
        <w:spacing w:before="0" w:after="0" w:line="400" w:lineRule="exact"/>
        <w:ind w:firstLine="480"/>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参考文献</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22</w:t>
      </w:r>
    </w:p>
    <w:p w14:paraId="1C0CB1E4">
      <w:pPr>
        <w:pageBreakBefore w:val="0"/>
        <w:tabs>
          <w:tab w:val="right" w:leader="dot" w:pos="8617"/>
        </w:tabs>
        <w:spacing w:before="0" w:after="0" w:line="400" w:lineRule="exact"/>
        <w:ind w:firstLine="480"/>
        <w:jc w:val="center"/>
        <w:rPr>
          <w:color w:val="000000" w:themeColor="text1"/>
          <w14:textFill>
            <w14:solidFill>
              <w14:schemeClr w14:val="tx1"/>
            </w14:solidFill>
          </w14:textFill>
        </w:rPr>
        <w:sectPr>
          <w:footerReference r:id="rId5" w:type="default"/>
          <w:headerReference w:type="default" r:id="rId18"/>
          <w:pgSz w:w="11906" w:h="16838"/>
          <w:pgMar w:top="1417" w:right="1134" w:bottom="1134" w:left="1417" w:header="1474" w:footer="1361" w:gutter="0"/>
          <w:pgNumType w:fmt="lowerRoman" w:start="1"/>
          <w:cols w:space="720" w:num="1"/>
          <w:docGrid w:linePitch="360" w:charSpace="0"/>
        </w:sectPr>
      </w:pPr>
      <w:r>
        <w:rPr>
          <w:rFonts w:ascii="宋体" w:hAnsi="宋体" w:eastAsia="宋体"/>
          <w:b w:val="0"/>
          <w:color w:val="000000" w:themeColor="text1"/>
          <w:sz w:val="24"/>
          <w14:textFill>
            <w14:solidFill>
              <w14:schemeClr w14:val="tx1"/>
            </w14:solidFill>
          </w14:textFill>
        </w:rPr>
        <w:t>致谢</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24</w:t>
      </w:r>
    </w:p>
    <w:p w14:paraId="091A3601">
      <w:pPr>
        <w:pStyle w:val="3"/>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1 绪论</w:t>
      </w:r>
    </w:p>
    <w:p w14:paraId="709CF85C">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1.1 研究背景</w:t>
      </w:r>
    </w:p>
    <w:p w14:paraId="509C32A6">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1.2 国内外研究现状</w:t>
      </w:r>
    </w:p>
    <w:p w14:paraId="3A68379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宋体" w:hAnsi="宋体" w:eastAsia="宋体"/>
          <w:b w:val="0"/>
          <w:color w:val="000000" w:themeColor="text1"/>
          <w:sz w:val="24"/>
          <w:vertAlign w:val="superscript"/>
          <w14:textFill>
            <w14:solidFill>
              <w14:schemeClr w14:val="tx1"/>
            </w14:solidFill>
          </w14:textFill>
        </w:rPr>
        <w:t>[8-11]</w:t>
      </w:r>
      <w:r>
        <w:rPr>
          <w:rFonts w:ascii="宋体" w:hAnsi="宋体"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宋体" w:hAnsi="宋体" w:eastAsia="宋体"/>
          <w:b w:val="0"/>
          <w:color w:val="000000" w:themeColor="text1"/>
          <w:sz w:val="24"/>
          <w:vertAlign w:val="superscript"/>
          <w14:textFill>
            <w14:solidFill>
              <w14:schemeClr w14:val="tx1"/>
            </w14:solidFill>
          </w14:textFill>
        </w:rPr>
        <w:t>[4]</w:t>
      </w:r>
      <w:r>
        <w:rPr>
          <w:rFonts w:ascii="宋体" w:hAnsi="宋体"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宋体" w:hAnsi="宋体" w:eastAsia="宋体"/>
          <w:b w:val="0"/>
          <w:color w:val="000000" w:themeColor="text1"/>
          <w:sz w:val="24"/>
          <w:vertAlign w:val="superscript"/>
          <w14:textFill>
            <w14:solidFill>
              <w14:schemeClr w14:val="tx1"/>
            </w14:solidFill>
          </w14:textFill>
        </w:rPr>
        <w:t>[5]</w:t>
      </w:r>
      <w:r>
        <w:rPr>
          <w:rFonts w:ascii="宋体" w:hAnsi="宋体" w:eastAsia="宋体"/>
          <w:b w:val="0"/>
          <w:color w:val="000000" w:themeColor="text1"/>
          <w:sz w:val="24"/>
          <w14:textFill>
            <w14:solidFill>
              <w14:schemeClr w14:val="tx1"/>
            </w14:solidFill>
          </w14:textFill>
        </w:rPr>
        <w:t>。在学习型EDA方面，NS-Place面向PCB布局引入神经网络分离思想</w:t>
      </w:r>
      <w:r>
        <w:rPr>
          <w:rFonts w:ascii="宋体" w:hAnsi="宋体" w:eastAsia="宋体"/>
          <w:b w:val="0"/>
          <w:color w:val="000000" w:themeColor="text1"/>
          <w:sz w:val="24"/>
          <w:vertAlign w:val="superscript"/>
          <w14:textFill>
            <w14:solidFill>
              <w14:schemeClr w14:val="tx1"/>
            </w14:solidFill>
          </w14:textFill>
        </w:rPr>
        <w:t>[6]</w:t>
      </w:r>
      <w:r>
        <w:rPr>
          <w:rFonts w:ascii="宋体" w:hAnsi="宋体" w:eastAsia="宋体"/>
          <w:b w:val="0"/>
          <w:color w:val="000000" w:themeColor="text1"/>
          <w:sz w:val="24"/>
          <w14:textFill>
            <w14:solidFill>
              <w14:schemeClr w14:val="tx1"/>
            </w14:solidFill>
          </w14:textFill>
        </w:rPr>
        <w:t>，DREAMPlace展示了深度学习工具链和GPU加速在大规模布局优化中的可行性</w:t>
      </w:r>
      <w:r>
        <w:rPr>
          <w:rFonts w:ascii="宋体" w:hAnsi="宋体" w:eastAsia="宋体"/>
          <w:b w:val="0"/>
          <w:color w:val="000000" w:themeColor="text1"/>
          <w:sz w:val="24"/>
          <w:vertAlign w:val="superscript"/>
          <w14:textFill>
            <w14:solidFill>
              <w14:schemeClr w14:val="tx1"/>
            </w14:solidFill>
          </w14:textFill>
        </w:rPr>
        <w:t>[12]</w:t>
      </w:r>
      <w:r>
        <w:rPr>
          <w:rFonts w:ascii="宋体" w:hAnsi="宋体" w:eastAsia="宋体"/>
          <w:b w:val="0"/>
          <w:color w:val="000000" w:themeColor="text1"/>
          <w:sz w:val="24"/>
          <w14:textFill>
            <w14:solidFill>
              <w14:schemeClr w14:val="tx1"/>
            </w14:solidFill>
          </w14:textFill>
        </w:rPr>
        <w:t>，Martins对机器学习和深度学习在模拟集成电路布局综合中的应用进行了综述</w:t>
      </w:r>
      <w:r>
        <w:rPr>
          <w:rFonts w:ascii="宋体" w:hAnsi="宋体" w:eastAsia="宋体"/>
          <w:b w:val="0"/>
          <w:color w:val="000000" w:themeColor="text1"/>
          <w:sz w:val="24"/>
          <w:vertAlign w:val="superscript"/>
          <w14:textFill>
            <w14:solidFill>
              <w14:schemeClr w14:val="tx1"/>
            </w14:solidFill>
          </w14:textFill>
        </w:rPr>
        <w:t>[7]</w:t>
      </w:r>
      <w:r>
        <w:rPr>
          <w:rFonts w:ascii="宋体" w:hAnsi="宋体"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Khalil等</w:t>
            </w:r>
            <w:r>
              <w:rPr>
                <w:rFonts w:ascii="宋体" w:hAnsi="宋体" w:eastAsia="宋体"/>
                <w:b w:val="0"/>
                <w:color w:val="000000" w:themeColor="text1"/>
                <w:sz w:val="24"/>
                <w:vertAlign w:val="superscript"/>
                <w14:textFill>
                  <w14:solidFill>
                    <w14:schemeClr w14:val="tx1"/>
                  </w14:solidFill>
                </w14:textFill>
              </w:rPr>
              <w:t>[1]</w:t>
            </w:r>
            <w:r>
              <w:rPr>
                <w:rFonts w:ascii="宋体" w:hAnsi="宋体" w:eastAsia="宋体"/>
                <w:b w:val="0"/>
                <w:color w:val="000000" w:themeColor="text1"/>
                <w:sz w:val="24"/>
                <w14:textFill>
                  <w14:solidFill>
                    <w14:schemeClr w14:val="tx1"/>
                  </w14:solidFill>
                </w14:textFill>
              </w:rPr>
              <w:t>、Yang等</w:t>
            </w:r>
            <w:r>
              <w:rPr>
                <w:rFonts w:ascii="宋体" w:hAnsi="宋体" w:eastAsia="宋体"/>
                <w:b w:val="0"/>
                <w:color w:val="000000" w:themeColor="text1"/>
                <w:sz w:val="24"/>
                <w:vertAlign w:val="superscript"/>
                <w14:textFill>
                  <w14:solidFill>
                    <w14:schemeClr w14:val="tx1"/>
                  </w14:solidFill>
                </w14:textFill>
              </w:rPr>
              <w:t>[3]</w:t>
            </w:r>
            <w:r>
              <w:rPr>
                <w:rFonts w:ascii="宋体" w:hAnsi="宋体" w:eastAsia="宋体"/>
                <w:b w:val="0"/>
                <w:color w:val="000000" w:themeColor="text1"/>
                <w:sz w:val="24"/>
                <w14:textFill>
                  <w14:solidFill>
                    <w14:schemeClr w14:val="tx1"/>
                  </w14:solidFill>
                </w14:textFill>
              </w:rPr>
              <w:t>、Shi等</w:t>
            </w:r>
            <w:r>
              <w:rPr>
                <w:rFonts w:ascii="宋体" w:hAnsi="宋体"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Lee</w:t>
            </w:r>
            <w:r>
              <w:rPr>
                <w:rFonts w:ascii="宋体" w:hAnsi="宋体" w:eastAsia="宋体"/>
                <w:b w:val="0"/>
                <w:color w:val="000000" w:themeColor="text1"/>
                <w:sz w:val="24"/>
                <w:vertAlign w:val="superscript"/>
                <w14:textFill>
                  <w14:solidFill>
                    <w14:schemeClr w14:val="tx1"/>
                  </w14:solidFill>
                </w14:textFill>
              </w:rPr>
              <w:t>[8]</w:t>
            </w:r>
            <w:r>
              <w:rPr>
                <w:rFonts w:ascii="宋体" w:hAnsi="宋体" w:eastAsia="宋体"/>
                <w:b w:val="0"/>
                <w:color w:val="000000" w:themeColor="text1"/>
                <w:sz w:val="24"/>
                <w14:textFill>
                  <w14:solidFill>
                    <w14:schemeClr w14:val="tx1"/>
                  </w14:solidFill>
                </w14:textFill>
              </w:rPr>
              <w:t>、Hightower</w:t>
            </w:r>
            <w:r>
              <w:rPr>
                <w:rFonts w:ascii="宋体" w:hAnsi="宋体" w:eastAsia="宋体"/>
                <w:b w:val="0"/>
                <w:color w:val="000000" w:themeColor="text1"/>
                <w:sz w:val="24"/>
                <w:vertAlign w:val="superscript"/>
                <w14:textFill>
                  <w14:solidFill>
                    <w14:schemeClr w14:val="tx1"/>
                  </w14:solidFill>
                </w14:textFill>
              </w:rPr>
              <w:t>[9]</w:t>
            </w:r>
            <w:r>
              <w:rPr>
                <w:rFonts w:ascii="宋体" w:hAnsi="宋体" w:eastAsia="宋体"/>
                <w:b w:val="0"/>
                <w:color w:val="000000" w:themeColor="text1"/>
                <w:sz w:val="24"/>
                <w14:textFill>
                  <w14:solidFill>
                    <w14:schemeClr w14:val="tx1"/>
                  </w14:solidFill>
                </w14:textFill>
              </w:rPr>
              <w:t>、Soukup</w:t>
            </w:r>
            <w:r>
              <w:rPr>
                <w:rFonts w:ascii="宋体" w:hAnsi="宋体" w:eastAsia="宋体"/>
                <w:b w:val="0"/>
                <w:color w:val="000000" w:themeColor="text1"/>
                <w:sz w:val="24"/>
                <w:vertAlign w:val="superscript"/>
                <w14:textFill>
                  <w14:solidFill>
                    <w14:schemeClr w14:val="tx1"/>
                  </w14:solidFill>
                </w14:textFill>
              </w:rPr>
              <w:t>[10]</w:t>
            </w:r>
            <w:r>
              <w:rPr>
                <w:rFonts w:ascii="宋体" w:hAnsi="宋体" w:eastAsia="宋体"/>
                <w:b w:val="0"/>
                <w:color w:val="000000" w:themeColor="text1"/>
                <w:sz w:val="24"/>
                <w14:textFill>
                  <w14:solidFill>
                    <w14:schemeClr w14:val="tx1"/>
                  </w14:solidFill>
                </w14:textFill>
              </w:rPr>
              <w:t>、Hadlock</w:t>
            </w:r>
            <w:r>
              <w:rPr>
                <w:rFonts w:ascii="宋体" w:hAnsi="宋体" w:eastAsia="宋体"/>
                <w:b w:val="0"/>
                <w:color w:val="000000" w:themeColor="text1"/>
                <w:sz w:val="24"/>
                <w:vertAlign w:val="superscript"/>
                <w14:textFill>
                  <w14:solidFill>
                    <w14:schemeClr w14:val="tx1"/>
                  </w14:solidFill>
                </w14:textFill>
              </w:rPr>
              <w:t>[11]</w:t>
            </w:r>
            <w:r>
              <w:rPr>
                <w:rFonts w:ascii="宋体" w:hAnsi="宋体" w:eastAsia="宋体"/>
                <w:b w:val="0"/>
                <w:color w:val="000000" w:themeColor="text1"/>
                <w:sz w:val="24"/>
                <w14:textFill>
                  <w14:solidFill>
                    <w14:schemeClr w14:val="tx1"/>
                  </w14:solidFill>
                </w14:textFill>
              </w:rPr>
              <w:t>、Yan和Wong</w:t>
            </w:r>
            <w:r>
              <w:rPr>
                <w:rFonts w:ascii="宋体" w:hAnsi="宋体"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Chen等</w:t>
            </w:r>
            <w:r>
              <w:rPr>
                <w:rFonts w:ascii="宋体" w:hAnsi="宋体" w:eastAsia="宋体"/>
                <w:b w:val="0"/>
                <w:color w:val="000000" w:themeColor="text1"/>
                <w:sz w:val="24"/>
                <w:vertAlign w:val="superscript"/>
                <w14:textFill>
                  <w14:solidFill>
                    <w14:schemeClr w14:val="tx1"/>
                  </w14:solidFill>
                </w14:textFill>
              </w:rPr>
              <w:t>[5]</w:t>
            </w:r>
            <w:r>
              <w:rPr>
                <w:rFonts w:ascii="宋体" w:hAnsi="宋体" w:eastAsia="宋体"/>
                <w:b w:val="0"/>
                <w:color w:val="000000" w:themeColor="text1"/>
                <w:sz w:val="24"/>
                <w14:textFill>
                  <w14:solidFill>
                    <w14:schemeClr w14:val="tx1"/>
                  </w14:solidFill>
                </w14:textFill>
              </w:rPr>
              <w:t>、IPC-2221B</w:t>
            </w:r>
            <w:r>
              <w:rPr>
                <w:rFonts w:ascii="宋体" w:hAnsi="宋体" w:eastAsia="宋体"/>
                <w:b w:val="0"/>
                <w:color w:val="000000" w:themeColor="text1"/>
                <w:sz w:val="24"/>
                <w:vertAlign w:val="superscript"/>
                <w14:textFill>
                  <w14:solidFill>
                    <w14:schemeClr w14:val="tx1"/>
                  </w14:solidFill>
                </w14:textFill>
              </w:rPr>
              <w:t>[13]</w:t>
            </w:r>
            <w:r>
              <w:rPr>
                <w:rFonts w:ascii="宋体" w:hAnsi="宋体" w:eastAsia="宋体"/>
                <w:b w:val="0"/>
                <w:color w:val="000000" w:themeColor="text1"/>
                <w:sz w:val="24"/>
                <w14:textFill>
                  <w14:solidFill>
                    <w14:schemeClr w14:val="tx1"/>
                  </w14:solidFill>
                </w14:textFill>
              </w:rPr>
              <w:t>、IPC-A-600</w:t>
            </w:r>
            <w:r>
              <w:rPr>
                <w:rFonts w:ascii="宋体" w:hAnsi="宋体"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胡木森</w:t>
            </w:r>
            <w:r>
              <w:rPr>
                <w:rFonts w:ascii="宋体" w:hAnsi="宋体"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刘自铭</w:t>
            </w:r>
            <w:r>
              <w:rPr>
                <w:rFonts w:ascii="宋体" w:hAnsi="宋体" w:eastAsia="宋体"/>
                <w:b w:val="0"/>
                <w:color w:val="000000" w:themeColor="text1"/>
                <w:sz w:val="24"/>
                <w:vertAlign w:val="superscript"/>
                <w14:textFill>
                  <w14:solidFill>
                    <w14:schemeClr w14:val="tx1"/>
                  </w14:solidFill>
                </w14:textFill>
              </w:rPr>
              <w:t>[18]</w:t>
            </w:r>
            <w:r>
              <w:rPr>
                <w:rFonts w:ascii="宋体" w:hAnsi="宋体" w:eastAsia="宋体"/>
                <w:b w:val="0"/>
                <w:color w:val="000000" w:themeColor="text1"/>
                <w:sz w:val="24"/>
                <w14:textFill>
                  <w14:solidFill>
                    <w14:schemeClr w14:val="tx1"/>
                  </w14:solidFill>
                </w14:textFill>
              </w:rPr>
              <w:t>、王磊</w:t>
            </w:r>
            <w:r>
              <w:rPr>
                <w:rFonts w:ascii="宋体" w:hAnsi="宋体"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郑杰</w:t>
            </w:r>
            <w:r>
              <w:rPr>
                <w:rFonts w:ascii="宋体" w:hAnsi="宋体" w:eastAsia="宋体"/>
                <w:b w:val="0"/>
                <w:color w:val="000000" w:themeColor="text1"/>
                <w:sz w:val="24"/>
                <w:vertAlign w:val="superscript"/>
                <w14:textFill>
                  <w14:solidFill>
                    <w14:schemeClr w14:val="tx1"/>
                  </w14:solidFill>
                </w14:textFill>
              </w:rPr>
              <w:t>[19]</w:t>
            </w:r>
            <w:r>
              <w:rPr>
                <w:rFonts w:ascii="宋体" w:hAnsi="宋体" w:eastAsia="宋体"/>
                <w:b w:val="0"/>
                <w:color w:val="000000" w:themeColor="text1"/>
                <w:sz w:val="24"/>
                <w14:textFill>
                  <w14:solidFill>
                    <w14:schemeClr w14:val="tx1"/>
                  </w14:solidFill>
                </w14:textFill>
              </w:rPr>
              <w:t>、白胜泷</w:t>
            </w:r>
            <w:r>
              <w:rPr>
                <w:rFonts w:ascii="宋体" w:hAnsi="宋体" w:eastAsia="宋体"/>
                <w:b w:val="0"/>
                <w:color w:val="000000" w:themeColor="text1"/>
                <w:sz w:val="24"/>
                <w:vertAlign w:val="superscript"/>
                <w14:textFill>
                  <w14:solidFill>
                    <w14:schemeClr w14:val="tx1"/>
                  </w14:solidFill>
                </w14:textFill>
              </w:rPr>
              <w:t>[20]</w:t>
            </w:r>
            <w:r>
              <w:rPr>
                <w:rFonts w:ascii="宋体" w:hAnsi="宋体" w:eastAsia="宋体"/>
                <w:b w:val="0"/>
                <w:color w:val="000000" w:themeColor="text1"/>
                <w:sz w:val="24"/>
                <w14:textFill>
                  <w14:solidFill>
                    <w14:schemeClr w14:val="tx1"/>
                  </w14:solidFill>
                </w14:textFill>
              </w:rPr>
              <w:t>、Zhao等</w:t>
            </w:r>
            <w:r>
              <w:rPr>
                <w:rFonts w:ascii="宋体" w:hAnsi="宋体" w:eastAsia="宋体"/>
                <w:b w:val="0"/>
                <w:color w:val="000000" w:themeColor="text1"/>
                <w:sz w:val="24"/>
                <w:vertAlign w:val="superscript"/>
                <w14:textFill>
                  <w14:solidFill>
                    <w14:schemeClr w14:val="tx1"/>
                  </w14:solidFill>
                </w14:textFill>
              </w:rPr>
              <w:t>[6]</w:t>
            </w:r>
            <w:r>
              <w:rPr>
                <w:rFonts w:ascii="宋体" w:hAnsi="宋体" w:eastAsia="宋体"/>
                <w:b w:val="0"/>
                <w:color w:val="000000" w:themeColor="text1"/>
                <w:sz w:val="24"/>
                <w14:textFill>
                  <w14:solidFill>
                    <w14:schemeClr w14:val="tx1"/>
                  </w14:solidFill>
                </w14:textFill>
              </w:rPr>
              <w:t>、Martins</w:t>
            </w:r>
            <w:r>
              <w:rPr>
                <w:rFonts w:ascii="宋体" w:hAnsi="宋体"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PCBCart</w:t>
            </w:r>
            <w:r>
              <w:rPr>
                <w:rFonts w:ascii="宋体" w:hAnsi="宋体" w:eastAsia="宋体"/>
                <w:b w:val="0"/>
                <w:color w:val="000000" w:themeColor="text1"/>
                <w:sz w:val="24"/>
                <w:vertAlign w:val="superscript"/>
                <w14:textFill>
                  <w14:solidFill>
                    <w14:schemeClr w14:val="tx1"/>
                  </w14:solidFill>
                </w14:textFill>
              </w:rPr>
              <w:t>[21]</w:t>
            </w:r>
            <w:r>
              <w:rPr>
                <w:rFonts w:ascii="宋体" w:hAnsi="宋体" w:eastAsia="宋体"/>
                <w:b w:val="0"/>
                <w:color w:val="000000" w:themeColor="text1"/>
                <w:sz w:val="24"/>
                <w14:textFill>
                  <w14:solidFill>
                    <w14:schemeClr w14:val="tx1"/>
                  </w14:solidFill>
                </w14:textFill>
              </w:rPr>
              <w:t>、WellPCB</w:t>
            </w:r>
            <w:r>
              <w:rPr>
                <w:rFonts w:ascii="宋体" w:hAnsi="宋体" w:eastAsia="宋体"/>
                <w:b w:val="0"/>
                <w:color w:val="000000" w:themeColor="text1"/>
                <w:sz w:val="24"/>
                <w:vertAlign w:val="superscript"/>
                <w14:textFill>
                  <w14:solidFill>
                    <w14:schemeClr w14:val="tx1"/>
                  </w14:solidFill>
                </w14:textFill>
              </w:rPr>
              <w:t>[22]</w:t>
            </w:r>
            <w:r>
              <w:rPr>
                <w:rFonts w:ascii="宋体" w:hAnsi="宋体" w:eastAsia="宋体"/>
                <w:b w:val="0"/>
                <w:color w:val="000000" w:themeColor="text1"/>
                <w:sz w:val="24"/>
                <w14:textFill>
                  <w14:solidFill>
                    <w14:schemeClr w14:val="tx1"/>
                  </w14:solidFill>
                </w14:textFill>
              </w:rPr>
              <w:t>、NexPCB</w:t>
            </w:r>
            <w:r>
              <w:rPr>
                <w:rFonts w:ascii="宋体" w:hAnsi="宋体"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1.3 研究内容与论文结构</w:t>
      </w:r>
    </w:p>
    <w:p w14:paraId="3921A629">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构造五类典型案例，与规则基线方案进行对比，分析算法在覆盖率、布通率、面积占比、线长、拥塞和违规数方面的表现。论文第二章介绍理论基础和约束建模，第三章给出布点算法，第四章给出布线与协同优化方法，第五章说明系统实现，第六章分析实验结果，第七章总结全文并展望后续工作。</w:t>
      </w:r>
    </w:p>
    <w:p w14:paraId="539F5370">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1.4 任务书要求与完成情况</w:t>
      </w:r>
    </w:p>
    <w:p w14:paraId="552F687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w:t>
            </w:r>
          </w:p>
        </w:tc>
        <w:tc>
          <w:tcPr>
            <w:tcW w:w="2381" w:type="dxa"/>
            <w:vAlign w:val="center"/>
          </w:tcPr>
          <w:p w14:paraId="4389ED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2381" w:type="dxa"/>
            <w:vAlign w:val="center"/>
          </w:tcPr>
          <w:p w14:paraId="632ADA6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2381" w:type="dxa"/>
            <w:vAlign w:val="center"/>
          </w:tcPr>
          <w:p w14:paraId="1D5868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w:t>
            </w:r>
          </w:p>
        </w:tc>
        <w:tc>
          <w:tcPr>
            <w:tcW w:w="2381" w:type="dxa"/>
            <w:vAlign w:val="center"/>
          </w:tcPr>
          <w:p w14:paraId="432DE17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w:t>
            </w:r>
          </w:p>
        </w:tc>
        <w:tc>
          <w:tcPr>
            <w:tcW w:w="2381" w:type="dxa"/>
            <w:vAlign w:val="center"/>
          </w:tcPr>
          <w:p w14:paraId="700818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w:t>
            </w:r>
          </w:p>
        </w:tc>
        <w:tc>
          <w:tcPr>
            <w:tcW w:w="2381" w:type="dxa"/>
            <w:vAlign w:val="center"/>
          </w:tcPr>
          <w:p w14:paraId="6DFAE16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1.5 本文创新点</w:t>
      </w:r>
    </w:p>
    <w:p w14:paraId="627557F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2 相关理论与约束建模</w:t>
      </w:r>
    </w:p>
    <w:p w14:paraId="7F01EE24">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2.1 PCB金手指与测试尾板结构</w:t>
      </w:r>
    </w:p>
    <w:p w14:paraId="5405CA95">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宋体" w:hAnsi="宋体" w:eastAsia="宋体"/>
          <w:b w:val="0"/>
          <w:color w:val="000000" w:themeColor="text1"/>
          <w:sz w:val="24"/>
          <w:vertAlign w:val="superscript"/>
          <w14:textFill>
            <w14:solidFill>
              <w14:schemeClr w14:val="tx1"/>
            </w14:solidFill>
          </w14:textFill>
        </w:rPr>
        <w:t>[13-14][21-23]</w:t>
      </w:r>
      <w:r>
        <w:rPr>
          <w:rFonts w:ascii="宋体" w:hAnsi="宋体"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1.8-2.0 mm</w:t>
            </w:r>
          </w:p>
        </w:tc>
        <w:tc>
          <w:tcPr>
            <w:tcW w:w="3061" w:type="dxa"/>
            <w:vAlign w:val="center"/>
          </w:tcPr>
          <w:p w14:paraId="71BD3D1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 mm</w:t>
            </w:r>
          </w:p>
        </w:tc>
        <w:tc>
          <w:tcPr>
            <w:tcW w:w="3061" w:type="dxa"/>
            <w:vAlign w:val="center"/>
          </w:tcPr>
          <w:p w14:paraId="1CB8E7E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用于对比算法质量</w:t>
            </w:r>
          </w:p>
        </w:tc>
      </w:tr>
    </w:tbl>
    <w:p w14:paraId="2C6369BB">
      <w:pPr>
        <w:spacing w:line="400" w:lineRule="exact" w:before="0" w:after="0"/>
        <w:rPr>
          <w:color w:val="000000" w:themeColor="text1"/>
          <w14:textFill>
            <w14:solidFill>
              <w14:schemeClr w14:val="tx1"/>
            </w14:solidFill>
          </w14:textFill>
        </w:rPr>
      </w:pPr>
    </w:p>
    <w:p w14:paraId="736C9914">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2.2 布点布线数学模型</w:t>
      </w:r>
    </w:p>
    <w:p w14:paraId="462DD333">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设金手指端子集合为P={p1,p2,...,pn}，测试点候选集合为C={c1,c2,...,cm}。布点任务是在候选集合中为每个端子选择一个测试点，使测试点不落入障碍区，任意两个测试点之间满足最小间距要求，并尽可能降低尾板占用面积、端子到测试点的距离以及局部拥塞程度。若用xi表示第i个端子选择的候选点，则布点目标可写为Jp=wdD+waA+wcC+wpP，其中D为端子到测试点的距离或预估路径长度，A为测试点包围盒面积占比，C为候选点所在Tile的拥塞预测值，P为规则违规惩罚。随着候选点数量和端子数量增加，该问题呈现典型离散组合优化特征。</w:t>
      </w:r>
    </w:p>
    <w:p w14:paraId="5A789D2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可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2.3 基于Tile和网络流思想的尾板等效建模</w:t>
      </w:r>
    </w:p>
    <w:p w14:paraId="79D24F72">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在A*搜索和拥塞重布线时对其赋予更高代价。</w:t>
      </w:r>
    </w:p>
    <w:p w14:paraId="0EB062E1">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2.4 约束优先级与合法性判定</w:t>
      </w:r>
    </w:p>
    <w:p w14:paraId="4224FB9A">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后续多层合法化模块</w:t>
            </w:r>
          </w:p>
        </w:tc>
      </w:tr>
    </w:tbl>
    <w:p w14:paraId="5FADF392">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将约束划分为硬约束、半硬约束和软目标后，论文中的算法逻辑更加清晰：候选点生成阶段首先消除硬约束冲突，布点优化阶段在覆盖率和可达性不下降的前提下压缩面积，布线阶段再根据拥塞信息进行路径修正。该写法能够避免“所有指标同等重要”造成的理论模糊，也便于在实验章节解释拥塞重布线允许线长小幅增加的原因。</w:t>
      </w:r>
    </w:p>
    <w:p w14:paraId="5D21B0CF">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2.5 文献理论到本文模型的转化</w:t>
      </w:r>
    </w:p>
    <w:p w14:paraId="60AA305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宋体" w:hAnsi="宋体" w:eastAsia="宋体"/>
          <w:b w:val="0"/>
          <w:color w:val="000000" w:themeColor="text1"/>
          <w:sz w:val="24"/>
          <w:vertAlign w:val="superscript"/>
          <w14:textFill>
            <w14:solidFill>
              <w14:schemeClr w14:val="tx1"/>
            </w14:solidFill>
          </w14:textFill>
        </w:rPr>
        <w:t>[2][6-7][12]</w:t>
      </w:r>
      <w:r>
        <w:rPr>
          <w:rFonts w:ascii="宋体" w:hAnsi="宋体" w:eastAsia="宋体"/>
          <w:b w:val="0"/>
          <w:color w:val="000000" w:themeColor="text1"/>
          <w:sz w:val="24"/>
          <w14:textFill>
            <w14:solidFill>
              <w14:schemeClr w14:val="tx1"/>
            </w14:solidFill>
          </w14:textFill>
        </w:rPr>
        <w:t>。</w:t>
      </w:r>
    </w:p>
    <w:p w14:paraId="49E23599">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3 测试点布点算法设计</w:t>
      </w:r>
    </w:p>
    <w:p w14:paraId="0491675E">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3.1 候选点生成</w:t>
      </w:r>
    </w:p>
    <w:p w14:paraId="7F1972F0">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候选点生成是布点算法的基础。本文根据尾板可用区域和网格步长生成规则网格点，随后删除落入障碍区域或距离障碍过近的点。规则网格的优点是实现简单、便于与制造规则对齐，也方便后续A*布线使用同一坐标系统。为了避免测试点靠近板边导致探针接触不稳定，候选点生成时保留一定边界余量；为了避免障碍边缘产生潜在工艺冲突，障碍矩形按照线距参数进行外扩后再进行过滤。</w:t>
      </w:r>
    </w:p>
    <w:p w14:paraId="5E06443D">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3.2 K-means初始分组</w:t>
      </w:r>
    </w:p>
    <w:p w14:paraId="0580093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3.3 禁忌搜索局部优化</w:t>
      </w:r>
    </w:p>
    <w:p w14:paraId="0723035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400" w:lineRule="exact" w:before="0" w:after="0"/>
        <w:jc w:val="center"/>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图 3-1 布点布线协同优化流程</w:t>
      </w:r>
    </w:p>
    <w:p w14:paraId="37770F2E">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3.4 改进后的布点目标函数与步骤</w:t>
      </w:r>
    </w:p>
    <w:p w14:paraId="556F74B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改进后的布点步骤如下：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拓展为“同时评价点位、路径和通道容量”。</w:t>
      </w:r>
    </w:p>
    <w:p w14:paraId="028A24D0">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4 布线算法与协同优化</w:t>
      </w:r>
    </w:p>
    <w:p w14:paraId="181211D7">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4.1 A*网格布线</w:t>
      </w:r>
    </w:p>
    <w:p w14:paraId="22BDA69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4.2 布点布线协同优化机制</w:t>
      </w:r>
    </w:p>
    <w:p w14:paraId="7D544C7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布点和布线并非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开展布线评估，再通过局部搜索降低综合代价。虽然原型尚未实现复杂的全局重布线，但整体流程保留了协同优化接口，后续可加入网络流、线性规划或强化学习策略替换局部搜索模块。</w:t>
      </w:r>
    </w:p>
    <w:p w14:paraId="7C7C81AF">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4.3 拥塞感知与拆线重布策略</w:t>
      </w:r>
    </w:p>
    <w:p w14:paraId="217B8450">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A*布线</w:t>
            </w:r>
          </w:p>
        </w:tc>
        <w:tc>
          <w:tcPr>
            <w:tcW w:w="2268" w:type="dxa"/>
            <w:vAlign w:val="center"/>
          </w:tcPr>
          <w:p w14:paraId="73DC4C8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支撑论文实验分析</w:t>
            </w:r>
          </w:p>
        </w:tc>
      </w:tr>
    </w:tbl>
    <w:p w14:paraId="6D92D0B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仅在路径存在多种选择时影响A*搜索方向。该代价函数将胡木森网络流论文中的通道容量思想、刘自铭蚁群论文中的信息素思想和白胜泷Transformer-A*论文中的稳定搜索思想统一到同一工程实现框架中。</w:t>
      </w:r>
    </w:p>
    <w:p w14:paraId="2EE6B75D">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4.4 分层布线与重布线改进流程</w:t>
      </w:r>
    </w:p>
    <w:p w14:paraId="2C5DACD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体现了“布通优先、拥塞次之、线长折中”的工程逻辑。</w:t>
      </w:r>
    </w:p>
    <w:p w14:paraId="0BA5FC4F">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5 系统实现</w:t>
      </w:r>
    </w:p>
    <w:p w14:paraId="35D755DC">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5.1 工程结构与运行方式</w:t>
      </w:r>
    </w:p>
    <w:p w14:paraId="0F92E0B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算法原型采用C++17标准实现，未引入Qt等图形界面依赖，以命令行方式保证跨平台可构建性和答辩演示便利性。工程包含CMakeLists.txt和Makefile两种构建入口；在当前macOS环境中，由于未安装CMake，使用Apple clang和Makefile完成了实际编译验证。程序入口参数固定为“--case 案例文件 --out 输出目录”，案例文件采用简单CSV键值格式描述引脚数量、尾板尺寸、金手指间距、网格步长、最小测试点间距和障碍区域。</w:t>
      </w:r>
    </w:p>
    <w:p w14:paraId="5CFE9E3A">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README.md</w:t>
            </w:r>
          </w:p>
        </w:tc>
        <w:tc>
          <w:tcPr>
            <w:tcW w:w="2268" w:type="dxa"/>
            <w:vAlign w:val="center"/>
          </w:tcPr>
          <w:p w14:paraId="545EDC6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记录构建命令、运行命令和输出文件含义</w:t>
            </w:r>
          </w:p>
        </w:tc>
      </w:tr>
    </w:tbl>
    <w:p w14:paraId="100FF487">
      <w:pPr>
        <w:spacing w:line="400" w:lineRule="exact" w:before="0" w:after="0"/>
        <w:rPr>
          <w:color w:val="000000" w:themeColor="text1"/>
          <w14:textFill>
            <w14:solidFill>
              <w14:schemeClr w14:val="tx1"/>
            </w14:solidFill>
          </w14:textFill>
        </w:rPr>
      </w:pPr>
    </w:p>
    <w:p w14:paraId="7CE2D4D1">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5.2 输出文件说明</w:t>
      </w:r>
    </w:p>
    <w:p w14:paraId="62516869">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5.3 关键函数与数据流</w:t>
      </w:r>
    </w:p>
    <w:p w14:paraId="43F9AC57">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14:paraId="76A43DA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5.4 文献支撑下的代码模块对应关系</w:t>
      </w:r>
    </w:p>
    <w:p w14:paraId="03133F63">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为保证“论文—文献—代码”三者一致，本文将每类文献思想对应到一个可检查的程序模块。该对应关系不仅能够说明算法来源，也能够说明相关思想在源代码结构和实验指标中的具体体现。</w:t>
      </w:r>
    </w:p>
    <w:p w14:paraId="0C539AE1">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6 实验结果与分析</w:t>
      </w:r>
    </w:p>
    <w:p w14:paraId="666C0541">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6.1 实验设置</w:t>
      </w:r>
    </w:p>
    <w:p w14:paraId="4199D28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受企业真实PCB设计文件获取条件限制，本文按照开题报告和阶段性报告确定的研究方向，结合金手指制造资料、PCB可测性设计资料以及相关文献中的高密度、障碍、拥塞和面积受限场景，构造五组具有代表性的参数化案例进行仿真实验[13-23]。案例一为40 pin低密度金手指，用于验证算法基本功能；案例二为80 pin中密度金手指，用于验证常规规模下的面积和线长优化；案例三为120 pin高密度金手指，用于验证端子密集时的布点能力；案例四加入两个矩形障碍区域，用于验证绕障能力；案例五压缩尾板面积并加入障碍，用于模拟面积受限场景。所有实验均由同一C++程序生成结果，未手工调整输出数据。</w:t>
      </w:r>
    </w:p>
    <w:p w14:paraId="62ABA263">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964" w:type="dxa"/>
            <w:vAlign w:val="center"/>
          </w:tcPr>
          <w:p w14:paraId="0D40C1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40</w:t>
            </w:r>
          </w:p>
        </w:tc>
        <w:tc>
          <w:tcPr>
            <w:tcW w:w="1134" w:type="dxa"/>
            <w:vAlign w:val="center"/>
          </w:tcPr>
          <w:p w14:paraId="301A664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90</w:t>
            </w:r>
          </w:p>
        </w:tc>
        <w:tc>
          <w:tcPr>
            <w:tcW w:w="1134" w:type="dxa"/>
            <w:vAlign w:val="center"/>
          </w:tcPr>
          <w:p w14:paraId="5DC4BBC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42</w:t>
            </w:r>
          </w:p>
        </w:tc>
        <w:tc>
          <w:tcPr>
            <w:tcW w:w="1134" w:type="dxa"/>
            <w:vAlign w:val="center"/>
          </w:tcPr>
          <w:p w14:paraId="7D9B526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1.27</w:t>
            </w:r>
          </w:p>
        </w:tc>
        <w:tc>
          <w:tcPr>
            <w:tcW w:w="2835" w:type="dxa"/>
            <w:vAlign w:val="center"/>
          </w:tcPr>
          <w:p w14:paraId="29F7F50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964" w:type="dxa"/>
            <w:vAlign w:val="center"/>
          </w:tcPr>
          <w:p w14:paraId="731F5F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80</w:t>
            </w:r>
          </w:p>
        </w:tc>
        <w:tc>
          <w:tcPr>
            <w:tcW w:w="1134" w:type="dxa"/>
            <w:vAlign w:val="center"/>
          </w:tcPr>
          <w:p w14:paraId="47F0D00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96</w:t>
            </w:r>
          </w:p>
        </w:tc>
        <w:tc>
          <w:tcPr>
            <w:tcW w:w="1134" w:type="dxa"/>
            <w:vAlign w:val="center"/>
          </w:tcPr>
          <w:p w14:paraId="42B08BD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48</w:t>
            </w:r>
          </w:p>
        </w:tc>
        <w:tc>
          <w:tcPr>
            <w:tcW w:w="1134" w:type="dxa"/>
            <w:vAlign w:val="center"/>
          </w:tcPr>
          <w:p w14:paraId="72C5A1E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0.8</w:t>
            </w:r>
          </w:p>
        </w:tc>
        <w:tc>
          <w:tcPr>
            <w:tcW w:w="2835" w:type="dxa"/>
            <w:vAlign w:val="center"/>
          </w:tcPr>
          <w:p w14:paraId="3020301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964" w:type="dxa"/>
            <w:vAlign w:val="center"/>
          </w:tcPr>
          <w:p w14:paraId="552B9E4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120</w:t>
            </w:r>
          </w:p>
        </w:tc>
        <w:tc>
          <w:tcPr>
            <w:tcW w:w="1134" w:type="dxa"/>
            <w:vAlign w:val="center"/>
          </w:tcPr>
          <w:p w14:paraId="225B737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110</w:t>
            </w:r>
          </w:p>
        </w:tc>
        <w:tc>
          <w:tcPr>
            <w:tcW w:w="1134" w:type="dxa"/>
            <w:vAlign w:val="center"/>
          </w:tcPr>
          <w:p w14:paraId="6006D47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54</w:t>
            </w:r>
          </w:p>
        </w:tc>
        <w:tc>
          <w:tcPr>
            <w:tcW w:w="1134" w:type="dxa"/>
            <w:vAlign w:val="center"/>
          </w:tcPr>
          <w:p w14:paraId="1BB787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0.65</w:t>
            </w:r>
          </w:p>
        </w:tc>
        <w:tc>
          <w:tcPr>
            <w:tcW w:w="2835" w:type="dxa"/>
            <w:vAlign w:val="center"/>
          </w:tcPr>
          <w:p w14:paraId="3E9F09C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964" w:type="dxa"/>
            <w:vAlign w:val="center"/>
          </w:tcPr>
          <w:p w14:paraId="7B35EBE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96</w:t>
            </w:r>
          </w:p>
        </w:tc>
        <w:tc>
          <w:tcPr>
            <w:tcW w:w="1134" w:type="dxa"/>
            <w:vAlign w:val="center"/>
          </w:tcPr>
          <w:p w14:paraId="6872E4D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105</w:t>
            </w:r>
          </w:p>
        </w:tc>
        <w:tc>
          <w:tcPr>
            <w:tcW w:w="1134" w:type="dxa"/>
            <w:vAlign w:val="center"/>
          </w:tcPr>
          <w:p w14:paraId="3A5B4CA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52</w:t>
            </w:r>
          </w:p>
        </w:tc>
        <w:tc>
          <w:tcPr>
            <w:tcW w:w="1134" w:type="dxa"/>
            <w:vAlign w:val="center"/>
          </w:tcPr>
          <w:p w14:paraId="2B33CA3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0.75</w:t>
            </w:r>
          </w:p>
        </w:tc>
        <w:tc>
          <w:tcPr>
            <w:tcW w:w="2835" w:type="dxa"/>
            <w:vAlign w:val="center"/>
          </w:tcPr>
          <w:p w14:paraId="3797076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964" w:type="dxa"/>
            <w:vAlign w:val="center"/>
          </w:tcPr>
          <w:p w14:paraId="1F95D81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w:t>
            </w:r>
          </w:p>
        </w:tc>
        <w:tc>
          <w:tcPr>
            <w:tcW w:w="1134" w:type="dxa"/>
            <w:vAlign w:val="center"/>
          </w:tcPr>
          <w:p w14:paraId="138C126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82</w:t>
            </w:r>
          </w:p>
        </w:tc>
        <w:tc>
          <w:tcPr>
            <w:tcW w:w="1134" w:type="dxa"/>
            <w:vAlign w:val="center"/>
          </w:tcPr>
          <w:p w14:paraId="556AB11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38</w:t>
            </w:r>
          </w:p>
        </w:tc>
        <w:tc>
          <w:tcPr>
            <w:tcW w:w="1134" w:type="dxa"/>
            <w:vAlign w:val="center"/>
          </w:tcPr>
          <w:p w14:paraId="7E1F949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0.65</w:t>
            </w:r>
          </w:p>
        </w:tc>
        <w:tc>
          <w:tcPr>
            <w:tcW w:w="2835" w:type="dxa"/>
            <w:vAlign w:val="center"/>
          </w:tcPr>
          <w:p w14:paraId="06CB1E4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30:12:42:23</w:t>
            </w:r>
          </w:p>
        </w:tc>
      </w:tr>
    </w:tbl>
    <w:p w14:paraId="35BFF4DA">
      <w:pPr>
        <w:spacing w:line="400" w:lineRule="exact" w:before="0" w:after="0"/>
        <w:rPr>
          <w:color w:val="000000" w:themeColor="text1"/>
          <w14:textFill>
            <w14:solidFill>
              <w14:schemeClr w14:val="tx1"/>
            </w14:solidFill>
          </w14:textFill>
        </w:rPr>
      </w:pPr>
    </w:p>
    <w:p w14:paraId="6598E579">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6.2 指标结果</w:t>
      </w:r>
    </w:p>
    <w:p w14:paraId="30B7AF7F">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1361" w:type="dxa"/>
            <w:vAlign w:val="center"/>
          </w:tcPr>
          <w:p w14:paraId="3C6F03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2B84131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48.15</w:t>
            </w:r>
          </w:p>
        </w:tc>
        <w:tc>
          <w:tcPr>
            <w:tcW w:w="1134" w:type="dxa"/>
            <w:vAlign w:val="center"/>
          </w:tcPr>
          <w:p w14:paraId="4F3A898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816.00</w:t>
            </w:r>
          </w:p>
        </w:tc>
        <w:tc>
          <w:tcPr>
            <w:tcW w:w="1020" w:type="dxa"/>
            <w:vAlign w:val="center"/>
          </w:tcPr>
          <w:p w14:paraId="3D429C4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w:t>
            </w:r>
          </w:p>
        </w:tc>
        <w:tc>
          <w:tcPr>
            <w:tcW w:w="1020" w:type="dxa"/>
            <w:vAlign w:val="center"/>
          </w:tcPr>
          <w:p w14:paraId="4A416D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c>
          <w:tcPr>
            <w:tcW w:w="794" w:type="dxa"/>
            <w:vAlign w:val="center"/>
          </w:tcPr>
          <w:p w14:paraId="5977FC1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1361" w:type="dxa"/>
            <w:vAlign w:val="center"/>
          </w:tcPr>
          <w:p w14:paraId="361847A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3CA49C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3ECC2F5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9.05</w:t>
            </w:r>
          </w:p>
        </w:tc>
        <w:tc>
          <w:tcPr>
            <w:tcW w:w="1134" w:type="dxa"/>
            <w:vAlign w:val="center"/>
          </w:tcPr>
          <w:p w14:paraId="7B9E63D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345.00</w:t>
            </w:r>
          </w:p>
        </w:tc>
        <w:tc>
          <w:tcPr>
            <w:tcW w:w="1020" w:type="dxa"/>
            <w:vAlign w:val="center"/>
          </w:tcPr>
          <w:p w14:paraId="16398F5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154E34E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64</w:t>
            </w:r>
          </w:p>
        </w:tc>
        <w:tc>
          <w:tcPr>
            <w:tcW w:w="794" w:type="dxa"/>
            <w:vAlign w:val="center"/>
          </w:tcPr>
          <w:p w14:paraId="25F2ED9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1361" w:type="dxa"/>
            <w:vAlign w:val="center"/>
          </w:tcPr>
          <w:p w14:paraId="607DC3D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5ABB709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5900AE1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8.89</w:t>
            </w:r>
          </w:p>
        </w:tc>
        <w:tc>
          <w:tcPr>
            <w:tcW w:w="1134" w:type="dxa"/>
            <w:vAlign w:val="center"/>
          </w:tcPr>
          <w:p w14:paraId="119833B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323.00</w:t>
            </w:r>
          </w:p>
        </w:tc>
        <w:tc>
          <w:tcPr>
            <w:tcW w:w="1020" w:type="dxa"/>
            <w:vAlign w:val="center"/>
          </w:tcPr>
          <w:p w14:paraId="264AD7C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4374D5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w:t>
            </w:r>
          </w:p>
        </w:tc>
        <w:tc>
          <w:tcPr>
            <w:tcW w:w="794" w:type="dxa"/>
            <w:vAlign w:val="center"/>
          </w:tcPr>
          <w:p w14:paraId="7E9E81F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1361" w:type="dxa"/>
            <w:vAlign w:val="center"/>
          </w:tcPr>
          <w:p w14:paraId="08B7C1F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63BDB9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8.89</w:t>
            </w:r>
          </w:p>
        </w:tc>
        <w:tc>
          <w:tcPr>
            <w:tcW w:w="1134" w:type="dxa"/>
            <w:vAlign w:val="center"/>
          </w:tcPr>
          <w:p w14:paraId="1945BF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327.00</w:t>
            </w:r>
          </w:p>
        </w:tc>
        <w:tc>
          <w:tcPr>
            <w:tcW w:w="1020" w:type="dxa"/>
            <w:vAlign w:val="center"/>
          </w:tcPr>
          <w:p w14:paraId="4196212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206CD3F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w:t>
            </w:r>
          </w:p>
        </w:tc>
        <w:tc>
          <w:tcPr>
            <w:tcW w:w="794" w:type="dxa"/>
            <w:vAlign w:val="center"/>
          </w:tcPr>
          <w:p w14:paraId="099190B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1361" w:type="dxa"/>
            <w:vAlign w:val="center"/>
          </w:tcPr>
          <w:p w14:paraId="04B3635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7F29AE4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58.33</w:t>
            </w:r>
          </w:p>
        </w:tc>
        <w:tc>
          <w:tcPr>
            <w:tcW w:w="1134" w:type="dxa"/>
            <w:vAlign w:val="center"/>
          </w:tcPr>
          <w:p w14:paraId="3EE3982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1940.00</w:t>
            </w:r>
          </w:p>
        </w:tc>
        <w:tc>
          <w:tcPr>
            <w:tcW w:w="1020" w:type="dxa"/>
            <w:vAlign w:val="center"/>
          </w:tcPr>
          <w:p w14:paraId="73D6712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2872598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378</w:t>
            </w:r>
          </w:p>
        </w:tc>
        <w:tc>
          <w:tcPr>
            <w:tcW w:w="794" w:type="dxa"/>
            <w:vAlign w:val="center"/>
          </w:tcPr>
          <w:p w14:paraId="559B58F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1361" w:type="dxa"/>
            <w:vAlign w:val="center"/>
          </w:tcPr>
          <w:p w14:paraId="78BD0C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155FC5D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530487F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12.15</w:t>
            </w:r>
          </w:p>
        </w:tc>
        <w:tc>
          <w:tcPr>
            <w:tcW w:w="1134" w:type="dxa"/>
            <w:vAlign w:val="center"/>
          </w:tcPr>
          <w:p w14:paraId="29A1BB9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774.00</w:t>
            </w:r>
          </w:p>
        </w:tc>
        <w:tc>
          <w:tcPr>
            <w:tcW w:w="1020" w:type="dxa"/>
            <w:vAlign w:val="center"/>
          </w:tcPr>
          <w:p w14:paraId="7EF0E51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w:t>
            </w:r>
          </w:p>
        </w:tc>
        <w:tc>
          <w:tcPr>
            <w:tcW w:w="1020" w:type="dxa"/>
            <w:vAlign w:val="center"/>
          </w:tcPr>
          <w:p w14:paraId="4A8ED31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237</w:t>
            </w:r>
          </w:p>
        </w:tc>
        <w:tc>
          <w:tcPr>
            <w:tcW w:w="794" w:type="dxa"/>
            <w:vAlign w:val="center"/>
          </w:tcPr>
          <w:p w14:paraId="674CC9D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1361" w:type="dxa"/>
            <w:vAlign w:val="center"/>
          </w:tcPr>
          <w:p w14:paraId="1DADE32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188A049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63FB7EF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12.85</w:t>
            </w:r>
          </w:p>
        </w:tc>
        <w:tc>
          <w:tcPr>
            <w:tcW w:w="1134" w:type="dxa"/>
            <w:vAlign w:val="center"/>
          </w:tcPr>
          <w:p w14:paraId="466DB0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723.00</w:t>
            </w:r>
          </w:p>
        </w:tc>
        <w:tc>
          <w:tcPr>
            <w:tcW w:w="1020" w:type="dxa"/>
            <w:vAlign w:val="center"/>
          </w:tcPr>
          <w:p w14:paraId="6BCF0E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1EEDCFE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255</w:t>
            </w:r>
          </w:p>
        </w:tc>
        <w:tc>
          <w:tcPr>
            <w:tcW w:w="794" w:type="dxa"/>
            <w:vAlign w:val="center"/>
          </w:tcPr>
          <w:p w14:paraId="66F9316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1361" w:type="dxa"/>
            <w:vAlign w:val="center"/>
          </w:tcPr>
          <w:p w14:paraId="00353B4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0EB1D0F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12.85</w:t>
            </w:r>
          </w:p>
        </w:tc>
        <w:tc>
          <w:tcPr>
            <w:tcW w:w="1134" w:type="dxa"/>
            <w:vAlign w:val="center"/>
          </w:tcPr>
          <w:p w14:paraId="15A8025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763.00</w:t>
            </w:r>
          </w:p>
        </w:tc>
        <w:tc>
          <w:tcPr>
            <w:tcW w:w="1020" w:type="dxa"/>
            <w:vAlign w:val="center"/>
          </w:tcPr>
          <w:p w14:paraId="7471E75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15220CB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185</w:t>
            </w:r>
          </w:p>
        </w:tc>
        <w:tc>
          <w:tcPr>
            <w:tcW w:w="794" w:type="dxa"/>
            <w:vAlign w:val="center"/>
          </w:tcPr>
          <w:p w14:paraId="67A84EF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1361" w:type="dxa"/>
            <w:vAlign w:val="center"/>
          </w:tcPr>
          <w:p w14:paraId="781E908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498D23B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63.00</w:t>
            </w:r>
          </w:p>
        </w:tc>
        <w:tc>
          <w:tcPr>
            <w:tcW w:w="1134" w:type="dxa"/>
            <w:vAlign w:val="center"/>
          </w:tcPr>
          <w:p w14:paraId="0784CEB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3240.00</w:t>
            </w:r>
          </w:p>
        </w:tc>
        <w:tc>
          <w:tcPr>
            <w:tcW w:w="1020" w:type="dxa"/>
            <w:vAlign w:val="center"/>
          </w:tcPr>
          <w:p w14:paraId="1A6B7E4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4034499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1076</w:t>
            </w:r>
          </w:p>
        </w:tc>
        <w:tc>
          <w:tcPr>
            <w:tcW w:w="794" w:type="dxa"/>
            <w:vAlign w:val="center"/>
          </w:tcPr>
          <w:p w14:paraId="1AAC765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1361" w:type="dxa"/>
            <w:vAlign w:val="center"/>
          </w:tcPr>
          <w:p w14:paraId="1131C80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595B865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2580182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15.32</w:t>
            </w:r>
          </w:p>
        </w:tc>
        <w:tc>
          <w:tcPr>
            <w:tcW w:w="1134" w:type="dxa"/>
            <w:vAlign w:val="center"/>
          </w:tcPr>
          <w:p w14:paraId="529A105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1247.00</w:t>
            </w:r>
          </w:p>
        </w:tc>
        <w:tc>
          <w:tcPr>
            <w:tcW w:w="1020" w:type="dxa"/>
            <w:vAlign w:val="center"/>
          </w:tcPr>
          <w:p w14:paraId="741704E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w:t>
            </w:r>
          </w:p>
        </w:tc>
        <w:tc>
          <w:tcPr>
            <w:tcW w:w="1020" w:type="dxa"/>
            <w:vAlign w:val="center"/>
          </w:tcPr>
          <w:p w14:paraId="578239F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381</w:t>
            </w:r>
          </w:p>
        </w:tc>
        <w:tc>
          <w:tcPr>
            <w:tcW w:w="794" w:type="dxa"/>
            <w:vAlign w:val="center"/>
          </w:tcPr>
          <w:p w14:paraId="43B725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1361" w:type="dxa"/>
            <w:vAlign w:val="center"/>
          </w:tcPr>
          <w:p w14:paraId="006FFA7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0061D6E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436E849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14.98</w:t>
            </w:r>
          </w:p>
        </w:tc>
        <w:tc>
          <w:tcPr>
            <w:tcW w:w="1134" w:type="dxa"/>
            <w:vAlign w:val="center"/>
          </w:tcPr>
          <w:p w14:paraId="00109C1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1128.00</w:t>
            </w:r>
          </w:p>
        </w:tc>
        <w:tc>
          <w:tcPr>
            <w:tcW w:w="1020" w:type="dxa"/>
            <w:vAlign w:val="center"/>
          </w:tcPr>
          <w:p w14:paraId="7C5EC1F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24C25D1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390</w:t>
            </w:r>
          </w:p>
        </w:tc>
        <w:tc>
          <w:tcPr>
            <w:tcW w:w="794" w:type="dxa"/>
            <w:vAlign w:val="center"/>
          </w:tcPr>
          <w:p w14:paraId="1A34CBC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1361" w:type="dxa"/>
            <w:vAlign w:val="center"/>
          </w:tcPr>
          <w:p w14:paraId="60EF9AF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3AF95DA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14.98</w:t>
            </w:r>
          </w:p>
        </w:tc>
        <w:tc>
          <w:tcPr>
            <w:tcW w:w="1134" w:type="dxa"/>
            <w:vAlign w:val="center"/>
          </w:tcPr>
          <w:p w14:paraId="1DD23A9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1210.00</w:t>
            </w:r>
          </w:p>
        </w:tc>
        <w:tc>
          <w:tcPr>
            <w:tcW w:w="1020" w:type="dxa"/>
            <w:vAlign w:val="center"/>
          </w:tcPr>
          <w:p w14:paraId="1A074B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3D45F64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416</w:t>
            </w:r>
          </w:p>
        </w:tc>
        <w:tc>
          <w:tcPr>
            <w:tcW w:w="794" w:type="dxa"/>
            <w:vAlign w:val="center"/>
          </w:tcPr>
          <w:p w14:paraId="3A72D2B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1361" w:type="dxa"/>
            <w:vAlign w:val="center"/>
          </w:tcPr>
          <w:p w14:paraId="02F48A9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84.38</w:t>
            </w:r>
          </w:p>
        </w:tc>
        <w:tc>
          <w:tcPr>
            <w:tcW w:w="1020" w:type="dxa"/>
            <w:vAlign w:val="center"/>
          </w:tcPr>
          <w:p w14:paraId="135EBB8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60.64</w:t>
            </w:r>
          </w:p>
        </w:tc>
        <w:tc>
          <w:tcPr>
            <w:tcW w:w="1134" w:type="dxa"/>
            <w:vAlign w:val="center"/>
          </w:tcPr>
          <w:p w14:paraId="500AE40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2249.00</w:t>
            </w:r>
          </w:p>
        </w:tc>
        <w:tc>
          <w:tcPr>
            <w:tcW w:w="1020" w:type="dxa"/>
            <w:vAlign w:val="center"/>
          </w:tcPr>
          <w:p w14:paraId="41DD5E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w:t>
            </w:r>
          </w:p>
        </w:tc>
        <w:tc>
          <w:tcPr>
            <w:tcW w:w="1020" w:type="dxa"/>
            <w:vAlign w:val="center"/>
          </w:tcPr>
          <w:p w14:paraId="00F14A1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531</w:t>
            </w:r>
          </w:p>
        </w:tc>
        <w:tc>
          <w:tcPr>
            <w:tcW w:w="794" w:type="dxa"/>
            <w:vAlign w:val="center"/>
          </w:tcPr>
          <w:p w14:paraId="04E6ED0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1361" w:type="dxa"/>
            <w:vAlign w:val="center"/>
          </w:tcPr>
          <w:p w14:paraId="4B861AF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109E525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52408CC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14.84</w:t>
            </w:r>
          </w:p>
        </w:tc>
        <w:tc>
          <w:tcPr>
            <w:tcW w:w="1134" w:type="dxa"/>
            <w:vAlign w:val="center"/>
          </w:tcPr>
          <w:p w14:paraId="008A777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972.00</w:t>
            </w:r>
          </w:p>
        </w:tc>
        <w:tc>
          <w:tcPr>
            <w:tcW w:w="1020" w:type="dxa"/>
            <w:vAlign w:val="center"/>
          </w:tcPr>
          <w:p w14:paraId="7446B8B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w:t>
            </w:r>
          </w:p>
        </w:tc>
        <w:tc>
          <w:tcPr>
            <w:tcW w:w="1020" w:type="dxa"/>
            <w:vAlign w:val="center"/>
          </w:tcPr>
          <w:p w14:paraId="7431CC1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318</w:t>
            </w:r>
          </w:p>
        </w:tc>
        <w:tc>
          <w:tcPr>
            <w:tcW w:w="794" w:type="dxa"/>
            <w:vAlign w:val="center"/>
          </w:tcPr>
          <w:p w14:paraId="064B83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1361" w:type="dxa"/>
            <w:vAlign w:val="center"/>
          </w:tcPr>
          <w:p w14:paraId="1F12E8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52150A2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3A16F76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11.72</w:t>
            </w:r>
          </w:p>
        </w:tc>
        <w:tc>
          <w:tcPr>
            <w:tcW w:w="1134" w:type="dxa"/>
            <w:vAlign w:val="center"/>
          </w:tcPr>
          <w:p w14:paraId="75B5FE1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858.00</w:t>
            </w:r>
          </w:p>
        </w:tc>
        <w:tc>
          <w:tcPr>
            <w:tcW w:w="1020" w:type="dxa"/>
            <w:vAlign w:val="center"/>
          </w:tcPr>
          <w:p w14:paraId="62F3412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371526F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243</w:t>
            </w:r>
          </w:p>
        </w:tc>
        <w:tc>
          <w:tcPr>
            <w:tcW w:w="794" w:type="dxa"/>
            <w:vAlign w:val="center"/>
          </w:tcPr>
          <w:p w14:paraId="1A8553C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1361" w:type="dxa"/>
            <w:vAlign w:val="center"/>
          </w:tcPr>
          <w:p w14:paraId="228CDD8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655EDF6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11.72</w:t>
            </w:r>
          </w:p>
        </w:tc>
        <w:tc>
          <w:tcPr>
            <w:tcW w:w="1134" w:type="dxa"/>
            <w:vAlign w:val="center"/>
          </w:tcPr>
          <w:p w14:paraId="6C10129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908.00</w:t>
            </w:r>
          </w:p>
        </w:tc>
        <w:tc>
          <w:tcPr>
            <w:tcW w:w="1020" w:type="dxa"/>
            <w:vAlign w:val="center"/>
          </w:tcPr>
          <w:p w14:paraId="140204E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38E4CA4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244</w:t>
            </w:r>
          </w:p>
        </w:tc>
        <w:tc>
          <w:tcPr>
            <w:tcW w:w="794" w:type="dxa"/>
            <w:vAlign w:val="center"/>
          </w:tcPr>
          <w:p w14:paraId="1DFACFA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1361" w:type="dxa"/>
            <w:vAlign w:val="center"/>
          </w:tcPr>
          <w:p w14:paraId="417DB49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89.00</w:t>
            </w:r>
          </w:p>
        </w:tc>
        <w:tc>
          <w:tcPr>
            <w:tcW w:w="1020" w:type="dxa"/>
            <w:vAlign w:val="center"/>
          </w:tcPr>
          <w:p w14:paraId="745620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65.81</w:t>
            </w:r>
          </w:p>
        </w:tc>
        <w:tc>
          <w:tcPr>
            <w:tcW w:w="1134" w:type="dxa"/>
            <w:vAlign w:val="center"/>
          </w:tcPr>
          <w:p w14:paraId="675C25E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1827.00</w:t>
            </w:r>
          </w:p>
        </w:tc>
        <w:tc>
          <w:tcPr>
            <w:tcW w:w="1020" w:type="dxa"/>
            <w:vAlign w:val="center"/>
          </w:tcPr>
          <w:p w14:paraId="58148B6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w:t>
            </w:r>
          </w:p>
        </w:tc>
        <w:tc>
          <w:tcPr>
            <w:tcW w:w="1020" w:type="dxa"/>
            <w:vAlign w:val="center"/>
          </w:tcPr>
          <w:p w14:paraId="0FB010A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587</w:t>
            </w:r>
          </w:p>
        </w:tc>
        <w:tc>
          <w:tcPr>
            <w:tcW w:w="794" w:type="dxa"/>
            <w:vAlign w:val="center"/>
          </w:tcPr>
          <w:p w14:paraId="7C118EE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1361" w:type="dxa"/>
            <w:vAlign w:val="center"/>
          </w:tcPr>
          <w:p w14:paraId="25D589A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1E3FA50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4BB316A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26.12</w:t>
            </w:r>
          </w:p>
        </w:tc>
        <w:tc>
          <w:tcPr>
            <w:tcW w:w="1134" w:type="dxa"/>
            <w:vAlign w:val="center"/>
          </w:tcPr>
          <w:p w14:paraId="5ADAAC1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1059.00</w:t>
            </w:r>
          </w:p>
        </w:tc>
        <w:tc>
          <w:tcPr>
            <w:tcW w:w="1020" w:type="dxa"/>
            <w:vAlign w:val="center"/>
          </w:tcPr>
          <w:p w14:paraId="007797B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w:t>
            </w:r>
          </w:p>
        </w:tc>
        <w:tc>
          <w:tcPr>
            <w:tcW w:w="1020" w:type="dxa"/>
            <w:vAlign w:val="center"/>
          </w:tcPr>
          <w:p w14:paraId="02455C0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364</w:t>
            </w:r>
          </w:p>
        </w:tc>
        <w:tc>
          <w:tcPr>
            <w:tcW w:w="794" w:type="dxa"/>
            <w:vAlign w:val="center"/>
          </w:tcPr>
          <w:p w14:paraId="084FC02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1361" w:type="dxa"/>
            <w:vAlign w:val="center"/>
          </w:tcPr>
          <w:p w14:paraId="65BF87B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05F8B43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02E52EA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24.39</w:t>
            </w:r>
          </w:p>
        </w:tc>
        <w:tc>
          <w:tcPr>
            <w:tcW w:w="1134" w:type="dxa"/>
            <w:vAlign w:val="center"/>
          </w:tcPr>
          <w:p w14:paraId="7B9FD5B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951.00</w:t>
            </w:r>
          </w:p>
        </w:tc>
        <w:tc>
          <w:tcPr>
            <w:tcW w:w="1020" w:type="dxa"/>
            <w:vAlign w:val="center"/>
          </w:tcPr>
          <w:p w14:paraId="552CA0A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w:t>
            </w:r>
          </w:p>
        </w:tc>
        <w:tc>
          <w:tcPr>
            <w:tcW w:w="1020" w:type="dxa"/>
            <w:vAlign w:val="center"/>
          </w:tcPr>
          <w:p w14:paraId="6217477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304</w:t>
            </w:r>
          </w:p>
        </w:tc>
        <w:tc>
          <w:tcPr>
            <w:tcW w:w="794" w:type="dxa"/>
            <w:vAlign w:val="center"/>
          </w:tcPr>
          <w:p w14:paraId="57992D9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1361" w:type="dxa"/>
            <w:vAlign w:val="center"/>
          </w:tcPr>
          <w:p w14:paraId="2695D15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42E9E1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24.39</w:t>
            </w:r>
          </w:p>
        </w:tc>
        <w:tc>
          <w:tcPr>
            <w:tcW w:w="1134" w:type="dxa"/>
            <w:vAlign w:val="center"/>
          </w:tcPr>
          <w:p w14:paraId="60497C7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985.00</w:t>
            </w:r>
          </w:p>
        </w:tc>
        <w:tc>
          <w:tcPr>
            <w:tcW w:w="1020" w:type="dxa"/>
            <w:vAlign w:val="center"/>
          </w:tcPr>
          <w:p w14:paraId="6E1C46F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7687A02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337</w:t>
            </w:r>
          </w:p>
        </w:tc>
        <w:tc>
          <w:tcPr>
            <w:tcW w:w="794" w:type="dxa"/>
            <w:vAlign w:val="center"/>
          </w:tcPr>
          <w:p w14:paraId="0A5124E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bl>
    <w:p w14:paraId="71627002">
      <w:pPr>
        <w:spacing w:line="400" w:lineRule="exact" w:before="0" w:after="0"/>
        <w:rPr>
          <w:color w:val="000000" w:themeColor="text1"/>
          <w14:textFill>
            <w14:solidFill>
              <w14:schemeClr w14:val="tx1"/>
            </w14:solidFill>
          </w14:textFill>
        </w:rPr>
      </w:pPr>
    </w:p>
    <w:p w14:paraId="5023B1E9">
      <w:pPr>
        <w:spacing w:line="400" w:lineRule="exact" w:before="0" w:after="0"/>
        <w:jc w:val="both"/>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图 6-1 尾板面积占比对比</w:t>
      </w:r>
    </w:p>
    <w:p w14:paraId="7ECF6810">
      <w:pPr>
        <w:spacing w:line="400" w:lineRule="exact" w:before="0" w:after="0"/>
        <w:jc w:val="center"/>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图 6-2 总线长对比</w:t>
      </w:r>
    </w:p>
    <w:p w14:paraId="58BE7C6E">
      <w:pPr>
        <w:spacing w:line="400" w:lineRule="exact" w:before="0" w:after="0"/>
        <w:jc w:val="center"/>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图 6-3 拥挤网格数量对比</w:t>
      </w:r>
    </w:p>
    <w:p w14:paraId="64408DF6">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6.3 结果分析</w:t>
      </w:r>
    </w:p>
    <w:p w14:paraId="62C908E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6.4 消融实验与对比有效性分析</w:t>
      </w:r>
    </w:p>
    <w:p w14:paraId="73C55301">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6-3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算法</w:t>
            </w:r>
          </w:p>
        </w:tc>
        <w:tc>
          <w:tcPr>
            <w:tcW w:w="1296" w:type="dxa"/>
            <w:vAlign w:val="center"/>
          </w:tcPr>
          <w:p w14:paraId="360A9A6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94.68</w:t>
            </w:r>
          </w:p>
        </w:tc>
        <w:tc>
          <w:tcPr>
            <w:tcW w:w="1296" w:type="dxa"/>
            <w:vAlign w:val="center"/>
          </w:tcPr>
          <w:p w14:paraId="5A7C2AB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59.19</w:t>
            </w:r>
          </w:p>
        </w:tc>
        <w:tc>
          <w:tcPr>
            <w:tcW w:w="1296" w:type="dxa"/>
            <w:vAlign w:val="center"/>
          </w:tcPr>
          <w:p w14:paraId="1D2CD90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2014.40</w:t>
            </w:r>
          </w:p>
        </w:tc>
        <w:tc>
          <w:tcPr>
            <w:tcW w:w="1296" w:type="dxa"/>
            <w:vAlign w:val="center"/>
          </w:tcPr>
          <w:p w14:paraId="496F68F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3.60</w:t>
            </w:r>
          </w:p>
        </w:tc>
        <w:tc>
          <w:tcPr>
            <w:tcW w:w="1296" w:type="dxa"/>
            <w:vAlign w:val="center"/>
          </w:tcPr>
          <w:p w14:paraId="5DA9DE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514.40</w:t>
            </w:r>
          </w:p>
        </w:tc>
        <w:tc>
          <w:tcPr>
            <w:tcW w:w="1296" w:type="dxa"/>
            <w:vAlign w:val="center"/>
          </w:tcPr>
          <w:p w14:paraId="62676AF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296" w:type="dxa"/>
            <w:vAlign w:val="center"/>
          </w:tcPr>
          <w:p w14:paraId="4012EC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296" w:type="dxa"/>
            <w:vAlign w:val="center"/>
          </w:tcPr>
          <w:p w14:paraId="1B5FE39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15.50</w:t>
            </w:r>
          </w:p>
        </w:tc>
        <w:tc>
          <w:tcPr>
            <w:tcW w:w="1296" w:type="dxa"/>
            <w:vAlign w:val="center"/>
          </w:tcPr>
          <w:p w14:paraId="7F15AC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879.40</w:t>
            </w:r>
          </w:p>
        </w:tc>
        <w:tc>
          <w:tcPr>
            <w:tcW w:w="1296" w:type="dxa"/>
            <w:vAlign w:val="center"/>
          </w:tcPr>
          <w:p w14:paraId="0211F1C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4.00</w:t>
            </w:r>
          </w:p>
        </w:tc>
        <w:tc>
          <w:tcPr>
            <w:tcW w:w="1296" w:type="dxa"/>
            <w:vAlign w:val="center"/>
          </w:tcPr>
          <w:p w14:paraId="636D8DB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272.80</w:t>
            </w:r>
          </w:p>
        </w:tc>
        <w:tc>
          <w:tcPr>
            <w:tcW w:w="1296" w:type="dxa"/>
            <w:vAlign w:val="center"/>
          </w:tcPr>
          <w:p w14:paraId="413C536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296" w:type="dxa"/>
            <w:vAlign w:val="center"/>
          </w:tcPr>
          <w:p w14:paraId="37D0462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296" w:type="dxa"/>
            <w:vAlign w:val="center"/>
          </w:tcPr>
          <w:p w14:paraId="2E274B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14.57</w:t>
            </w:r>
          </w:p>
        </w:tc>
        <w:tc>
          <w:tcPr>
            <w:tcW w:w="1296" w:type="dxa"/>
            <w:vAlign w:val="center"/>
          </w:tcPr>
          <w:p w14:paraId="662F81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796.60</w:t>
            </w:r>
          </w:p>
        </w:tc>
        <w:tc>
          <w:tcPr>
            <w:tcW w:w="1296" w:type="dxa"/>
            <w:vAlign w:val="center"/>
          </w:tcPr>
          <w:p w14:paraId="746354D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3.00</w:t>
            </w:r>
          </w:p>
        </w:tc>
        <w:tc>
          <w:tcPr>
            <w:tcW w:w="1296" w:type="dxa"/>
            <w:vAlign w:val="center"/>
          </w:tcPr>
          <w:p w14:paraId="25E3D3C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240.00</w:t>
            </w:r>
          </w:p>
        </w:tc>
        <w:tc>
          <w:tcPr>
            <w:tcW w:w="1296" w:type="dxa"/>
            <w:vAlign w:val="center"/>
          </w:tcPr>
          <w:p w14:paraId="3AAFCA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296" w:type="dxa"/>
            <w:vAlign w:val="center"/>
          </w:tcPr>
          <w:p w14:paraId="42604B4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14.57</w:t>
            </w:r>
          </w:p>
        </w:tc>
        <w:tc>
          <w:tcPr>
            <w:tcW w:w="1296" w:type="dxa"/>
            <w:vAlign w:val="center"/>
          </w:tcPr>
          <w:p w14:paraId="741C4C3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838.60</w:t>
            </w:r>
          </w:p>
        </w:tc>
        <w:tc>
          <w:tcPr>
            <w:tcW w:w="1296" w:type="dxa"/>
            <w:vAlign w:val="center"/>
          </w:tcPr>
          <w:p w14:paraId="517277C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2.80</w:t>
            </w:r>
          </w:p>
        </w:tc>
        <w:tc>
          <w:tcPr>
            <w:tcW w:w="1296" w:type="dxa"/>
            <w:vAlign w:val="center"/>
          </w:tcPr>
          <w:p w14:paraId="5E1B17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238.00</w:t>
            </w:r>
          </w:p>
        </w:tc>
        <w:tc>
          <w:tcPr>
            <w:tcW w:w="1296" w:type="dxa"/>
            <w:vAlign w:val="center"/>
          </w:tcPr>
          <w:p w14:paraId="7BAA688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0.00</w:t>
            </w:r>
          </w:p>
        </w:tc>
      </w:tr>
    </w:tbl>
    <w:p w14:paraId="4145EB0C">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由表 6-3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6.5 参数与工程适用性讨论</w:t>
      </w:r>
    </w:p>
    <w:p w14:paraId="7024C36E">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7 总结与展望</w:t>
      </w:r>
    </w:p>
    <w:p w14:paraId="2E6DBEDB">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7.1 工作总结</w:t>
      </w:r>
    </w:p>
    <w:p w14:paraId="084E2C9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7.2 不足与展望</w:t>
      </w:r>
    </w:p>
    <w:p w14:paraId="6100FF0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文仍存在若干不足。首先，实验案例由参数化方式构造，尚未接入真实EDA文件格式，后续可支持Gerber、ODB++或IPC-2581等数据解析，并与企业尾板案例进行交叉验证。其次，当前布线模型采用两层合法化假设，未显式优化过孔数量、层分配、差分等长和阻抗控制，后续可在Tile容量模型基础上增加层资源、过孔惩罚和差分对约束。再次，当前拥塞重布线属于轻量启发式方法，虽然吸收了网络流容量和蚁群信息素思想，但尚未形成完整的最大流、最小费用流或线性规划合法化流程。最后，开题报告中设想的Qt/OpenGL动态可视化和深度学习接口尚未完整实现，后续可在现有CSV/SVG输出基础上增加交互界面，并借鉴DeepTPI、NS-Place、领域模型和Transformer-A*方法，逐步将候选点选择、线序排序和拥塞预测升级为数据驱动模块。</w:t>
      </w:r>
    </w:p>
    <w:p w14:paraId="30A70EB7">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参考文献</w:t>
      </w:r>
    </w:p>
    <w:p w14:paraId="4A20B150">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[14] IPC. IPC-A-600: Acceptability of printed boards[S]. Bannockburn: IPC, 2020.</w:t>
      </w:r>
    </w:p>
    <w:p w14:paraId="4A62645E">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致谢</w:t>
      </w:r>
    </w:p>
    <w:p w14:paraId="13E05B5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rFonts w:ascii="Times New Roman" w:hAnsi="Times New Roman" w:eastAsia="Times New Roman"/>
        <w:sz w:val="21"/>
      </w:rPr>
      <w:fldChar w:fldCharType="begin"/>
      <w:instrText xml:space="preserve"> PAGE \* ROMAN </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rFonts w:ascii="Times New Roman" w:hAnsi="Times New Roman" w:eastAsia="Times New Roman"/>
        <w:sz w:val="21"/>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rFonts w:ascii="宋体" w:hAnsi="宋体" w:eastAsia="宋体"/>
        <w:sz w:val="21"/>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