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武汉理工大学</w:t>
      </w:r>
    </w:p>
    <w:p w14:paraId="0CF04AF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本科毕业设计（论文）</w:t>
      </w:r>
    </w:p>
    <w:p w14:paraId="127F74C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学院</w:t>
            </w:r>
          </w:p>
        </w:tc>
        <w:tc>
          <w:tcPr>
            <w:tcW w:w="5102" w:type="dxa"/>
            <w:vAlign w:val="center"/>
          </w:tcPr>
          <w:p w14:paraId="39C1C6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专业</w:t>
            </w:r>
          </w:p>
        </w:tc>
        <w:tc>
          <w:tcPr>
            <w:tcW w:w="5102" w:type="dxa"/>
            <w:vAlign w:val="center"/>
          </w:tcPr>
          <w:p w14:paraId="36E854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班级</w:t>
            </w:r>
          </w:p>
        </w:tc>
        <w:tc>
          <w:tcPr>
            <w:tcW w:w="5102" w:type="dxa"/>
            <w:vAlign w:val="center"/>
          </w:tcPr>
          <w:p w14:paraId="29D8E2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120" w:line="320" w:lineRule="exact"/>
              <w:jc w:val="center"/>
              <w:rPr>
                <w:color w:val="000000" w:themeColor="text1"/>
                <w14:textFill>
                  <w14:solidFill>
                    <w14:schemeClr w14:val="tx1"/>
                  </w14:solidFill>
                </w14:textFill>
              </w:rPr>
            </w:pPr>
          </w:p>
        </w:tc>
        <w:tc>
          <w:tcPr>
            <w:tcW w:w="5102" w:type="dxa"/>
            <w:vAlign w:val="center"/>
          </w:tcPr>
          <w:p w14:paraId="6E5D7733">
            <w:pPr>
              <w:spacing w:before="0" w:after="120" w:line="320" w:lineRule="exact"/>
              <w:jc w:val="center"/>
              <w:rPr>
                <w:color w:val="000000" w:themeColor="text1"/>
                <w14:textFill>
                  <w14:solidFill>
                    <w14:schemeClr w14:val="tx1"/>
                  </w14:solidFill>
                </w14:textFill>
              </w:rPr>
            </w:pPr>
          </w:p>
        </w:tc>
      </w:tr>
    </w:tbl>
    <w:p w14:paraId="01E3081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2CC7D4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作者签名：                       年    月    日</w:t>
      </w:r>
    </w:p>
    <w:p w14:paraId="1FA7B530">
      <w:pPr>
        <w:spacing w:before="0" w:after="120" w:line="400" w:lineRule="exact"/>
        <w:ind w:firstLine="420"/>
        <w:jc w:val="both"/>
        <w:rPr>
          <w:color w:val="000000" w:themeColor="text1"/>
          <w14:textFill>
            <w14:solidFill>
              <w14:schemeClr w14:val="tx1"/>
            </w14:solidFill>
          </w14:textFill>
        </w:rPr>
        <w:sectPr>
          <w:headerReference w:type="default" r:id="rId24"/>
          <w:footerReference w:type="default" r:id="rId25"/>
          <w:pgSz w:w="11906" w:h="16838"/>
          <w:pgMar w:top="1417" w:right="1134" w:bottom="1134" w:left="1417" w:header="1474" w:footer="1361" w:gutter="0"/>
          <w:cols w:space="720" w:num="1"/>
          <w:docGrid w:linePitch="360" w:charSpace="0"/>
        </w:sectPr>
      </w:pPr>
      <w:r>
        <w:rPr>
          <w:rFonts w:ascii="Times New Roman" w:hAnsi="Times New Roman" w:eastAsia="宋体"/>
          <w:b w:val="0"/>
          <w:color w:val="000000" w:themeColor="text1"/>
          <w:sz w:val="24"/>
          <w14:textFill>
            <w14:solidFill>
              <w14:schemeClr w14:val="tx1"/>
            </w14:solidFill>
          </w14:textFill>
        </w:rPr>
        <w:t>指导教师签名：                   年    月    日</w:t>
      </w:r>
    </w:p>
    <w:p w14:paraId="79B224D7">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黑体" w:ascii="Times New Roman" w:hAnsi="Times New Roman"/>
        </w:rPr>
        <w:t>摘  要</w:t>
      </w:r>
    </w:p>
    <w:p w14:paraId="2EFFC55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金手指是板卡与外部设备、测试夹具及扩展接口实现电气连接的关键边缘接口，具有端子密度高、可用边缘空间受限、信号类型混合以及接触可靠性要求高等特点。针对生产测试阶段人工布点布线效率较低、局部通道易拥塞和尾板面积利用不足等问题，本文面向PCB金手指测试尾板构建了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并通过K-means分组、禁忌局部搜索、PSO-Hanan候选优化和动态拥塞代价改善布点布线结果。五组参数化案例表明，在低密度、中密度、高密度、含障碍和面积受限场景中，所提方法均实现100%覆盖率与100%布通率，平均尾板面积占比由基线方案的59.19%降低至14.57%，平均总线长由2014.40 mm降低至838.60 mm。研究结果说明，该方法能够为金手指测试尾板自动化设计提供可解释、可复现的算法基础。</w:t>
      </w:r>
    </w:p>
    <w:p w14:paraId="2C1967A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关键词：PCB金手指；测试尾板；布点布线；拥塞感知；A*算法</w:t>
      </w:r>
    </w:p>
    <w:p w14:paraId="1B17B0DB">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733BC8CD">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Times New Roman" w:ascii="Times New Roman" w:hAnsi="Times New Roman"/>
        </w:rPr>
        <w:t>Abstract</w:t>
      </w:r>
    </w:p>
    <w:p w14:paraId="088E44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 gold fingers are dense edge contacts used for board-level interconnection, fixture contact, and functional testing. In a test tailboard, accessible test pads must be placed in a constrained extension region, and each gold-finger terminal must be routed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The algorithm further separates candidate generation, constraint filtering, placement optimization, congestion-aware routing, rip-up and rerouting, and metric evaluation, so that each stage can be inspected and reproduced. A C++17 prototype implements K-means grouping, tabu local search, PSO-Hanan placement, congestion-aware A* routing, and CSV/SVG result export. Five parameterized cases, including low-density, medium-density, high-density, obstacle-constrained, and area-limited scenarios, are used for evaluation. The results show that the proposed scheme achieves full pad coverage and full routability in all cases. Compared with the rule-based baseline, the average occupied tailboard-area ratio is reduced from 59.19% to 14.57%, and the average total routing length is reduced from 2014.40 mm to 838.60 mm. By explicitly distinguishing hard feasibility checks from soft optimization objectives, the method also improves the traceability of experimental conclusions and supports later replacement of local heuristic modules by network-flow, linear-programming, or learning-based strategies without changing the data interface. The study provides an interpretable and reproducible algorithmic basis for automated test-tailboard design and subsequent integration into domestic EDA toolchains.</w:t>
      </w:r>
    </w:p>
    <w:p w14:paraId="3E21446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9C6946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 绪论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1.1 研究背景</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1.2 国内外研究现状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1.3 研究内容与论文结构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1.4 任务书要求与完成情况</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1.5 本文创新点</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 相关理论与约束建模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2.1 PCB金手指与测试尾板结构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2.2 布点布线数学模型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2.4 约束优先级与合法性判定</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2.5 文献理论到本文模型的转化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 测试点布点算法设计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3.1 候选点生成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3.2 K-means初始分组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3.3 禁忌搜索局部优化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3.4 改进后的布点目标函数与步骤</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 布线算法与协同优化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4.1 A*网格布线</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4.2 布点布线协同优化机制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4.3 拥塞感知与拆线重布策略</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4.4 分层布线与重布线改进流程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 系统实现</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5.1 工程结构与运行方式</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5.2 输出文件说明</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5.3 关键函数与数据流</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5.4 文献支撑下的代码模块对应关系</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15</w:t>
      </w:r>
    </w:p>
    <w:p w14:paraId="0B7DED81">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 实验结果与分析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16</w:t>
      </w:r>
    </w:p>
    <w:p w14:paraId="3D2BDD5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6.1 实验设置</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16</w:t>
      </w:r>
    </w:p>
    <w:p w14:paraId="5F07FA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6.2 指标结果</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16</w:t>
      </w:r>
    </w:p>
    <w:p w14:paraId="2C22927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6.3 结果分析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17</w:t>
      </w:r>
    </w:p>
    <w:p w14:paraId="622FAA2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6.4 消融实验与对比有效性分析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18</w:t>
      </w:r>
    </w:p>
    <w:p w14:paraId="68DB9CA6">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6.5 参数与工程适用性讨论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19</w:t>
      </w:r>
    </w:p>
    <w:p w14:paraId="47483621">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 总结与展望</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20</w:t>
      </w:r>
    </w:p>
    <w:p w14:paraId="53D73006">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7.1 工作总结</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20</w:t>
      </w:r>
    </w:p>
    <w:p w14:paraId="3083ADE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7.2 不足与展望</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20</w:t>
      </w:r>
    </w:p>
    <w:p w14:paraId="13A97185">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22</w:t>
      </w:r>
    </w:p>
    <w:p w14:paraId="1C0CB1E4">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sectPr>
          <w:footerReference r:id="rId5" w:type="default"/>
          <w:headerReference w:type="default" r:id="rId26"/>
          <w:pgSz w:w="11906" w:h="16838"/>
          <w:pgMar w:top="1417" w:right="1134" w:bottom="1134" w:left="1417" w:header="1474" w:footer="1361" w:gutter="0"/>
          <w:cols w:space="720" w:num="1"/>
          <w:docGrid w:linePitch="360" w:charSpace="0"/>
          <w:pgNumType w:fmt="lowerRoman" w:start="1"/>
        </w:sectPr>
      </w:pPr>
      <w:r>
        <w:rPr>
          <w:rFonts w:ascii="Times New Roman" w:hAnsi="Times New Roman" w:eastAsia="宋体"/>
          <w:b w:val="0"/>
          <w:color w:val="000000" w:themeColor="text1"/>
          <w:sz w:val="24"/>
          <w14:textFill>
            <w14:solidFill>
              <w14:schemeClr w14:val="tx1"/>
            </w14:solidFill>
          </w14:textFill>
        </w:rPr>
        <w:t>致谢</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24</w:t>
      </w:r>
    </w:p>
    <w:p w14:paraId="091A3601">
      <w:pPr>
        <w:pStyle w:val="3"/>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b w:val="0"/>
          <w:color w:val="000000" w:themeColor="text1"/>
          <w:sz w:val="24"/>
          <w:vertAlign w:val="superscript"/>
          <w14:textFill>
            <w14:solidFill>
              <w14:schemeClr w14:val="tx1"/>
            </w14:solidFill>
          </w14:textFill>
        </w:rPr>
        <w:t>[8-11]</w:t>
      </w:r>
      <w:r>
        <w:rPr>
          <w:rFonts w:ascii="Times New Roman" w:hAnsi="Times New Roman"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b w:val="0"/>
          <w:color w:val="000000" w:themeColor="text1"/>
          <w:sz w:val="24"/>
          <w:vertAlign w:val="superscript"/>
          <w14:textFill>
            <w14:solidFill>
              <w14:schemeClr w14:val="tx1"/>
            </w14:solidFill>
          </w14:textFill>
        </w:rPr>
        <w:t>[4]</w:t>
      </w:r>
      <w:r>
        <w:rPr>
          <w:rFonts w:ascii="Times New Roman" w:hAnsi="Times New Roman"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b w:val="0"/>
          <w:color w:val="000000" w:themeColor="text1"/>
          <w:sz w:val="24"/>
          <w:vertAlign w:val="superscript"/>
          <w14:textFill>
            <w14:solidFill>
              <w14:schemeClr w14:val="tx1"/>
            </w14:solidFill>
          </w14:textFill>
        </w:rPr>
        <w:t>[12]</w:t>
      </w:r>
      <w:r>
        <w:rPr>
          <w:rFonts w:ascii="Times New Roman" w:hAnsi="Times New Roman" w:eastAsia="宋体"/>
          <w:b w:val="0"/>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b w:val="0"/>
          <w:color w:val="000000" w:themeColor="text1"/>
          <w:sz w:val="24"/>
          <w:vertAlign w:val="superscript"/>
          <w14:textFill>
            <w14:solidFill>
              <w14:schemeClr w14:val="tx1"/>
            </w14:solidFill>
          </w14:textFill>
        </w:rPr>
        <w:t>[7]</w:t>
      </w:r>
      <w:r>
        <w:rPr>
          <w:rFonts w:ascii="Times New Roman" w:hAnsi="Times New Roman"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Khalil等</w:t>
            </w:r>
            <w:r>
              <w:rPr>
                <w:rFonts w:ascii="Times New Roman" w:hAnsi="Times New Roman" w:eastAsia="宋体"/>
                <w:b w:val="0"/>
                <w:color w:val="000000" w:themeColor="text1"/>
                <w:sz w:val="24"/>
                <w:vertAlign w:val="superscript"/>
                <w14:textFill>
                  <w14:solidFill>
                    <w14:schemeClr w14:val="tx1"/>
                  </w14:solidFill>
                </w14:textFill>
              </w:rPr>
              <w:t>[1]</w:t>
            </w:r>
            <w:r>
              <w:rPr>
                <w:rFonts w:ascii="Times New Roman" w:hAnsi="Times New Roman" w:eastAsia="宋体"/>
                <w:b w:val="0"/>
                <w:color w:val="000000" w:themeColor="text1"/>
                <w:sz w:val="24"/>
                <w14:textFill>
                  <w14:solidFill>
                    <w14:schemeClr w14:val="tx1"/>
                  </w14:solidFill>
                </w14:textFill>
              </w:rPr>
              <w:t>、Yang等</w:t>
            </w:r>
            <w:r>
              <w:rPr>
                <w:rFonts w:ascii="Times New Roman" w:hAnsi="Times New Roman" w:eastAsia="宋体"/>
                <w:b w:val="0"/>
                <w:color w:val="000000" w:themeColor="text1"/>
                <w:sz w:val="24"/>
                <w:vertAlign w:val="superscript"/>
                <w14:textFill>
                  <w14:solidFill>
                    <w14:schemeClr w14:val="tx1"/>
                  </w14:solidFill>
                </w14:textFill>
              </w:rPr>
              <w:t>[3]</w:t>
            </w:r>
            <w:r>
              <w:rPr>
                <w:rFonts w:ascii="Times New Roman" w:hAnsi="Times New Roman" w:eastAsia="宋体"/>
                <w:b w:val="0"/>
                <w:color w:val="000000" w:themeColor="text1"/>
                <w:sz w:val="24"/>
                <w14:textFill>
                  <w14:solidFill>
                    <w14:schemeClr w14:val="tx1"/>
                  </w14:solidFill>
                </w14:textFill>
              </w:rPr>
              <w:t>、Shi等</w:t>
            </w:r>
            <w:r>
              <w:rPr>
                <w:rFonts w:ascii="Times New Roman" w:hAnsi="Times New Roman"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Lee</w:t>
            </w:r>
            <w:r>
              <w:rPr>
                <w:rFonts w:ascii="Times New Roman" w:hAnsi="Times New Roman" w:eastAsia="宋体"/>
                <w:b w:val="0"/>
                <w:color w:val="000000" w:themeColor="text1"/>
                <w:sz w:val="24"/>
                <w:vertAlign w:val="superscript"/>
                <w14:textFill>
                  <w14:solidFill>
                    <w14:schemeClr w14:val="tx1"/>
                  </w14:solidFill>
                </w14:textFill>
              </w:rPr>
              <w:t>[8]</w:t>
            </w:r>
            <w:r>
              <w:rPr>
                <w:rFonts w:ascii="Times New Roman" w:hAnsi="Times New Roman" w:eastAsia="宋体"/>
                <w:b w:val="0"/>
                <w:color w:val="000000" w:themeColor="text1"/>
                <w:sz w:val="24"/>
                <w14:textFill>
                  <w14:solidFill>
                    <w14:schemeClr w14:val="tx1"/>
                  </w14:solidFill>
                </w14:textFill>
              </w:rPr>
              <w:t>、Hightower</w:t>
            </w:r>
            <w:r>
              <w:rPr>
                <w:rFonts w:ascii="Times New Roman" w:hAnsi="Times New Roman" w:eastAsia="宋体"/>
                <w:b w:val="0"/>
                <w:color w:val="000000" w:themeColor="text1"/>
                <w:sz w:val="24"/>
                <w:vertAlign w:val="superscript"/>
                <w14:textFill>
                  <w14:solidFill>
                    <w14:schemeClr w14:val="tx1"/>
                  </w14:solidFill>
                </w14:textFill>
              </w:rPr>
              <w:t>[9]</w:t>
            </w:r>
            <w:r>
              <w:rPr>
                <w:rFonts w:ascii="Times New Roman" w:hAnsi="Times New Roman" w:eastAsia="宋体"/>
                <w:b w:val="0"/>
                <w:color w:val="000000" w:themeColor="text1"/>
                <w:sz w:val="24"/>
                <w14:textFill>
                  <w14:solidFill>
                    <w14:schemeClr w14:val="tx1"/>
                  </w14:solidFill>
                </w14:textFill>
              </w:rPr>
              <w:t>、Soukup</w:t>
            </w:r>
            <w:r>
              <w:rPr>
                <w:rFonts w:ascii="Times New Roman" w:hAnsi="Times New Roman" w:eastAsia="宋体"/>
                <w:b w:val="0"/>
                <w:color w:val="000000" w:themeColor="text1"/>
                <w:sz w:val="24"/>
                <w:vertAlign w:val="superscript"/>
                <w14:textFill>
                  <w14:solidFill>
                    <w14:schemeClr w14:val="tx1"/>
                  </w14:solidFill>
                </w14:textFill>
              </w:rPr>
              <w:t>[10]</w:t>
            </w:r>
            <w:r>
              <w:rPr>
                <w:rFonts w:ascii="Times New Roman" w:hAnsi="Times New Roman" w:eastAsia="宋体"/>
                <w:b w:val="0"/>
                <w:color w:val="000000" w:themeColor="text1"/>
                <w:sz w:val="24"/>
                <w14:textFill>
                  <w14:solidFill>
                    <w14:schemeClr w14:val="tx1"/>
                  </w14:solidFill>
                </w14:textFill>
              </w:rPr>
              <w:t>、Hadlock</w:t>
            </w:r>
            <w:r>
              <w:rPr>
                <w:rFonts w:ascii="Times New Roman" w:hAnsi="Times New Roman" w:eastAsia="宋体"/>
                <w:b w:val="0"/>
                <w:color w:val="000000" w:themeColor="text1"/>
                <w:sz w:val="24"/>
                <w:vertAlign w:val="superscript"/>
                <w14:textFill>
                  <w14:solidFill>
                    <w14:schemeClr w14:val="tx1"/>
                  </w14:solidFill>
                </w14:textFill>
              </w:rPr>
              <w:t>[11]</w:t>
            </w:r>
            <w:r>
              <w:rPr>
                <w:rFonts w:ascii="Times New Roman" w:hAnsi="Times New Roman" w:eastAsia="宋体"/>
                <w:b w:val="0"/>
                <w:color w:val="000000" w:themeColor="text1"/>
                <w:sz w:val="24"/>
                <w14:textFill>
                  <w14:solidFill>
                    <w14:schemeClr w14:val="tx1"/>
                  </w14:solidFill>
                </w14:textFill>
              </w:rPr>
              <w:t>、Yan和Wong</w:t>
            </w:r>
            <w:r>
              <w:rPr>
                <w:rFonts w:ascii="Times New Roman" w:hAnsi="Times New Roman"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Chen等</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、IPC-2221B</w:t>
            </w:r>
            <w:r>
              <w:rPr>
                <w:rFonts w:ascii="Times New Roman" w:hAnsi="Times New Roman" w:eastAsia="宋体"/>
                <w:b w:val="0"/>
                <w:color w:val="000000" w:themeColor="text1"/>
                <w:sz w:val="24"/>
                <w:vertAlign w:val="superscript"/>
                <w14:textFill>
                  <w14:solidFill>
                    <w14:schemeClr w14:val="tx1"/>
                  </w14:solidFill>
                </w14:textFill>
              </w:rPr>
              <w:t>[13]</w:t>
            </w:r>
            <w:r>
              <w:rPr>
                <w:rFonts w:ascii="Times New Roman" w:hAnsi="Times New Roman" w:eastAsia="宋体"/>
                <w:b w:val="0"/>
                <w:color w:val="000000" w:themeColor="text1"/>
                <w:sz w:val="24"/>
                <w14:textFill>
                  <w14:solidFill>
                    <w14:schemeClr w14:val="tx1"/>
                  </w14:solidFill>
                </w14:textFill>
              </w:rPr>
              <w:t>、IPC-A-600</w:t>
            </w:r>
            <w:r>
              <w:rPr>
                <w:rFonts w:ascii="Times New Roman" w:hAnsi="Times New Roman"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胡木森</w:t>
            </w:r>
            <w:r>
              <w:rPr>
                <w:rFonts w:ascii="Times New Roman" w:hAnsi="Times New Roman"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刘自铭</w:t>
            </w:r>
            <w:r>
              <w:rPr>
                <w:rFonts w:ascii="Times New Roman" w:hAnsi="Times New Roman" w:eastAsia="宋体"/>
                <w:b w:val="0"/>
                <w:color w:val="000000" w:themeColor="text1"/>
                <w:sz w:val="24"/>
                <w:vertAlign w:val="superscript"/>
                <w14:textFill>
                  <w14:solidFill>
                    <w14:schemeClr w14:val="tx1"/>
                  </w14:solidFill>
                </w14:textFill>
              </w:rPr>
              <w:t>[18]</w:t>
            </w:r>
            <w:r>
              <w:rPr>
                <w:rFonts w:ascii="Times New Roman" w:hAnsi="Times New Roman" w:eastAsia="宋体"/>
                <w:b w:val="0"/>
                <w:color w:val="000000" w:themeColor="text1"/>
                <w:sz w:val="24"/>
                <w14:textFill>
                  <w14:solidFill>
                    <w14:schemeClr w14:val="tx1"/>
                  </w14:solidFill>
                </w14:textFill>
              </w:rPr>
              <w:t>、王磊</w:t>
            </w:r>
            <w:r>
              <w:rPr>
                <w:rFonts w:ascii="Times New Roman" w:hAnsi="Times New Roman"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郑杰</w:t>
            </w:r>
            <w:r>
              <w:rPr>
                <w:rFonts w:ascii="Times New Roman" w:hAnsi="Times New Roman" w:eastAsia="宋体"/>
                <w:b w:val="0"/>
                <w:color w:val="000000" w:themeColor="text1"/>
                <w:sz w:val="24"/>
                <w:vertAlign w:val="superscript"/>
                <w14:textFill>
                  <w14:solidFill>
                    <w14:schemeClr w14:val="tx1"/>
                  </w14:solidFill>
                </w14:textFill>
              </w:rPr>
              <w:t>[19]</w:t>
            </w:r>
            <w:r>
              <w:rPr>
                <w:rFonts w:ascii="Times New Roman" w:hAnsi="Times New Roman" w:eastAsia="宋体"/>
                <w:b w:val="0"/>
                <w:color w:val="000000" w:themeColor="text1"/>
                <w:sz w:val="24"/>
                <w14:textFill>
                  <w14:solidFill>
                    <w14:schemeClr w14:val="tx1"/>
                  </w14:solidFill>
                </w14:textFill>
              </w:rPr>
              <w:t>、白胜泷</w:t>
            </w:r>
            <w:r>
              <w:rPr>
                <w:rFonts w:ascii="Times New Roman" w:hAnsi="Times New Roman" w:eastAsia="宋体"/>
                <w:b w:val="0"/>
                <w:color w:val="000000" w:themeColor="text1"/>
                <w:sz w:val="24"/>
                <w:vertAlign w:val="superscript"/>
                <w14:textFill>
                  <w14:solidFill>
                    <w14:schemeClr w14:val="tx1"/>
                  </w14:solidFill>
                </w14:textFill>
              </w:rPr>
              <w:t>[20]</w:t>
            </w:r>
            <w:r>
              <w:rPr>
                <w:rFonts w:ascii="Times New Roman" w:hAnsi="Times New Roman" w:eastAsia="宋体"/>
                <w:b w:val="0"/>
                <w:color w:val="000000" w:themeColor="text1"/>
                <w:sz w:val="24"/>
                <w14:textFill>
                  <w14:solidFill>
                    <w14:schemeClr w14:val="tx1"/>
                  </w14:solidFill>
                </w14:textFill>
              </w:rPr>
              <w:t>、Zhao等</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、Martins</w:t>
            </w:r>
            <w:r>
              <w:rPr>
                <w:rFonts w:ascii="Times New Roman" w:hAnsi="Times New Roman"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PCBCart</w:t>
            </w:r>
            <w:r>
              <w:rPr>
                <w:rFonts w:ascii="Times New Roman" w:hAnsi="Times New Roman" w:eastAsia="宋体"/>
                <w:b w:val="0"/>
                <w:color w:val="000000" w:themeColor="text1"/>
                <w:sz w:val="24"/>
                <w:vertAlign w:val="superscript"/>
                <w14:textFill>
                  <w14:solidFill>
                    <w14:schemeClr w14:val="tx1"/>
                  </w14:solidFill>
                </w14:textFill>
              </w:rPr>
              <w:t>[21]</w:t>
            </w:r>
            <w:r>
              <w:rPr>
                <w:rFonts w:ascii="Times New Roman" w:hAnsi="Times New Roman" w:eastAsia="宋体"/>
                <w:b w:val="0"/>
                <w:color w:val="000000" w:themeColor="text1"/>
                <w:sz w:val="24"/>
                <w14:textFill>
                  <w14:solidFill>
                    <w14:schemeClr w14:val="tx1"/>
                  </w14:solidFill>
                </w14:textFill>
              </w:rPr>
              <w:t>、WellPCB</w:t>
            </w:r>
            <w:r>
              <w:rPr>
                <w:rFonts w:ascii="Times New Roman" w:hAnsi="Times New Roman" w:eastAsia="宋体"/>
                <w:b w:val="0"/>
                <w:color w:val="000000" w:themeColor="text1"/>
                <w:sz w:val="24"/>
                <w:vertAlign w:val="superscript"/>
                <w14:textFill>
                  <w14:solidFill>
                    <w14:schemeClr w14:val="tx1"/>
                  </w14:solidFill>
                </w14:textFill>
              </w:rPr>
              <w:t>[22]</w:t>
            </w:r>
            <w:r>
              <w:rPr>
                <w:rFonts w:ascii="Times New Roman" w:hAnsi="Times New Roman" w:eastAsia="宋体"/>
                <w:b w:val="0"/>
                <w:color w:val="000000" w:themeColor="text1"/>
                <w:sz w:val="24"/>
                <w14:textFill>
                  <w14:solidFill>
                    <w14:schemeClr w14:val="tx1"/>
                  </w14:solidFill>
                </w14:textFill>
              </w:rPr>
              <w:t>、NexPCB</w:t>
            </w:r>
            <w:r>
              <w:rPr>
                <w:rFonts w:ascii="Times New Roman" w:hAnsi="Times New Roman"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构造五类典型案例，与规则基线方案进行对比，分析算法在覆盖率、布通率、面积占比、线长、拥塞和违规数方面的表现。论文第二章介绍理论基础和约束建模，第三章给出布点算法，第四章给出布线与协同优化方法，第五章说明系统实现，第六章分析实验结果，第七章总结全文并展望后续工作。</w:t>
      </w:r>
    </w:p>
    <w:p w14:paraId="539F5370">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before="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将论文正文、C++程序、案例数据、实验指标和可视化结果作为同一毕业设计成果链进行组织。论文正文负责说明理论依据、算法设计和实验结论，程序与CSV/SVG/PNG结果负责支撑可复现实验，公开KiCad案例用于补充参数化仿真的工程来源说明。</w:t>
      </w:r>
    </w:p>
    <w:p w14:paraId="552F687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2381" w:type="dxa"/>
            <w:vAlign w:val="center"/>
          </w:tcPr>
          <w:p w14:paraId="4389ED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2381" w:type="dxa"/>
            <w:vAlign w:val="center"/>
          </w:tcPr>
          <w:p w14:paraId="632ADA6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2381" w:type="dxa"/>
            <w:vAlign w:val="center"/>
          </w:tcPr>
          <w:p w14:paraId="1D5868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2381" w:type="dxa"/>
            <w:vAlign w:val="center"/>
          </w:tcPr>
          <w:p w14:paraId="432DE1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2381" w:type="dxa"/>
            <w:vAlign w:val="center"/>
          </w:tcPr>
          <w:p w14:paraId="700818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2381" w:type="dxa"/>
            <w:vAlign w:val="center"/>
          </w:tcPr>
          <w:p w14:paraId="6DFAE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b w:val="0"/>
          <w:color w:val="000000" w:themeColor="text1"/>
          <w:sz w:val="24"/>
          <w:vertAlign w:val="superscript"/>
          <w14:textFill>
            <w14:solidFill>
              <w14:schemeClr w14:val="tx1"/>
            </w14:solidFill>
          </w14:textFill>
        </w:rPr>
        <w:t>[13-14][21-23]</w:t>
      </w:r>
      <w:r>
        <w:rPr>
          <w:rFonts w:ascii="Times New Roman" w:hAnsi="Times New Roman"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1.8-2.0 mm</w:t>
            </w:r>
          </w:p>
        </w:tc>
        <w:tc>
          <w:tcPr>
            <w:tcW w:w="3061" w:type="dxa"/>
            <w:vAlign w:val="center"/>
          </w:tcPr>
          <w:p w14:paraId="71BD3D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12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 mm</w:t>
            </w:r>
          </w:p>
        </w:tc>
        <w:tc>
          <w:tcPr>
            <w:tcW w:w="3061" w:type="dxa"/>
            <w:vAlign w:val="center"/>
          </w:tcPr>
          <w:p w14:paraId="1CB8E7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用于对比算法质量</w:t>
            </w:r>
          </w:p>
        </w:tc>
      </w:tr>
    </w:tbl>
    <w:p w14:paraId="2C6369BB">
      <w:pPr>
        <w:spacing w:lineRule="exact" w:line="400" w:before="0" w:after="120"/>
        <w:rPr>
          <w:color w:val="000000" w:themeColor="text1"/>
          <w14:textFill>
            <w14:solidFill>
              <w14:schemeClr w14:val="tx1"/>
            </w14:solidFill>
          </w14:textFill>
        </w:rPr>
      </w:pPr>
    </w:p>
    <w:p w14:paraId="736C991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pPr>
        <w:spacing w:lineRule="exact" w:line="400" w:after="120" w:before="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before="0"/>
        <w:ind/>
        <w:jc w:val="center"/>
      </w:pPr>
      <w:r>
        <w:rPr>
          <w:b w:val="0"/>
          <w:sz w:val="24"/>
          <w:rFonts w:eastAsia="宋体" w:ascii="Times New Roman" w:hAnsi="Times New Roman"/>
        </w:rPr>
        <w:t>式（2-1）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before="0"/>
        <w:ind/>
        <w:jc w:val="center"/>
      </w:pPr>
      <w:r>
        <w:rPr>
          <w:b w:val="0"/>
          <w:sz w:val="24"/>
          <w:rFonts w:eastAsia="宋体" w:ascii="Times New Roman" w:hAnsi="Times New Roman"/>
        </w:rPr>
        <w:t>式（2-2）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before="0"/>
        <w:ind/>
        <w:jc w:val="center"/>
      </w:pPr>
      <w:r>
        <w:rPr>
          <w:b w:val="0"/>
          <w:sz w:val="24"/>
          <w:rFonts w:eastAsia="宋体" w:ascii="Times New Roman" w:hAnsi="Times New Roman"/>
        </w:rPr>
        <w:t>式（2-3）</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before="0"/>
        <w:ind/>
        <w:jc w:val="center"/>
      </w:pPr>
      <w:r>
        <w:rPr>
          <w:b w:val="0"/>
          <w:sz w:val="24"/>
          <w:rFonts w:eastAsia="宋体" w:ascii="Times New Roman" w:hAnsi="Times New Roman"/>
        </w:rPr>
        <w:t>式（2-4）</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before="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并在A*搜索和拥塞重布线时对其赋予更高代价。</w:t>
      </w:r>
    </w:p>
    <w:p w14:paraId="0EB062E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后续多层合法化模块</w:t>
            </w:r>
          </w:p>
        </w:tc>
      </w:tr>
    </w:tbl>
    <w:p w14:paraId="5FADF39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b w:val="0"/>
          <w:color w:val="000000" w:themeColor="text1"/>
          <w:sz w:val="24"/>
          <w:vertAlign w:val="superscript"/>
          <w14:textFill>
            <w14:solidFill>
              <w14:schemeClr w14:val="tx1"/>
            </w14:solidFill>
          </w14:textFill>
        </w:rPr>
        <w:t>[2][6-7][12]</w:t>
      </w:r>
      <w:r>
        <w:rPr>
          <w:rFonts w:ascii="Times New Roman" w:hAnsi="Times New Roman" w:eastAsia="宋体"/>
          <w:b w:val="0"/>
          <w:color w:val="000000" w:themeColor="text1"/>
          <w:sz w:val="24"/>
          <w14:textFill>
            <w14:solidFill>
              <w14:schemeClr w14:val="tx1"/>
            </w14:solidFill>
          </w14:textFill>
        </w:rPr>
        <w:t>。</w:t>
      </w:r>
    </w:p>
    <w:p w14:paraId="49E2359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便于后续A*布线使用同一坐标系统。为避免测试点靠近板边导致探针接触不稳定，候选点生成时保留一定边界余量；为避免障碍边缘产生潜在工艺冲突，障碍矩形按照线距参数进行外扩后再进行过滤。</w:t>
      </w:r>
    </w:p>
    <w:p w14:paraId="5E06443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Rule="exact" w:line="400"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3-1 布点布线协同优化流程</w:t>
      </w:r>
    </w:p>
    <w:p w14:paraId="37770F2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before="0"/>
        <w:ind/>
        <w:jc w:val="center"/>
      </w:pPr>
      <w:r>
        <w:rPr>
          <w:b w:val="0"/>
          <w:sz w:val="24"/>
          <w:rFonts w:eastAsia="宋体" w:ascii="Times New Roman" w:hAnsi="Times New Roman"/>
        </w:rPr>
        <w:t>式（3-1）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before="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before="0"/>
        <w:ind/>
        <w:jc w:val="center"/>
      </w:pPr>
      <w:r>
        <w:rPr>
          <w:b w:val="0"/>
          <w:sz w:val="24"/>
          <w:rFonts w:eastAsia="宋体" w:ascii="Times New Roman" w:hAnsi="Times New Roman"/>
        </w:rPr>
        <w:t>式（4-1）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before="0"/>
        <w:ind/>
        <w:jc w:val="center"/>
      </w:pPr>
      <w:r>
        <w:rPr>
          <w:b w:val="0"/>
          <w:sz w:val="24"/>
          <w:rFonts w:eastAsia="宋体" w:ascii="Times New Roman" w:hAnsi="Times New Roman"/>
        </w:rPr>
        <w:t>式（4-2）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before="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A*布线</w:t>
            </w:r>
          </w:p>
        </w:tc>
        <w:tc>
          <w:tcPr>
            <w:tcW w:w="2268" w:type="dxa"/>
            <w:vAlign w:val="center"/>
          </w:tcPr>
          <w:p w14:paraId="73DC4C8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支撑论文实验分析</w:t>
            </w:r>
          </w:p>
        </w:tc>
      </w:tr>
    </w:tbl>
    <w:p w14:paraId="6D92D0B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算法原型采用C++17标准实现，未引入Qt等图形界面依赖，以命令行方式保证跨平台可构建性和答辩演示便利性。工程包含CMakeLists.txt和Makefile两种构建入口；在当前macOS环境中，由于未安装CMake，使用Apple clang和Makefile完成了实际编译验证。程序入口参数固定为“--case 案例文件 --out 输出目录”，案例文件采用简单CSV键值格式描述引脚数量、尾板尺寸、金手指间距、网格步长、最小测试点间距和障碍区域。</w:t>
      </w:r>
    </w:p>
    <w:p w14:paraId="5CFE9E3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README.md</w:t>
            </w:r>
          </w:p>
        </w:tc>
        <w:tc>
          <w:tcPr>
            <w:tcW w:w="2268" w:type="dxa"/>
            <w:vAlign w:val="center"/>
          </w:tcPr>
          <w:p w14:paraId="545EDC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记录构建命令、运行命令和输出文件含义</w:t>
            </w:r>
          </w:p>
        </w:tc>
      </w:tr>
    </w:tbl>
    <w:p w14:paraId="100FF487">
      <w:pPr>
        <w:spacing w:lineRule="exact" w:line="400" w:before="0" w:after="120"/>
        <w:rPr>
          <w:color w:val="000000" w:themeColor="text1"/>
          <w14:textFill>
            <w14:solidFill>
              <w14:schemeClr w14:val="tx1"/>
            </w14:solidFill>
          </w14:textFill>
        </w:rPr>
      </w:pPr>
    </w:p>
    <w:p w14:paraId="7CE2D4D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before="0"/>
        <w:ind/>
        <w:jc w:val="center"/>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模块</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核心函数/流程</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对应指标</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案例解析</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case.csv / KiCad抽取参数</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read_scenario</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Scenario</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引脚数、尾板尺寸</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候选生成</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规则库、障碍区、网格步长</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generate_candidates</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候选点集合</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覆盖率、违规数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布点优化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金手指坐标、候选点</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place_optimized / place_pso_hanan</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placement.csv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面积占比、点间距</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布线搜索</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端子、测试点、障碍区</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astar / route_all</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routes.csv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布通率、总线长</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拥塞重布线</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初次路径、拥塞矩阵</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route_all_congestion_aware</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优化路径</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拥塞峰值、拥挤网格数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结果导出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Solution、Metrics</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write_csvs / write_svg</w:t>
            </w:r>
          </w:p>
        </w:tc>
        <w:tc>
          <w:tcPr>
            <w:tcW w:type="dxa" w:w="1474"/>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metrics.csv、SVG/PNG</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论文图表</w:t>
            </w:r>
          </w:p>
        </w:tc>
      </w:tr>
    </w:tbl>
    <w:p>
      <w:pPr>
        <w:spacing w:after="120" w:lineRule="exact" w:line="400" w:before="0"/>
      </w:pPr>
    </w:p>
    <w:p>
      <w:pPr>
        <w:spacing w:lineRule="exact" w:line="400" w:after="120" w:before="0"/>
        <w:ind/>
        <w:jc w:val="center"/>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阶段</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输入文件</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处理结果</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输出文件</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论文用途</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案例准备</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公开.kicad_pcb / 参数化CSV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抽取金手指数量、间距和障碍</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data/*.csv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实验条件说明</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算法运行</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case.csv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生成布点、布线和指标</w:t>
            </w:r>
          </w:p>
        </w:tc>
        <w:tc>
          <w:tcPr>
            <w:tcW w:type="dxa" w:w="187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placement.csv、routes.csv、metrics.csv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指标表</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可视化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路径与测试点坐标</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绘制尾板布局</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layout_*.svg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布线成果图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KiCad对比</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原始公开PCB</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 CLI导出原图并拼接</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comparison_*.png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公开案例截图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论文汇总</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summary.csv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筛选基线与设计算法</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表6-4、图6-4</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量化结论</w:t>
            </w:r>
          </w:p>
        </w:tc>
      </w:tr>
    </w:tbl>
    <w:p>
      <w:pPr>
        <w:spacing w:after="120" w:lineRule="exact" w:line="400" w:before="0"/>
      </w:pPr>
    </w:p>
    <w:p w14:paraId="43F9AC5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14:paraId="76A43DA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5.4 文献支撑下的代码模块对应关系</w:t>
      </w:r>
    </w:p>
    <w:p w14:paraId="03133F6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于受企业真实PCB设计文件获取条件限制，本文按照开题报告和阶段性报告确定的研究方向，结合金手指制造资料、PCB可测性设计资料以及相关文献中的高密度、障碍、拥塞和面积受限场景，构造五组具有代表性的参数化案例进行仿真实验[13-23]。案例一为40 pin低密度金手指，主要验证算法基本功能；案例二为80 pin中密度金手指，验证常规规模下的面积和线长优化；案例三为120 pin高密度金手指，验证端子密集时的布点能力；案例四加入两个矩形障碍区域，验证绕障能力；案例五压缩尾板面积并加入障碍，模拟面积受限场景。所有实验均由同一C++程序生成结果，未手工调整输出数据。</w:t>
      </w:r>
    </w:p>
    <w:p w14:paraId="62ABA26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964" w:type="dxa"/>
            <w:vAlign w:val="center"/>
          </w:tcPr>
          <w:p w14:paraId="0D40C1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w:t>
            </w:r>
          </w:p>
        </w:tc>
        <w:tc>
          <w:tcPr>
            <w:tcW w:w="1134" w:type="dxa"/>
            <w:vAlign w:val="center"/>
          </w:tcPr>
          <w:p w14:paraId="301A66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w:t>
            </w:r>
          </w:p>
        </w:tc>
        <w:tc>
          <w:tcPr>
            <w:tcW w:w="1134" w:type="dxa"/>
            <w:vAlign w:val="center"/>
          </w:tcPr>
          <w:p w14:paraId="5DC4B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42</w:t>
            </w:r>
          </w:p>
        </w:tc>
        <w:tc>
          <w:tcPr>
            <w:tcW w:w="1134" w:type="dxa"/>
            <w:vAlign w:val="center"/>
          </w:tcPr>
          <w:p w14:paraId="7D9B526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1.27</w:t>
            </w:r>
          </w:p>
        </w:tc>
        <w:tc>
          <w:tcPr>
            <w:tcW w:w="2835" w:type="dxa"/>
            <w:vAlign w:val="center"/>
          </w:tcPr>
          <w:p w14:paraId="29F7F5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964" w:type="dxa"/>
            <w:vAlign w:val="center"/>
          </w:tcPr>
          <w:p w14:paraId="731F5F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80</w:t>
            </w:r>
          </w:p>
        </w:tc>
        <w:tc>
          <w:tcPr>
            <w:tcW w:w="1134" w:type="dxa"/>
            <w:vAlign w:val="center"/>
          </w:tcPr>
          <w:p w14:paraId="47F0D0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42B08BD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w:t>
            </w:r>
          </w:p>
        </w:tc>
        <w:tc>
          <w:tcPr>
            <w:tcW w:w="1134" w:type="dxa"/>
            <w:vAlign w:val="center"/>
          </w:tcPr>
          <w:p w14:paraId="72C5A1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0.8</w:t>
            </w:r>
          </w:p>
        </w:tc>
        <w:tc>
          <w:tcPr>
            <w:tcW w:w="2835" w:type="dxa"/>
            <w:vAlign w:val="center"/>
          </w:tcPr>
          <w:p w14:paraId="302030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964" w:type="dxa"/>
            <w:vAlign w:val="center"/>
          </w:tcPr>
          <w:p w14:paraId="552B9E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120</w:t>
            </w:r>
          </w:p>
        </w:tc>
        <w:tc>
          <w:tcPr>
            <w:tcW w:w="1134" w:type="dxa"/>
            <w:vAlign w:val="center"/>
          </w:tcPr>
          <w:p w14:paraId="225B73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110</w:t>
            </w:r>
          </w:p>
        </w:tc>
        <w:tc>
          <w:tcPr>
            <w:tcW w:w="1134" w:type="dxa"/>
            <w:vAlign w:val="center"/>
          </w:tcPr>
          <w:p w14:paraId="6006D4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54</w:t>
            </w:r>
          </w:p>
        </w:tc>
        <w:tc>
          <w:tcPr>
            <w:tcW w:w="1134" w:type="dxa"/>
            <w:vAlign w:val="center"/>
          </w:tcPr>
          <w:p w14:paraId="1BB787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3E9F09C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964" w:type="dxa"/>
            <w:vAlign w:val="center"/>
          </w:tcPr>
          <w:p w14:paraId="7B35EBE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6872E4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w:t>
            </w:r>
          </w:p>
        </w:tc>
        <w:tc>
          <w:tcPr>
            <w:tcW w:w="1134" w:type="dxa"/>
            <w:vAlign w:val="center"/>
          </w:tcPr>
          <w:p w14:paraId="3A5B4CA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w:t>
            </w:r>
          </w:p>
        </w:tc>
        <w:tc>
          <w:tcPr>
            <w:tcW w:w="1134" w:type="dxa"/>
            <w:vAlign w:val="center"/>
          </w:tcPr>
          <w:p w14:paraId="2B33CA3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0.75</w:t>
            </w:r>
          </w:p>
        </w:tc>
        <w:tc>
          <w:tcPr>
            <w:tcW w:w="2835" w:type="dxa"/>
            <w:vAlign w:val="center"/>
          </w:tcPr>
          <w:p w14:paraId="379707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964" w:type="dxa"/>
            <w:vAlign w:val="center"/>
          </w:tcPr>
          <w:p w14:paraId="1F95D8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w:t>
            </w:r>
          </w:p>
        </w:tc>
        <w:tc>
          <w:tcPr>
            <w:tcW w:w="1134" w:type="dxa"/>
            <w:vAlign w:val="center"/>
          </w:tcPr>
          <w:p w14:paraId="138C126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82</w:t>
            </w:r>
          </w:p>
        </w:tc>
        <w:tc>
          <w:tcPr>
            <w:tcW w:w="1134" w:type="dxa"/>
            <w:vAlign w:val="center"/>
          </w:tcPr>
          <w:p w14:paraId="556AB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w:t>
            </w:r>
          </w:p>
        </w:tc>
        <w:tc>
          <w:tcPr>
            <w:tcW w:w="1134" w:type="dxa"/>
            <w:vAlign w:val="center"/>
          </w:tcPr>
          <w:p w14:paraId="7E1F949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06CB1E4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30:12:42:23</w:t>
            </w:r>
          </w:p>
        </w:tc>
      </w:tr>
    </w:tbl>
    <w:p w14:paraId="35BFF4DA">
      <w:pPr>
        <w:spacing w:lineRule="exact" w:line="400" w:before="0" w:after="120"/>
        <w:rPr>
          <w:color w:val="000000" w:themeColor="text1"/>
          <w14:textFill>
            <w14:solidFill>
              <w14:schemeClr w14:val="tx1"/>
            </w14:solidFill>
          </w14:textFill>
        </w:rPr>
      </w:pPr>
    </w:p>
    <w:p w14:paraId="6598E579">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C6F03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B8413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48.15</w:t>
            </w:r>
          </w:p>
        </w:tc>
        <w:tc>
          <w:tcPr>
            <w:tcW w:w="1134" w:type="dxa"/>
            <w:vAlign w:val="center"/>
          </w:tcPr>
          <w:p w14:paraId="4F3A89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816.00</w:t>
            </w:r>
          </w:p>
        </w:tc>
        <w:tc>
          <w:tcPr>
            <w:tcW w:w="1020" w:type="dxa"/>
            <w:vAlign w:val="center"/>
          </w:tcPr>
          <w:p w14:paraId="3D429C4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1020" w:type="dxa"/>
            <w:vAlign w:val="center"/>
          </w:tcPr>
          <w:p w14:paraId="4A416D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c>
          <w:tcPr>
            <w:tcW w:w="794" w:type="dxa"/>
            <w:vAlign w:val="center"/>
          </w:tcPr>
          <w:p w14:paraId="5977F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61847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3CA49C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ECC2F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9.05</w:t>
            </w:r>
          </w:p>
        </w:tc>
        <w:tc>
          <w:tcPr>
            <w:tcW w:w="1134" w:type="dxa"/>
            <w:vAlign w:val="center"/>
          </w:tcPr>
          <w:p w14:paraId="7B9E63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345.00</w:t>
            </w:r>
          </w:p>
        </w:tc>
        <w:tc>
          <w:tcPr>
            <w:tcW w:w="1020" w:type="dxa"/>
            <w:vAlign w:val="center"/>
          </w:tcPr>
          <w:p w14:paraId="16398F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154E34E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64</w:t>
            </w:r>
          </w:p>
        </w:tc>
        <w:tc>
          <w:tcPr>
            <w:tcW w:w="794" w:type="dxa"/>
            <w:vAlign w:val="center"/>
          </w:tcPr>
          <w:p w14:paraId="25F2ED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607DC3D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ABB70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900AE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19833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323.00</w:t>
            </w:r>
          </w:p>
        </w:tc>
        <w:tc>
          <w:tcPr>
            <w:tcW w:w="1020" w:type="dxa"/>
            <w:vAlign w:val="center"/>
          </w:tcPr>
          <w:p w14:paraId="264AD7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374D5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7E9E81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08B7C1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BDB9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945BF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327.00</w:t>
            </w:r>
          </w:p>
        </w:tc>
        <w:tc>
          <w:tcPr>
            <w:tcW w:w="1020" w:type="dxa"/>
            <w:vAlign w:val="center"/>
          </w:tcPr>
          <w:p w14:paraId="419621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06CD3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099190B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4B363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7F29AE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58.33</w:t>
            </w:r>
          </w:p>
        </w:tc>
        <w:tc>
          <w:tcPr>
            <w:tcW w:w="1134" w:type="dxa"/>
            <w:vAlign w:val="center"/>
          </w:tcPr>
          <w:p w14:paraId="3EE398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1940.00</w:t>
            </w:r>
          </w:p>
        </w:tc>
        <w:tc>
          <w:tcPr>
            <w:tcW w:w="1020" w:type="dxa"/>
            <w:vAlign w:val="center"/>
          </w:tcPr>
          <w:p w14:paraId="73D671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87259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378</w:t>
            </w:r>
          </w:p>
        </w:tc>
        <w:tc>
          <w:tcPr>
            <w:tcW w:w="794" w:type="dxa"/>
            <w:vAlign w:val="center"/>
          </w:tcPr>
          <w:p w14:paraId="559B58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78BD0C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55FC5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30487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12.15</w:t>
            </w:r>
          </w:p>
        </w:tc>
        <w:tc>
          <w:tcPr>
            <w:tcW w:w="1134" w:type="dxa"/>
            <w:vAlign w:val="center"/>
          </w:tcPr>
          <w:p w14:paraId="29A1BB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774.00</w:t>
            </w:r>
          </w:p>
        </w:tc>
        <w:tc>
          <w:tcPr>
            <w:tcW w:w="1020" w:type="dxa"/>
            <w:vAlign w:val="center"/>
          </w:tcPr>
          <w:p w14:paraId="7EF0E5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4A8ED3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237</w:t>
            </w:r>
          </w:p>
        </w:tc>
        <w:tc>
          <w:tcPr>
            <w:tcW w:w="794" w:type="dxa"/>
            <w:vAlign w:val="center"/>
          </w:tcPr>
          <w:p w14:paraId="674CC9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1DADE3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188A04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FB7E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466DB0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723.00</w:t>
            </w:r>
          </w:p>
        </w:tc>
        <w:tc>
          <w:tcPr>
            <w:tcW w:w="1020" w:type="dxa"/>
            <w:vAlign w:val="center"/>
          </w:tcPr>
          <w:p w14:paraId="6BCF0E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EEDCF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255</w:t>
            </w:r>
          </w:p>
        </w:tc>
        <w:tc>
          <w:tcPr>
            <w:tcW w:w="794" w:type="dxa"/>
            <w:vAlign w:val="center"/>
          </w:tcPr>
          <w:p w14:paraId="66F93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0353B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EB1D0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15A802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763.00</w:t>
            </w:r>
          </w:p>
        </w:tc>
        <w:tc>
          <w:tcPr>
            <w:tcW w:w="1020" w:type="dxa"/>
            <w:vAlign w:val="center"/>
          </w:tcPr>
          <w:p w14:paraId="7471E75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5220C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185</w:t>
            </w:r>
          </w:p>
        </w:tc>
        <w:tc>
          <w:tcPr>
            <w:tcW w:w="794" w:type="dxa"/>
            <w:vAlign w:val="center"/>
          </w:tcPr>
          <w:p w14:paraId="67A84E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781E90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98D23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63.00</w:t>
            </w:r>
          </w:p>
        </w:tc>
        <w:tc>
          <w:tcPr>
            <w:tcW w:w="1134" w:type="dxa"/>
            <w:vAlign w:val="center"/>
          </w:tcPr>
          <w:p w14:paraId="0784CE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3240.00</w:t>
            </w:r>
          </w:p>
        </w:tc>
        <w:tc>
          <w:tcPr>
            <w:tcW w:w="1020" w:type="dxa"/>
            <w:vAlign w:val="center"/>
          </w:tcPr>
          <w:p w14:paraId="1A6B7E4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03449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1076</w:t>
            </w:r>
          </w:p>
        </w:tc>
        <w:tc>
          <w:tcPr>
            <w:tcW w:w="794" w:type="dxa"/>
            <w:vAlign w:val="center"/>
          </w:tcPr>
          <w:p w14:paraId="1AAC76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1131C8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595B865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58018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15.32</w:t>
            </w:r>
          </w:p>
        </w:tc>
        <w:tc>
          <w:tcPr>
            <w:tcW w:w="1134" w:type="dxa"/>
            <w:vAlign w:val="center"/>
          </w:tcPr>
          <w:p w14:paraId="529A105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1247.00</w:t>
            </w:r>
          </w:p>
        </w:tc>
        <w:tc>
          <w:tcPr>
            <w:tcW w:w="1020" w:type="dxa"/>
            <w:vAlign w:val="center"/>
          </w:tcPr>
          <w:p w14:paraId="741704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578239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381</w:t>
            </w:r>
          </w:p>
        </w:tc>
        <w:tc>
          <w:tcPr>
            <w:tcW w:w="794" w:type="dxa"/>
            <w:vAlign w:val="center"/>
          </w:tcPr>
          <w:p w14:paraId="43B725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006FFA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061D6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36E84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00109C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1128.00</w:t>
            </w:r>
          </w:p>
        </w:tc>
        <w:tc>
          <w:tcPr>
            <w:tcW w:w="1020" w:type="dxa"/>
            <w:vAlign w:val="center"/>
          </w:tcPr>
          <w:p w14:paraId="7C5EC1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24C25D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390</w:t>
            </w:r>
          </w:p>
        </w:tc>
        <w:tc>
          <w:tcPr>
            <w:tcW w:w="794" w:type="dxa"/>
            <w:vAlign w:val="center"/>
          </w:tcPr>
          <w:p w14:paraId="1A34CB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60EF9A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F95D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1DD23A9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1210.00</w:t>
            </w:r>
          </w:p>
        </w:tc>
        <w:tc>
          <w:tcPr>
            <w:tcW w:w="1020" w:type="dxa"/>
            <w:vAlign w:val="center"/>
          </w:tcPr>
          <w:p w14:paraId="1A074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D45F6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416</w:t>
            </w:r>
          </w:p>
        </w:tc>
        <w:tc>
          <w:tcPr>
            <w:tcW w:w="794" w:type="dxa"/>
            <w:vAlign w:val="center"/>
          </w:tcPr>
          <w:p w14:paraId="3A72D2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02F48A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84.38</w:t>
            </w:r>
          </w:p>
        </w:tc>
        <w:tc>
          <w:tcPr>
            <w:tcW w:w="1020" w:type="dxa"/>
            <w:vAlign w:val="center"/>
          </w:tcPr>
          <w:p w14:paraId="135EBB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60.64</w:t>
            </w:r>
          </w:p>
        </w:tc>
        <w:tc>
          <w:tcPr>
            <w:tcW w:w="1134" w:type="dxa"/>
            <w:vAlign w:val="center"/>
          </w:tcPr>
          <w:p w14:paraId="500AE4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2249.00</w:t>
            </w:r>
          </w:p>
        </w:tc>
        <w:tc>
          <w:tcPr>
            <w:tcW w:w="1020" w:type="dxa"/>
            <w:vAlign w:val="center"/>
          </w:tcPr>
          <w:p w14:paraId="41DD5E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w:t>
            </w:r>
          </w:p>
        </w:tc>
        <w:tc>
          <w:tcPr>
            <w:tcW w:w="1020" w:type="dxa"/>
            <w:vAlign w:val="center"/>
          </w:tcPr>
          <w:p w14:paraId="00F14A1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531</w:t>
            </w:r>
          </w:p>
        </w:tc>
        <w:tc>
          <w:tcPr>
            <w:tcW w:w="794" w:type="dxa"/>
            <w:vAlign w:val="center"/>
          </w:tcPr>
          <w:p w14:paraId="04E6ED0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4B861A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09E52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2408C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14.84</w:t>
            </w:r>
          </w:p>
        </w:tc>
        <w:tc>
          <w:tcPr>
            <w:tcW w:w="1134" w:type="dxa"/>
            <w:vAlign w:val="center"/>
          </w:tcPr>
          <w:p w14:paraId="008A777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972.00</w:t>
            </w:r>
          </w:p>
        </w:tc>
        <w:tc>
          <w:tcPr>
            <w:tcW w:w="1020" w:type="dxa"/>
            <w:vAlign w:val="center"/>
          </w:tcPr>
          <w:p w14:paraId="7446B8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7431CC1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318</w:t>
            </w:r>
          </w:p>
        </w:tc>
        <w:tc>
          <w:tcPr>
            <w:tcW w:w="794" w:type="dxa"/>
            <w:vAlign w:val="center"/>
          </w:tcPr>
          <w:p w14:paraId="064B83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1F12E8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2150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16F76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75B5FE1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858.00</w:t>
            </w:r>
          </w:p>
        </w:tc>
        <w:tc>
          <w:tcPr>
            <w:tcW w:w="1020" w:type="dxa"/>
            <w:vAlign w:val="center"/>
          </w:tcPr>
          <w:p w14:paraId="62F341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71526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w:t>
            </w:r>
          </w:p>
        </w:tc>
        <w:tc>
          <w:tcPr>
            <w:tcW w:w="794" w:type="dxa"/>
            <w:vAlign w:val="center"/>
          </w:tcPr>
          <w:p w14:paraId="1A8553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228CDD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55EDF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6C1012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908.00</w:t>
            </w:r>
          </w:p>
        </w:tc>
        <w:tc>
          <w:tcPr>
            <w:tcW w:w="1020" w:type="dxa"/>
            <w:vAlign w:val="center"/>
          </w:tcPr>
          <w:p w14:paraId="140204E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8E4CA4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244</w:t>
            </w:r>
          </w:p>
        </w:tc>
        <w:tc>
          <w:tcPr>
            <w:tcW w:w="794" w:type="dxa"/>
            <w:vAlign w:val="center"/>
          </w:tcPr>
          <w:p w14:paraId="1DFACF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417DB4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89.00</w:t>
            </w:r>
          </w:p>
        </w:tc>
        <w:tc>
          <w:tcPr>
            <w:tcW w:w="1020" w:type="dxa"/>
            <w:vAlign w:val="center"/>
          </w:tcPr>
          <w:p w14:paraId="745620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65.81</w:t>
            </w:r>
          </w:p>
        </w:tc>
        <w:tc>
          <w:tcPr>
            <w:tcW w:w="1134" w:type="dxa"/>
            <w:vAlign w:val="center"/>
          </w:tcPr>
          <w:p w14:paraId="675C25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1827.00</w:t>
            </w:r>
          </w:p>
        </w:tc>
        <w:tc>
          <w:tcPr>
            <w:tcW w:w="1020" w:type="dxa"/>
            <w:vAlign w:val="center"/>
          </w:tcPr>
          <w:p w14:paraId="58148B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1020" w:type="dxa"/>
            <w:vAlign w:val="center"/>
          </w:tcPr>
          <w:p w14:paraId="0FB010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587</w:t>
            </w:r>
          </w:p>
        </w:tc>
        <w:tc>
          <w:tcPr>
            <w:tcW w:w="794" w:type="dxa"/>
            <w:vAlign w:val="center"/>
          </w:tcPr>
          <w:p w14:paraId="7C118E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5D589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E3FA5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BB316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26.12</w:t>
            </w:r>
          </w:p>
        </w:tc>
        <w:tc>
          <w:tcPr>
            <w:tcW w:w="1134" w:type="dxa"/>
            <w:vAlign w:val="center"/>
          </w:tcPr>
          <w:p w14:paraId="5ADAA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1059.00</w:t>
            </w:r>
          </w:p>
        </w:tc>
        <w:tc>
          <w:tcPr>
            <w:tcW w:w="1020" w:type="dxa"/>
            <w:vAlign w:val="center"/>
          </w:tcPr>
          <w:p w14:paraId="007797B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02455C0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364</w:t>
            </w:r>
          </w:p>
        </w:tc>
        <w:tc>
          <w:tcPr>
            <w:tcW w:w="794" w:type="dxa"/>
            <w:vAlign w:val="center"/>
          </w:tcPr>
          <w:p w14:paraId="084FC0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65BF87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5F8B43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2E52EA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7B9FD5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951.00</w:t>
            </w:r>
          </w:p>
        </w:tc>
        <w:tc>
          <w:tcPr>
            <w:tcW w:w="1020" w:type="dxa"/>
            <w:vAlign w:val="center"/>
          </w:tcPr>
          <w:p w14:paraId="552CA0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6217477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304</w:t>
            </w:r>
          </w:p>
        </w:tc>
        <w:tc>
          <w:tcPr>
            <w:tcW w:w="794" w:type="dxa"/>
            <w:vAlign w:val="center"/>
          </w:tcPr>
          <w:p w14:paraId="57992D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695D1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2E9E1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60497C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985.00</w:t>
            </w:r>
          </w:p>
        </w:tc>
        <w:tc>
          <w:tcPr>
            <w:tcW w:w="1020" w:type="dxa"/>
            <w:vAlign w:val="center"/>
          </w:tcPr>
          <w:p w14:paraId="6E1C46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7687A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337</w:t>
            </w:r>
          </w:p>
        </w:tc>
        <w:tc>
          <w:tcPr>
            <w:tcW w:w="794" w:type="dxa"/>
            <w:vAlign w:val="center"/>
          </w:tcPr>
          <w:p w14:paraId="0A5124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bl>
    <w:p w14:paraId="71627002">
      <w:pPr>
        <w:spacing w:lineRule="exact" w:line="400" w:before="0" w:after="120"/>
        <w:rPr>
          <w:color w:val="000000" w:themeColor="text1"/>
          <w14:textFill>
            <w14:solidFill>
              <w14:schemeClr w14:val="tx1"/>
            </w14:solidFill>
          </w14:textFill>
        </w:rPr>
      </w:pPr>
    </w:p>
    <w:p w14:paraId="5023B1E9">
      <w:pPr>
        <w:spacing w:line="400" w:lineRule="exact" w:before="0" w:after="120"/>
        <w:jc w:val="both"/>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6-1 尾板面积占比对比</w:t>
      </w:r>
    </w:p>
    <w:p w14:paraId="7ECF6810">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6-2 总线长对比</w:t>
      </w:r>
    </w:p>
    <w:p w14:paraId="58BE7C6E">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6-3 拥挤网格数量对比</w:t>
      </w:r>
    </w:p>
    <w:p>
      <w:pPr>
        <w:pStyle w:val="4"/>
        <w:pageBreakBefore/>
        <w:spacing w:lineRule="exact" w:line="400" w:after="120" w:before="200"/>
        <w:ind w:firstLine="420"/>
        <w:jc w:val="left"/>
      </w:pPr>
      <w:r>
        <w:rPr>
          <w:b/>
          <w:sz w:val="32"/>
          <w:rFonts w:eastAsia="黑体" w:ascii="Times New Roman" w:hAnsi="Times New Roman"/>
        </w:rPr>
        <w:t>6.3 公开 KiCad 案例对比实验</w:t>
      </w:r>
    </w:p>
    <w:p>
      <w:pPr>
        <w:spacing w:lineRule="exact" w:line="400" w:after="120" w:before="0"/>
        <w:ind w:firstLine="420"/>
      </w:pPr>
      <w:r>
        <w:rPr>
          <w:b w:val="0"/>
          <w:sz w:val="24"/>
          <w:rFonts w:eastAsia="宋体" w:ascii="Times New Roman" w:hAnsi="Times New Roman"/>
        </w:rPr>
        <w:t>为进一步提高实验数据的工程可解释性，本文在五组参数化仿真实验之外，补充公开KiCad项目案例化验证。实验脚本优先调用KiCad CLI导出原始PCB板图，并从.kicad_pcb文本中抽取连接器或金手指类封装的引脚数量、代表间距和障碍压力，再运行同一C++布点布线程序。当前环境检测到KiCad CLI版本为10.0.2，导出状态均为kicad_cli。</w:t>
      </w:r>
    </w:p>
    <w:p>
      <w:pPr>
        <w:spacing w:lineRule="exact" w:line="400" w:after="120" w:before="0"/>
        <w:ind/>
        <w:jc w:val="center"/>
      </w:pPr>
      <w:r>
        <w:rPr>
          <w:b w:val="0"/>
          <w:sz w:val="24"/>
          <w:rFonts w:eastAsia="宋体" w:ascii="Times New Roman" w:hAnsi="Times New Roman"/>
        </w:rPr>
        <w:t>表 6-4 公开KiCad案例人工/规则基线与设计算法对比</w:t>
      </w:r>
    </w:p>
    <w:tbl>
      <w:tblPr>
        <w:tblStyle w:val="33"/>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基线布通/%</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算法布通/%</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基线面积/%</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算法面积/%</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基线违规</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算法违规</w:t>
            </w:r>
          </w:p>
        </w:tc>
      </w:tr>
      <w:t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PCIeTest</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64</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82.81</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100.00</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51.50</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30.16</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11</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0</w:t>
            </w:r>
          </w:p>
        </w:tc>
      </w:tr>
      <w:t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Pi5-PCIe</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36</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91.67</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100.00</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40.83</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6.80</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0</w:t>
            </w:r>
          </w:p>
        </w:tc>
      </w:tr>
      <w:t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Pi5-M2</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69</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62.32</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73.91</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75.66</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40.23</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26</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18</w:t>
            </w:r>
          </w:p>
        </w:tc>
      </w:tr>
      <w:tr>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PCIe-Aux</w:t>
            </w:r>
          </w:p>
        </w:tc>
        <w:tc>
          <w:tcPr>
            <w:tcW w:type="dxa" w:w="68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36</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80.56</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100.00</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32.94</w:t>
            </w:r>
          </w:p>
        </w:tc>
        <w:tc>
          <w:tcPr>
            <w:tcW w:type="dxa" w:w="107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12.39</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7</w:t>
            </w:r>
          </w:p>
        </w:tc>
        <w:tc>
          <w:tcPr>
            <w:tcW w:type="dxa" w:w="85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0</w:t>
            </w:r>
          </w:p>
        </w:tc>
      </w:tr>
    </w:tbl>
    <w:p>
      <w:pPr>
        <w:spacing w:after="120" w:lineRule="exact" w:line="400" w:before="0"/>
      </w:pPr>
    </w:p>
    <w:p>
      <w:pPr>
        <w:pageBreakBefore/>
        <w:spacing w:lineRule="exact" w:line="400" w:after="120" w:before="0"/>
        <w:ind/>
        <w:jc w:val="center"/>
      </w:pPr>
      <w:r>
        <w:rPr>
          <w:b w:val="0"/>
          <w:sz w:val="24"/>
          <w:rFonts w:eastAsia="宋体" w:ascii="Times New Roman" w:hAnsi="Times New Roman"/>
        </w:rPr>
        <w:t>图 6-4 公开KiCad案例原始PCB、规则基线与设计算法对比</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5580000" cy="5695448"/>
            <wp:docPr id="12" name="Picture 12"/>
            <wp:cNvGraphicFramePr>
              <a:graphicFrameLocks noChangeAspect="1"/>
            </wp:cNvGraphicFramePr>
            <a:graphic>
              <a:graphicData uri="http://schemas.openxmlformats.org/drawingml/2006/picture">
                <pic:pic>
                  <pic:nvPicPr>
                    <pic:cNvPr id="0" name="comparison_contact_sheet.png"/>
                    <pic:cNvPicPr/>
                  </pic:nvPicPr>
                  <pic:blipFill>
                    <a:blip r:embed="rId23"/>
                    <a:stretch>
                      <a:fillRect/>
                    </a:stretch>
                  </pic:blipFill>
                  <pic:spPr>
                    <a:xfrm>
                      <a:off x="0" y="0"/>
                      <a:ext cx="5580000" cy="5695448"/>
                    </a:xfrm>
                    <a:prstGeom prst="rect"/>
                  </pic:spPr>
                </pic:pic>
              </a:graphicData>
            </a:graphic>
          </wp:inline>
        </w:drawing>
      </w:r>
    </w:p>
    <w:p>
      <w:pPr>
        <w:spacing w:lineRule="exact" w:line="400" w:after="120" w:before="0"/>
        <w:ind w:firstLine="420"/>
      </w:pPr>
      <w:r>
        <w:rPr>
          <w:b w:val="0"/>
          <w:sz w:val="24"/>
          <w:rFonts w:eastAsia="宋体" w:ascii="Times New Roman" w:hAnsi="Times New Roman"/>
        </w:rPr>
        <w:t>由表 6-4可见，公开案例中规则基线平均布通率为79.34%，设计算法平均布通率提升至93.48%；平均尾板面积占比由50.23%降至22.39%；平均合法性违规数由11.75降至4.50。M.2 HAT案例仍未达到满布通，主要原因是该连接器密度较高，抽象障碍区压缩了可用通道，形成高约束验证场景；即便如此，设计算法仍在布通率、面积占比、违规数和拥塞峰值上优于规则基线。</w:t>
      </w:r>
    </w:p>
    <w:p>
      <w:pPr>
        <w:spacing w:lineRule="exact" w:line="400" w:after="120" w:before="0"/>
        <w:ind w:firstLine="420"/>
      </w:pPr>
      <w:r>
        <w:rPr>
          <w:b w:val="0"/>
          <w:sz w:val="24"/>
          <w:rFonts w:eastAsia="宋体" w:ascii="Times New Roman" w:hAnsi="Times New Roman"/>
        </w:rPr>
        <w:t>需要说明的是，公开KiCad案例用于证明算法对真实EDA文件抽取参数后的适应性，实验结论属于公开案例化验证，不等同于企业量产板卡的设计签核。真实生产还需要结合层叠、阻抗、过孔、差分等长和制造厂规则进行二次合法化。</w:t>
      </w:r>
    </w:p>
    <w:p w14:paraId="64408DF6">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6.4 结果分析</w:t>
      </w:r>
    </w:p>
    <w:p w14:paraId="62C908E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Rule="exact" w:line="400" w:after="120" w:before="200"/>
        <w:jc w:val="left"/>
        <w:rPr>
          <w:color w:val="000000" w:themeColor="text1"/>
          <w14:textFill>
            <w14:solidFill>
              <w14:schemeClr w14:val="tx1"/>
            </w14:solidFill>
          </w14:textFill>
        </w:rPr>
      </w:pPr>
      <w:r>
        <w:rPr>
          <w:b/>
          <w:sz w:val="32"/>
          <w:rFonts w:eastAsia="黑体" w:ascii="Times New Roman" w:hAnsi="Times New Roman"/>
        </w:rPr>
        <w:t>6.5 消融实验与对比有效性分析</w:t>
      </w:r>
    </w:p>
    <w:p w14:paraId="73C553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6-3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296" w:type="dxa"/>
            <w:vAlign w:val="center"/>
          </w:tcPr>
          <w:p w14:paraId="360A9A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94.68</w:t>
            </w:r>
          </w:p>
        </w:tc>
        <w:tc>
          <w:tcPr>
            <w:tcW w:w="1296" w:type="dxa"/>
            <w:vAlign w:val="center"/>
          </w:tcPr>
          <w:p w14:paraId="5A7C2A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59.19</w:t>
            </w:r>
          </w:p>
        </w:tc>
        <w:tc>
          <w:tcPr>
            <w:tcW w:w="1296" w:type="dxa"/>
            <w:vAlign w:val="center"/>
          </w:tcPr>
          <w:p w14:paraId="1D2CD90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2014.40</w:t>
            </w:r>
          </w:p>
        </w:tc>
        <w:tc>
          <w:tcPr>
            <w:tcW w:w="1296" w:type="dxa"/>
            <w:vAlign w:val="center"/>
          </w:tcPr>
          <w:p w14:paraId="496F68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3.60</w:t>
            </w:r>
          </w:p>
        </w:tc>
        <w:tc>
          <w:tcPr>
            <w:tcW w:w="1296" w:type="dxa"/>
            <w:vAlign w:val="center"/>
          </w:tcPr>
          <w:p w14:paraId="5DA9DE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514.40</w:t>
            </w:r>
          </w:p>
        </w:tc>
        <w:tc>
          <w:tcPr>
            <w:tcW w:w="1296" w:type="dxa"/>
            <w:vAlign w:val="center"/>
          </w:tcPr>
          <w:p w14:paraId="62676AF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296" w:type="dxa"/>
            <w:vAlign w:val="center"/>
          </w:tcPr>
          <w:p w14:paraId="4012EC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1B5FE3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15.50</w:t>
            </w:r>
          </w:p>
        </w:tc>
        <w:tc>
          <w:tcPr>
            <w:tcW w:w="1296" w:type="dxa"/>
            <w:vAlign w:val="center"/>
          </w:tcPr>
          <w:p w14:paraId="7F15A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879.40</w:t>
            </w:r>
          </w:p>
        </w:tc>
        <w:tc>
          <w:tcPr>
            <w:tcW w:w="1296" w:type="dxa"/>
            <w:vAlign w:val="center"/>
          </w:tcPr>
          <w:p w14:paraId="0211F1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4.00</w:t>
            </w:r>
          </w:p>
        </w:tc>
        <w:tc>
          <w:tcPr>
            <w:tcW w:w="1296" w:type="dxa"/>
            <w:vAlign w:val="center"/>
          </w:tcPr>
          <w:p w14:paraId="636D8D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272.80</w:t>
            </w:r>
          </w:p>
        </w:tc>
        <w:tc>
          <w:tcPr>
            <w:tcW w:w="1296" w:type="dxa"/>
            <w:vAlign w:val="center"/>
          </w:tcPr>
          <w:p w14:paraId="413C536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296" w:type="dxa"/>
            <w:vAlign w:val="center"/>
          </w:tcPr>
          <w:p w14:paraId="37D046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2E274B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662F81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796.60</w:t>
            </w:r>
          </w:p>
        </w:tc>
        <w:tc>
          <w:tcPr>
            <w:tcW w:w="1296" w:type="dxa"/>
            <w:vAlign w:val="center"/>
          </w:tcPr>
          <w:p w14:paraId="746354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3.00</w:t>
            </w:r>
          </w:p>
        </w:tc>
        <w:tc>
          <w:tcPr>
            <w:tcW w:w="1296" w:type="dxa"/>
            <w:vAlign w:val="center"/>
          </w:tcPr>
          <w:p w14:paraId="25E3D3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240.00</w:t>
            </w:r>
          </w:p>
        </w:tc>
        <w:tc>
          <w:tcPr>
            <w:tcW w:w="1296" w:type="dxa"/>
            <w:vAlign w:val="center"/>
          </w:tcPr>
          <w:p w14:paraId="3AAFCA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42604B4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741C4C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838.60</w:t>
            </w:r>
          </w:p>
        </w:tc>
        <w:tc>
          <w:tcPr>
            <w:tcW w:w="1296" w:type="dxa"/>
            <w:vAlign w:val="center"/>
          </w:tcPr>
          <w:p w14:paraId="517277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2.80</w:t>
            </w:r>
          </w:p>
        </w:tc>
        <w:tc>
          <w:tcPr>
            <w:tcW w:w="1296" w:type="dxa"/>
            <w:vAlign w:val="center"/>
          </w:tcPr>
          <w:p w14:paraId="5E1B17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238.00</w:t>
            </w:r>
          </w:p>
        </w:tc>
        <w:tc>
          <w:tcPr>
            <w:tcW w:w="1296" w:type="dxa"/>
            <w:vAlign w:val="center"/>
          </w:tcPr>
          <w:p w14:paraId="7BAA68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bl>
    <w:p w14:paraId="4145EB0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6-3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6.6 参数与工程适用性讨论</w:t>
      </w:r>
    </w:p>
    <w:p w14:paraId="7024C3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before="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按照学校管理办法关于资料归档的要求，本课题形成了可归档的成果集合：毕业论文DOCX/PDF、C++17源代码工程、参数化案例CSV、公开KiCad案例抽取数据、实验指标summary.csv、布线SVG/PNG截图、KiCad CLI导出原始PCB图以及实验报告。这些材料能够支撑答辩中对任务完成情况、理论依据、程序运行和数据可靠性的逐项说明。</w:t>
      </w:r>
    </w:p>
    <w:p w14:paraId="084E2C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7.2 不足与展望</w:t>
      </w:r>
    </w:p>
    <w:p w14:paraId="6100FF0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仍存在若干不足。首先，实验案例由参数化方式构造，尚未接入真实EDA文件格式，后续可支持Gerber、ODB++或IPC-2581等数据解析，并与企业尾板案例进行交叉验证。其次，当前布线模型采用两层合法化假设，未显式优化过孔数量、层分配、差分等长和阻抗控制，后续可在Tile容量模型基础上增加层资源、过孔惩罚和差分对约束。再次，当前拥塞重布线属于轻量启发式方法，虽然吸收了网络流容量和蚁群信息素思想，但尚未形成完整的最大流、最小费用流或线性规划合法化流程。最后，开题报告中设想的Qt/OpenGL动态可视化和深度学习接口尚未完整实现，后续可在现有CSV/SVG输出基础上增加交互界面，并借鉴DeepTPI、NS-Place、领域模型和Transformer-A*方法，逐步将候选点选择、线序排序和拥塞预测升级为数据驱动模块。</w:t>
      </w:r>
    </w:p>
    <w:p w14:paraId="30A70EB7">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[14] IPC. IPC-A-600: Acceptability of printed boards[S]. Bannockburn: IPC, 2020.</w:t>
      </w:r>
    </w:p>
    <w:p w14:paraId="4A62645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cols w:space="720" w:num="1"/>
      <w:docGrid w:linePitch="360" w:charSpace="0"/>
      <w:pgNumType w:fmt="decimal"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b w:val="0"/>
        <w:sz w:val="21"/>
        <w:rFonts w:eastAsia="宋体" w:ascii="Times New Roman" w:hAnsi="Times New Roman"/>
      </w:rPr>
      <w:fldChar w:fldCharType="begin"/>
      <w:instrText xml:space="preserve">PAGE \* roman</w:instrText>
      <w:fldChar w:fldCharType="separate"/>
      <w:t>i</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b w:val="0"/>
        <w:sz w:val="21"/>
        <w:rFonts w:eastAsia="宋体" w:ascii="Times New Roman" w:hAnsi="Times New Roman"/>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b w:val="0"/>
        <w:sz w:val="21"/>
        <w:rFonts w:eastAsia="宋体" w:ascii="Times New Roman" w:hAnsi="Times New Roman"/>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