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C8F37" w14:textId="1E924C74" w:rsidR="00883B8D" w:rsidRDefault="003130A0" w:rsidP="00E84036">
      <w:pPr>
        <w:spacing w:after="120" w:line="276" w:lineRule="auto"/>
        <w:jc w:val="center"/>
        <w:rPr>
          <w:rFonts w:asciiTheme="minorBidi" w:hAnsiTheme="minorBidi"/>
          <w:b/>
          <w:sz w:val="24"/>
        </w:rPr>
      </w:pPr>
      <w:bookmarkStart w:id="0" w:name="_Hlk163031414"/>
      <w:r>
        <w:rPr>
          <w:rFonts w:asciiTheme="minorBidi" w:hAnsiTheme="minorBidi"/>
          <w:b/>
          <w:sz w:val="24"/>
        </w:rPr>
        <w:t xml:space="preserve">Comparative Research on Outsourcing Guidelines For Bank and Non-Bank Financial Institutions</w:t>
      </w:r>
    </w:p>
    <w:p w14:paraId="2B593EF8" w14:textId="6643A990" w:rsidR="00883B8D" w:rsidRDefault="003130A0" w:rsidP="00E84036">
      <w:pPr>
        <w:spacing w:after="120" w:line="276" w:lineRule="auto"/>
        <w:jc w:val="center"/>
        <w:rPr>
          <w:rFonts w:asciiTheme="minorBidi" w:hAnsiTheme="minorBidi"/>
          <w:b/>
        </w:rPr>
      </w:pPr>
      <w:r>
        <w:rPr>
          <w:rFonts w:asciiTheme="minorBidi" w:hAnsiTheme="minorBidi"/>
          <w:b/>
        </w:rPr>
        <w:t>Checklist of differences between MAS guidelines</w:t>
      </w:r>
    </w:p>
    <w:p w14:paraId="3A54B706" w14:textId="012E2FA6" w:rsidR="00E84036" w:rsidRPr="00546CAE" w:rsidRDefault="00901D31" w:rsidP="00E84036">
      <w:pPr>
        <w:spacing w:after="120" w:line="276" w:lineRule="auto"/>
        <w:jc w:val="center"/>
        <w:rPr>
          <w:rFonts w:asciiTheme="minorBidi" w:hAnsiTheme="minorBidi"/>
          <w:b/>
        </w:rPr>
      </w:pPr>
      <w:r>
        <w:rPr>
          <w:rFonts w:asciiTheme="minorBidi" w:hAnsiTheme="minorBidi"/>
          <w:b/>
        </w:rPr>
        <w:t xml:space="preserve">[July 2026]</w:t>
      </w:r>
    </w:p>
    <w:p w14:paraId="2ABA095D" w14:textId="77777777" w:rsidR="00220F18" w:rsidRDefault="00220F18" w:rsidP="00883B8D">
      <w:pPr>
        <w:pStyle w:val="BodyText"/>
        <w:rPr>
          <w:lang w:eastAsia="ja-JP" w:bidi="th-TH"/>
        </w:rPr>
      </w:pPr>
    </w:p>
    <w:p w14:paraId="5293C859" w14:textId="14681410" w:rsidR="00883B8D" w:rsidRPr="004A5781" w:rsidRDefault="00A37DFE" w:rsidP="00883B8D">
      <w:pPr>
        <w:pStyle w:val="BodyText"/>
        <w:rPr>
          <w:lang w:eastAsia="ja-JP" w:bidi="th-TH"/>
        </w:rPr>
      </w:pPr>
      <w:r>
        <w:rPr>
          <w:lang w:eastAsia="ja-JP" w:bidi="th-TH"/>
        </w:rPr>
        <w:t xml:space="preserve">The relevant guidelines are attached at the end as </w:t>
      </w:r>
      <w:r>
        <w:rPr>
          <w:b/>
          <w:bCs/>
          <w:lang w:eastAsia="ja-JP" w:bidi="th-TH"/>
        </w:rPr>
        <w:t xml:space="preserve">Annex A</w:t>
      </w:r>
      <w:r>
        <w:rPr>
          <w:lang w:eastAsia="ja-JP" w:bidi="th-TH"/>
        </w:rPr>
        <w:t xml:space="preserve"> and </w:t>
      </w:r>
      <w:r>
        <w:rPr>
          <w:b/>
          <w:bCs/>
          <w:lang w:eastAsia="ja-JP" w:bidi="th-TH"/>
        </w:rPr>
        <w:t xml:space="preserve">Annex B</w:t>
      </w:r>
      <w:r>
        <w:rPr>
          <w:lang w:eastAsia="ja-JP" w:bidi="th-TH"/>
        </w:rPr>
        <w:t xml:space="preserve">. Checklist of differences between the two guidelines for managing risks while outsourcing under the Banking Act:</w:t>
      </w:r>
    </w:p>
    <w:p w14:paraId="5ACE1415" w14:textId="2EC7EE70" w:rsidR="00EF7952" w:rsidRDefault="00EF7952" w:rsidP="00E11923">
      <w:pPr>
        <w:pStyle w:val="BodyText"/>
        <w:numPr>
          <w:ilvl w:val="0"/>
          <w:numId w:val="10"/>
        </w:numPr>
        <w:rPr>
          <w:iCs/>
        </w:rPr>
      </w:pPr>
      <w:r>
        <w:rPr>
          <w:iCs/>
        </w:rPr>
        <w:t>MAS’ Guidelines on Outsourcing (Banks) (</w:t>
      </w:r>
      <w:r>
        <w:rPr>
          <w:b/>
          <w:bCs/>
          <w:iCs/>
        </w:rPr>
        <w:t xml:space="preserve">Bank Guidelines</w:t>
      </w:r>
      <w:r>
        <w:rPr>
          <w:iCs/>
        </w:rPr>
        <w:t>),</w:t>
      </w:r>
    </w:p>
    <w:p w14:paraId="794716B9" w14:textId="1FC359C1" w:rsidR="00CA45AA" w:rsidRDefault="00CA45AA" w:rsidP="00E11923">
      <w:pPr>
        <w:pStyle w:val="BodyText"/>
        <w:numPr>
          <w:ilvl w:val="0"/>
          <w:numId w:val="10"/>
        </w:numPr>
        <w:rPr>
          <w:iCs/>
        </w:rPr>
      </w:pPr>
      <w:r>
        <w:rPr>
          <w:iCs/>
        </w:rPr>
        <w:t>MAS’ Guidelines on Outsourcing (Financial Institutions other than Banks) (</w:t>
      </w:r>
      <w:r>
        <w:rPr>
          <w:b/>
          <w:bCs/>
          <w:iCs/>
        </w:rPr>
        <w:t>FI Guidelines</w:t>
      </w:r>
      <w:r>
        <w:rPr>
          <w:iCs/>
        </w:rPr>
        <w:t>),</w:t>
      </w:r>
    </w:p>
    <w:p w14:paraId="5522D14A" w14:textId="69BBFA76" w:rsidR="00883B8D" w:rsidRPr="004A5781" w:rsidRDefault="00883B8D" w:rsidP="00FB0BD1">
      <w:pPr>
        <w:pStyle w:val="BodyText1"/>
        <w:ind w:left="360"/>
      </w:pPr>
      <w:r>
        <w:t xml:space="preserve">which are collectively referred to as the </w:t>
      </w:r>
      <w:r>
        <w:rPr>
          <w:b/>
        </w:rPr>
        <w:t>Outsourcing Regulations</w:t>
      </w:r>
      <w:r>
        <w:t xml:space="preserve">. </w:t>
      </w:r>
    </w:p>
    <w:p w14:paraId="04AED860" w14:textId="77777777" w:rsidR="00220F18" w:rsidRDefault="00220F18" w:rsidP="00883B8D">
      <w:pPr>
        <w:pStyle w:val="BodyText"/>
      </w:pPr>
    </w:p>
    <w:p w14:paraId="4F01EC3A" w14:textId="3FD94790" w:rsidR="000924B6" w:rsidRDefault="00901D31" w:rsidP="00431DDF">
      <w:pPr>
        <w:pStyle w:val="BodyText"/>
      </w:pPr>
      <w:r>
        <w:t xml:space="preserve">This checklist is separated into the following sections: </w:t>
      </w:r>
    </w:p>
    <w:p w14:paraId="789AD862" w14:textId="6088598E" w:rsidR="004F6066" w:rsidRDefault="004F6066" w:rsidP="000C51EC">
      <w:pPr>
        <w:pStyle w:val="BodyText"/>
        <w:numPr>
          <w:ilvl w:val="0"/>
          <w:numId w:val="42"/>
        </w:numPr>
      </w:pPr>
      <w:r>
        <w:t>A list of identical provisions;</w:t>
      </w:r>
    </w:p>
    <w:p w14:paraId="2A376FEC" w14:textId="2ADF385D" w:rsidR="004F6066" w:rsidRDefault="004F6066" w:rsidP="004F6066">
      <w:pPr>
        <w:pStyle w:val="BodyText"/>
        <w:numPr>
          <w:ilvl w:val="0"/>
          <w:numId w:val="42"/>
        </w:numPr>
      </w:pPr>
      <w:r>
        <w:t>A list of all differences between the two documents, and;</w:t>
      </w:r>
    </w:p>
    <w:p w14:paraId="037B498F" w14:textId="283D2C3C" w:rsidR="000C51EC" w:rsidRDefault="000C51EC" w:rsidP="000C51EC">
      <w:pPr>
        <w:pStyle w:val="BodyText"/>
        <w:numPr>
          <w:ilvl w:val="0"/>
          <w:numId w:val="42"/>
        </w:numPr>
      </w:pPr>
      <w:r>
        <w:t>A comparative table between the guidelines for banks and FIs.</w:t>
      </w:r>
    </w:p>
    <w:p w14:paraId="1688913D" w14:textId="77777777" w:rsidR="000C51EC" w:rsidRDefault="000C51EC" w:rsidP="000C51EC">
      <w:pPr>
        <w:pStyle w:val="BodyText"/>
      </w:pPr>
    </w:p>
    <w:p w14:paraId="297A9573" w14:textId="2FB597E1" w:rsidR="00431DDF" w:rsidRDefault="00431DDF" w:rsidP="00431DDF">
      <w:pPr>
        <w:pStyle w:val="BodyText"/>
      </w:pPr>
      <w:r>
        <w:t>In this document:</w:t>
        <w:br/>
      </w:r>
    </w:p>
    <w:p w14:paraId="13D3193E" w14:textId="3FF689D1" w:rsidR="000C51EC" w:rsidRPr="000C51EC" w:rsidRDefault="000C51EC" w:rsidP="00431DDF">
      <w:pPr>
        <w:pStyle w:val="BodyText"/>
        <w:rPr>
          <w:b/>
          <w:bCs/>
        </w:rPr>
      </w:pPr>
      <w:r>
        <w:rPr>
          <w:b/>
          <w:bCs/>
        </w:rPr>
        <w:t>Any highlighted phrases, paragraphs, or words have no similar comparable statement in the other relevant document.</w:t>
      </w:r>
    </w:p>
    <w:p w14:paraId="2C30F22D" w14:textId="266B225A" w:rsidR="00F036D2" w:rsidRPr="001301CD" w:rsidRDefault="00F036D2" w:rsidP="00F036D2">
      <w:pPr>
        <w:pStyle w:val="BodyText"/>
      </w:pPr>
    </w:p>
    <w:p w14:paraId="2318941A" w14:textId="091C2514" w:rsidR="00AF4A19" w:rsidRDefault="00AF4A19" w:rsidP="00883B8D">
      <w:pPr>
        <w:pStyle w:val="BodyText"/>
        <w:rPr>
          <w:rFonts w:asciiTheme="minorBidi" w:hAnsiTheme="minorBidi"/>
        </w:rPr>
      </w:pPr>
      <w:r>
        <w:rPr>
          <w:rFonts w:asciiTheme="minorBidi" w:hAnsiTheme="minorBidi"/>
        </w:rPr>
        <w:br w:type="page"/>
      </w:r>
    </w:p>
    <w:p w14:paraId="422F0C2B" w14:textId="5C45EF94" w:rsidR="004F6066" w:rsidRDefault="004F6066" w:rsidP="004F79C9">
      <w:pPr>
        <w:pStyle w:val="Level1Heading"/>
        <w:rPr>
          <w:rFonts w:asciiTheme="majorHAnsi" w:hAnsiTheme="majorHAnsi" w:cstheme="majorHAnsi"/>
          <w:iCs/>
          <w:sz w:val="18"/>
          <w:szCs w:val="18"/>
        </w:rPr>
      </w:pPr>
      <w:bookmarkStart w:id="1" w:name="MASNotice658"/>
      <w:bookmarkStart w:id="2" w:name="ExecSummary"/>
      <w:bookmarkEnd w:id="0"/>
      <w:bookmarkEnd w:id="2"/>
      <w:r>
        <w:rPr>
          <w:rFonts w:asciiTheme="majorHAnsi" w:hAnsiTheme="majorHAnsi" w:cstheme="majorHAnsi"/>
          <w:iCs/>
          <w:sz w:val="18"/>
          <w:szCs w:val="18"/>
        </w:rPr>
        <w:lastRenderedPageBreak/>
        <w:t>List of Identical Provisions</w:t>
      </w:r>
    </w:p>
    <w:p w14:paraId="1073F046" w14:textId="195A50D0" w:rsidR="004F6066" w:rsidRPr="004F6066" w:rsidRDefault="004F6066" w:rsidP="004F6066">
      <w:pPr>
        <w:pStyle w:val="BodyText1"/>
        <w:ind w:left="0"/>
      </w:pPr>
      <w:r>
        <w:t>The provisions in this section are identical apart from the terms “bank” and “institution”, “MOORS” and “material outsourcing arrangement”.</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Purpose and risk rationale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r>
      <w:tr w:rsidR="004F6066" w:rsidRPr="004F79C9" w14:paraId="277B866E" w14:textId="77777777" w:rsidTr="004F6066">
        <w:trPr>
          <w:trHeight w:val="377"/>
        </w:trPr>
        <w:tc>
          <w:tcPr>
            <w:tcW w:w="2127" w:type="dxa"/>
          </w:tcPr>
          <w:p w14:paraId="0723A82C" w14:textId="6D79150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Proportionality and self-assessment</w:t>
            </w:r>
          </w:p>
        </w:tc>
        <w:tc>
          <w:tcPr>
            <w:tcW w:w="2357" w:type="dxa"/>
          </w:tcPr>
          <w:p w14:paraId="7DF75BD9" w14:textId="784EEB65"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1.2, 1.3 </w:t>
            </w:r>
          </w:p>
        </w:tc>
        <w:tc>
          <w:tcPr>
            <w:tcW w:w="2357" w:type="dxa"/>
          </w:tcPr>
          <w:p w14:paraId="158B990F" w14:textId="27F146B7"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1.2, 2.1</w:t>
            </w:r>
          </w:p>
        </w:tc>
      </w:tr>
      <w:tr w:rsidR="004F6066" w:rsidRPr="004F79C9" w14:paraId="41FD02E8" w14:textId="77777777" w:rsidTr="004F6066">
        <w:trPr>
          <w:trHeight w:val="377"/>
        </w:trPr>
        <w:tc>
          <w:tcPr>
            <w:tcW w:w="2127" w:type="dxa"/>
          </w:tcPr>
          <w:p w14:paraId="0D8A0BE8" w14:textId="75779FC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Non-outsourcing arrangements will still require adequate risk management</w:t>
            </w:r>
          </w:p>
        </w:tc>
        <w:tc>
          <w:tcPr>
            <w:tcW w:w="2357" w:type="dxa"/>
          </w:tcPr>
          <w:p w14:paraId="03F76A9F" w14:textId="3DED4D9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1.4</w:t>
            </w:r>
          </w:p>
        </w:tc>
        <w:tc>
          <w:tcPr>
            <w:tcW w:w="2357" w:type="dxa"/>
          </w:tcPr>
          <w:p w14:paraId="45C21719" w14:textId="7F20F07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r>
      <w:tr w:rsidR="004F6066" w:rsidRPr="004F79C9" w14:paraId="4672DB8E" w14:textId="77777777" w:rsidTr="004F6066">
        <w:trPr>
          <w:trHeight w:val="377"/>
        </w:trPr>
        <w:tc>
          <w:tcPr>
            <w:tcW w:w="2127" w:type="dxa"/>
          </w:tcPr>
          <w:p w14:paraId="376DCECF" w14:textId="011489E4"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Notification of adverse developments to MAS</w:t>
            </w:r>
          </w:p>
        </w:tc>
        <w:tc>
          <w:tcPr>
            <w:tcW w:w="2357" w:type="dxa"/>
          </w:tcPr>
          <w:p w14:paraId="0AA39D4B" w14:textId="0D5D3D72"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c>
          <w:tcPr>
            <w:tcW w:w="2357" w:type="dxa"/>
          </w:tcPr>
          <w:p w14:paraId="41D5E9B0" w14:textId="55A3DBD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4.2.1</w:t>
            </w:r>
          </w:p>
        </w:tc>
      </w:tr>
      <w:tr w:rsidR="004F6066" w:rsidRPr="004F79C9" w14:paraId="231A134C" w14:textId="77777777" w:rsidTr="004F6066">
        <w:trPr>
          <w:trHeight w:val="377"/>
        </w:trPr>
        <w:tc>
          <w:tcPr>
            <w:tcW w:w="2127" w:type="dxa"/>
          </w:tcPr>
          <w:p w14:paraId="3F5DAF87" w14:textId="1522632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Board and senior management responsibilities</w:t>
            </w:r>
          </w:p>
        </w:tc>
        <w:tc>
          <w:tcPr>
            <w:tcW w:w="2357" w:type="dxa"/>
          </w:tcPr>
          <w:p w14:paraId="082398D3" w14:textId="6D36169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 – 3.1.4</w:t>
            </w:r>
          </w:p>
        </w:tc>
        <w:tc>
          <w:tcPr>
            <w:tcW w:w="2357" w:type="dxa"/>
          </w:tcPr>
          <w:p w14:paraId="58AA94C4" w14:textId="61B0EACA"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5.2.1 – 5.2.4</w:t>
            </w:r>
          </w:p>
        </w:tc>
      </w:tr>
      <w:tr w:rsidR="004F6066" w:rsidRPr="004F79C9" w14:paraId="1CD52E46" w14:textId="77777777" w:rsidTr="004F6066">
        <w:trPr>
          <w:trHeight w:val="377"/>
        </w:trPr>
        <w:tc>
          <w:tcPr>
            <w:tcW w:w="2127" w:type="dxa"/>
          </w:tcPr>
          <w:p w14:paraId="3A631A42" w14:textId="1839761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Risk evaluation framework and timing</w:t>
            </w:r>
          </w:p>
        </w:tc>
        <w:tc>
          <w:tcPr>
            <w:tcW w:w="2357" w:type="dxa"/>
          </w:tcPr>
          <w:p w14:paraId="06F3330B" w14:textId="74C8ECD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3.2.1 – 3.2.2</w:t>
            </w:r>
          </w:p>
        </w:tc>
        <w:tc>
          <w:tcPr>
            <w:tcW w:w="2357" w:type="dxa"/>
          </w:tcPr>
          <w:p w14:paraId="3AF9D10A" w14:textId="368C796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5.3.1 – 5.3.2</w:t>
            </w:r>
          </w:p>
        </w:tc>
      </w:tr>
      <w:tr w:rsidR="004F6066" w:rsidRPr="004F79C9" w14:paraId="70E729B5" w14:textId="77777777" w:rsidTr="004F6066">
        <w:trPr>
          <w:trHeight w:val="377"/>
        </w:trPr>
        <w:tc>
          <w:tcPr>
            <w:tcW w:w="2127" w:type="dxa"/>
          </w:tcPr>
          <w:p w14:paraId="007DCA4D" w14:textId="4871934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Service provider due diligence</w:t>
            </w:r>
          </w:p>
        </w:tc>
        <w:tc>
          <w:tcPr>
            <w:tcW w:w="2357" w:type="dxa"/>
          </w:tcPr>
          <w:p w14:paraId="74C6A43E" w14:textId="2CC74A20"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3.3.1 – 3.3.5</w:t>
            </w:r>
          </w:p>
        </w:tc>
        <w:tc>
          <w:tcPr>
            <w:tcW w:w="2357" w:type="dxa"/>
          </w:tcPr>
          <w:p w14:paraId="0397C82D" w14:textId="369FCB8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5.4.1 – 5.4.5</w:t>
            </w:r>
          </w:p>
        </w:tc>
      </w:tr>
      <w:tr w:rsidR="004F6066" w:rsidRPr="004F79C9" w14:paraId="0E0656D8" w14:textId="77777777" w:rsidTr="004F6066">
        <w:trPr>
          <w:trHeight w:val="377"/>
        </w:trPr>
        <w:tc>
          <w:tcPr>
            <w:tcW w:w="2127" w:type="dxa"/>
          </w:tcPr>
          <w:p w14:paraId="6F37E9E8" w14:textId="7CF7CAFE"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Written, vetted agreements</w:t>
            </w:r>
          </w:p>
        </w:tc>
        <w:tc>
          <w:tcPr>
            <w:tcW w:w="2357" w:type="dxa"/>
          </w:tcPr>
          <w:p w14:paraId="4F154B83" w14:textId="2CD4010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3.4.4 and 5.5.2(i)</w:t>
            </w:r>
          </w:p>
        </w:tc>
        <w:tc>
          <w:tcPr>
            <w:tcW w:w="2357" w:type="dxa"/>
          </w:tcPr>
          <w:p w14:paraId="7EFEBF85" w14:textId="2D89BDE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3.4.8 and 5.5.3</w:t>
            </w:r>
          </w:p>
        </w:tc>
      </w:tr>
      <w:tr w:rsidR="004F6066" w:rsidRPr="004F79C9" w14:paraId="669DBAE2" w14:textId="77777777" w:rsidTr="004F6066">
        <w:trPr>
          <w:trHeight w:val="377"/>
        </w:trPr>
        <w:tc>
          <w:tcPr>
            <w:tcW w:w="2127" w:type="dxa"/>
          </w:tcPr>
          <w:p w14:paraId="243E43F5" w14:textId="43E2ECB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Confidentiality and security</w:t>
            </w:r>
          </w:p>
        </w:tc>
        <w:tc>
          <w:tcPr>
            <w:tcW w:w="2357" w:type="dxa"/>
          </w:tcPr>
          <w:p w14:paraId="03C1DD48" w14:textId="37E06A01"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3.6.1 – 3.6.2</w:t>
            </w:r>
          </w:p>
        </w:tc>
        <w:tc>
          <w:tcPr>
            <w:tcW w:w="2357" w:type="dxa"/>
          </w:tcPr>
          <w:p w14:paraId="3F52CD60" w14:textId="2C0AE68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5.6.1 – 5.6.2</w:t>
            </w:r>
          </w:p>
        </w:tc>
      </w:tr>
      <w:tr w:rsidR="004F6066" w:rsidRPr="004F79C9" w14:paraId="5EEC568F" w14:textId="77777777" w:rsidTr="004F6066">
        <w:trPr>
          <w:trHeight w:val="377"/>
        </w:trPr>
        <w:tc>
          <w:tcPr>
            <w:tcW w:w="2127" w:type="dxa"/>
          </w:tcPr>
          <w:p w14:paraId="4C17563A" w14:textId="5573403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Business continuity management</w:t>
            </w:r>
          </w:p>
        </w:tc>
        <w:tc>
          <w:tcPr>
            <w:tcW w:w="2357" w:type="dxa"/>
          </w:tcPr>
          <w:p w14:paraId="3653DF04" w14:textId="73FA5A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3.7.1 – 3.7.4</w:t>
            </w:r>
          </w:p>
        </w:tc>
        <w:tc>
          <w:tcPr>
            <w:tcW w:w="2357" w:type="dxa"/>
          </w:tcPr>
          <w:p w14:paraId="4A9F5E2A" w14:textId="27A1BD7D"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5.7.1 – 5.7.4</w:t>
            </w:r>
          </w:p>
        </w:tc>
      </w:tr>
      <w:tr w:rsidR="004F6066" w:rsidRPr="004F79C9" w14:paraId="6F356490" w14:textId="77777777" w:rsidTr="004F6066">
        <w:trPr>
          <w:trHeight w:val="377"/>
        </w:trPr>
        <w:tc>
          <w:tcPr>
            <w:tcW w:w="2127" w:type="dxa"/>
          </w:tcPr>
          <w:p w14:paraId="2BC19BF8" w14:textId="35FDE050"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Control structure</w:t>
            </w:r>
          </w:p>
        </w:tc>
        <w:tc>
          <w:tcPr>
            <w:tcW w:w="2357" w:type="dxa"/>
          </w:tcPr>
          <w:p w14:paraId="3D8941C6" w14:textId="40E234E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3.8.1 – 3.8.2</w:t>
            </w:r>
          </w:p>
        </w:tc>
        <w:tc>
          <w:tcPr>
            <w:tcW w:w="2357" w:type="dxa"/>
          </w:tcPr>
          <w:p w14:paraId="55AD2A1C" w14:textId="5C7174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5.8.1 – 5.8.2</w:t>
            </w:r>
          </w:p>
        </w:tc>
      </w:tr>
      <w:tr w:rsidR="004F6066" w:rsidRPr="004F79C9" w14:paraId="2082B80E" w14:textId="77777777" w:rsidTr="004F6066">
        <w:trPr>
          <w:trHeight w:val="377"/>
        </w:trPr>
        <w:tc>
          <w:tcPr>
            <w:tcW w:w="2127" w:type="dxa"/>
          </w:tcPr>
          <w:p w14:paraId="6E5FD3D5" w14:textId="0DAB3620" w:rsidR="004F6066"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Audit framework</w:t>
            </w:r>
          </w:p>
        </w:tc>
        <w:tc>
          <w:tcPr>
            <w:tcW w:w="2357" w:type="dxa"/>
          </w:tcPr>
          <w:p w14:paraId="6D4E8564" w14:textId="5BE413CE"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3.9.1 and 5.9.1</w:t>
            </w:r>
          </w:p>
        </w:tc>
        <w:tc>
          <w:tcPr>
            <w:tcW w:w="2357" w:type="dxa"/>
          </w:tcPr>
          <w:p w14:paraId="786046A2" w14:textId="7463E92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3.9.4 – 3.9.6 and 5.9.5 – 5.9.8</w:t>
            </w:r>
          </w:p>
        </w:tc>
      </w:tr>
      <w:tr w:rsidR="0095788E" w:rsidRPr="004F79C9" w14:paraId="5EE54E90" w14:textId="77777777" w:rsidTr="004F6066">
        <w:trPr>
          <w:trHeight w:val="377"/>
        </w:trPr>
        <w:tc>
          <w:tcPr>
            <w:tcW w:w="2127" w:type="dxa"/>
          </w:tcPr>
          <w:p w14:paraId="3BC48C69" w14:textId="2019164D"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Due diligence for overseas outsourcing</w:t>
            </w:r>
          </w:p>
        </w:tc>
        <w:tc>
          <w:tcPr>
            <w:tcW w:w="2357" w:type="dxa"/>
          </w:tcPr>
          <w:p w14:paraId="7E4B5E46" w14:textId="52793D0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3.10.1</w:t>
            </w:r>
          </w:p>
        </w:tc>
        <w:tc>
          <w:tcPr>
            <w:tcW w:w="2357" w:type="dxa"/>
          </w:tcPr>
          <w:p w14:paraId="2C6CA43C" w14:textId="6ADAE9D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5.10.1</w:t>
            </w:r>
          </w:p>
        </w:tc>
      </w:tr>
      <w:tr w:rsidR="0095788E" w:rsidRPr="004F79C9" w14:paraId="6A095899" w14:textId="77777777" w:rsidTr="004F6066">
        <w:trPr>
          <w:trHeight w:val="377"/>
        </w:trPr>
        <w:tc>
          <w:tcPr>
            <w:tcW w:w="2127" w:type="dxa"/>
          </w:tcPr>
          <w:p w14:paraId="1E03D011" w14:textId="63457AF4"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lastRenderedPageBreak/>
              <w:t>Outsourcing within a group</w:t>
            </w:r>
          </w:p>
        </w:tc>
        <w:tc>
          <w:tcPr>
            <w:tcW w:w="2357" w:type="dxa"/>
          </w:tcPr>
          <w:p w14:paraId="1351E948" w14:textId="56D3E02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3.11.2 – 3.11.2</w:t>
            </w:r>
          </w:p>
        </w:tc>
        <w:tc>
          <w:tcPr>
            <w:tcW w:w="2357" w:type="dxa"/>
          </w:tcPr>
          <w:p w14:paraId="486F1F1C" w14:textId="2992CDBF"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5.11.2 – 5.11.2</w:t>
            </w:r>
          </w:p>
        </w:tc>
      </w:tr>
      <w:tr w:rsidR="0095788E" w:rsidRPr="004F79C9" w14:paraId="6B03B460" w14:textId="77777777" w:rsidTr="004F6066">
        <w:trPr>
          <w:trHeight w:val="377"/>
        </w:trPr>
        <w:tc>
          <w:tcPr>
            <w:tcW w:w="2127" w:type="dxa"/>
          </w:tcPr>
          <w:p w14:paraId="0398E736" w14:textId="55CF8340"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Outsourcing internal audits</w:t>
            </w:r>
          </w:p>
        </w:tc>
        <w:tc>
          <w:tcPr>
            <w:tcW w:w="2357" w:type="dxa"/>
          </w:tcPr>
          <w:p w14:paraId="1BEABF3D" w14:textId="0900E7C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3.12.1 – 3.12.3</w:t>
            </w:r>
          </w:p>
        </w:tc>
        <w:tc>
          <w:tcPr>
            <w:tcW w:w="2357" w:type="dxa"/>
          </w:tcPr>
          <w:p w14:paraId="17B7389E" w14:textId="4DC8A0B5"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5.12.1 – 5.12.3</w:t>
            </w:r>
          </w:p>
        </w:tc>
      </w:tr>
      <w:tr w:rsidR="0095788E" w:rsidRPr="004F79C9" w14:paraId="589AB737" w14:textId="77777777" w:rsidTr="004F6066">
        <w:trPr>
          <w:trHeight w:val="377"/>
        </w:trPr>
        <w:tc>
          <w:tcPr>
            <w:tcW w:w="2127" w:type="dxa"/>
          </w:tcPr>
          <w:p w14:paraId="082BC2CF" w14:textId="621CE773"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Material outsourcing assessment factors</w:t>
            </w:r>
          </w:p>
        </w:tc>
        <w:tc>
          <w:tcPr>
            <w:tcW w:w="2357" w:type="dxa"/>
          </w:tcPr>
          <w:p w14:paraId="11DD4376" w14:textId="08BF94F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1</w:t>
            </w:r>
          </w:p>
        </w:tc>
        <w:tc>
          <w:tcPr>
            <w:tcW w:w="2357" w:type="dxa"/>
          </w:tcPr>
          <w:p w14:paraId="7071CB8C" w14:textId="7308A85A"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3</w:t>
            </w:r>
          </w:p>
        </w:tc>
      </w:tr>
      <w:tr w:rsidR="0095788E" w:rsidRPr="004F79C9" w14:paraId="08EEFDF2" w14:textId="77777777" w:rsidTr="004F6066">
        <w:trPr>
          <w:trHeight w:val="377"/>
        </w:trPr>
        <w:tc>
          <w:tcPr>
            <w:tcW w:w="2127" w:type="dxa"/>
          </w:tcPr>
          <w:p w14:paraId="42738E79" w14:textId="7EB94A06"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Cloud Computing</w:t>
            </w:r>
          </w:p>
        </w:tc>
        <w:tc>
          <w:tcPr>
            <w:tcW w:w="2357" w:type="dxa"/>
          </w:tcPr>
          <w:p w14:paraId="662D9B76" w14:textId="4422B7B4"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2</w:t>
            </w:r>
          </w:p>
        </w:tc>
        <w:tc>
          <w:tcPr>
            <w:tcW w:w="2357" w:type="dxa"/>
          </w:tcPr>
          <w:p w14:paraId="7EB1E018" w14:textId="0B55EBB3"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5</w:t>
            </w:r>
          </w:p>
        </w:tc>
      </w:tr>
    </w:tbl>
    <w:p w14:paraId="0B88E8C0" w14:textId="397BD91B" w:rsidR="0095788E" w:rsidRDefault="0095788E" w:rsidP="004F6066">
      <w:pPr>
        <w:pStyle w:val="BodyText1"/>
        <w:ind w:left="0"/>
      </w:pPr>
    </w:p>
    <w:p w14:paraId="422F0C2B" w14:textId="5C45EF94" w:rsidR="004F6066" w:rsidRDefault="004F6066"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 xml:space="preserve">List of Non-Identical Provisions</w:t>
      </w:r>
    </w:p>
    <w:p w14:paraId="1073F046" w14:textId="195A50D0" w:rsidR="004F6066" w:rsidRPr="004F6066" w:rsidRDefault="004F6066" w:rsidP="004F6066">
      <w:pPr>
        <w:pStyle w:val="BodyText1"/>
        <w:ind w:left="0"/>
      </w:pPr>
      <w:r>
        <w:t xml:space="preserve">The provisions in this section differ in substance between the two documents, or appear in only one of them. The precise differences are set out in the comparative table below.</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Scope – definition of “outsourcing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(via the Notices; disjunctive test with a more-than-12-month “ongoing” threshold)</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and Section 3 (conjunctive test; no duration threshold)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Definitions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(definitions are in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Section 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Group-wide observance duty</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Reference to the MAS Information Paper on third-party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3 to 1.5</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submission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to 3.8.2(a) (template link; no stated frequency)</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4.1.1 and Annex 4 (at least annually or upon request)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powers over a live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3.4.5 – 3.4.6 (MAS-directed termination)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4.1.3 (modify, alternative arrangements or re-integration)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Supervisory overview</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Delegation of board functions for foreign-incorporated institutions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5.2.5 (opening sentence) and the Section 3 definition of “board”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Legal advice on overseas disclosure of customer information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3.2.3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Policies on frequency of checks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3.3.6</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(cf. 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agreement checklist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3.4.2 (ten items; Notices 7.1 requirements via footnotes 9 and 12)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 (eleven items, including (j) sub-contracting)</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Contractual termination triggers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3.4.3 (confidentiality-centred; termination by reasonable notice)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5.5.2(i) (change of ownership, insolvency, receivership or judicial management, breach, performance deterioration)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Deletion of information on termination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3.4.7 (extends to non-customer information)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5.7.2(c) only</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Customer consent before sub-contracting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Prescribed contents of the sub-contract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Notification of sub-contractor engagement (30 days)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Annual review of material outsourcing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(periodic-review obligations are in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access to service providers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Statutory – section 47A(10) of the Banking Act (see 3.4.5(f))</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Contractual – 5.9.2(b)</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Service provider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Sub-contractor audit coverage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3.9.3 (“endeavour to subject”)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5.9.4 (“ensure that these expectations are met”)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Reliance on certifications and pooled audits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Submission of audit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3.9.7 (“upon request”)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5.9.8 (no “upon request” for audit reports)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Overseas outsourcing – confirmation and notification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5.10.2(b) (written confirmation) and 5.10.2(c) (notification)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within a group – wording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3.11.1 (“including subsidiaries of Singapore-incorporated banks”)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5.11.1 (without that phrase; see also 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internal audit – permitted departures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26 (no size limit)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20 (limited to small institutions)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Exempted services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D of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Examples of outsourcing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(Notice 658 Annexes A – C)</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Applicability framework by category of service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template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link</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r>
    </w:tbl>
    <w:p w14:paraId="0B88E8C0" w14:textId="397BD91B" w:rsidR="0095788E" w:rsidRDefault="0095788E" w:rsidP="004F6066">
      <w:pPr>
        <w:pStyle w:val="BodyText1"/>
        <w:ind w:left="0"/>
      </w:pPr>
    </w:p>
    <w:p w14:paraId="04EDFFD2" w14:textId="69E1ADAC" w:rsidR="004F6066" w:rsidRPr="004F6066" w:rsidRDefault="0095788E" w:rsidP="0095788E">
      <w:pPr>
        <w:spacing w:after="240" w:line="276" w:lineRule="auto"/>
      </w:pPr>
      <w:r>
        <w:br w:type="page"/>
      </w:r>
    </w:p>
    <w:p w14:paraId="71E18BCD" w14:textId="4DD6BD75" w:rsidR="004F79C9" w:rsidRPr="004F79C9" w:rsidRDefault="004F79C9"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Comparative Table of Differences between the two MAS Outstanding Guidelines</w:t>
      </w:r>
    </w:p>
    <w:tbl>
      <w:tblPr>
        <w:tblStyle w:val="TableGrid"/>
        <w:tblW w:w="14215" w:type="dxa"/>
        <w:tblLayout w:type="fixed"/>
        <w:tblLook w:val="04A0" w:firstRow="1" w:lastRow="0" w:firstColumn="1" w:lastColumn="0" w:noHBand="0" w:noVBand="1"/>
      </w:tblPr>
      <w:tblGrid>
        <w:gridCol w:w="625"/>
        <w:gridCol w:w="5670"/>
        <w:gridCol w:w="5731"/>
        <w:gridCol w:w="2189"/>
      </w:tblGrid>
      <w:tr w:rsidR="00A37DFE" w:rsidRPr="00DD537D" w14:paraId="3DA5480E" w14:textId="692C74EF" w:rsidTr="00DC7DDC">
        <w:trPr>
          <w:trHeight w:val="664"/>
          <w:tblHeader/>
        </w:trPr>
        <w:tc>
          <w:tcPr>
            <w:tcW w:w="625" w:type="dxa"/>
            <w:shd w:val="clear" w:color="auto" w:fill="808080" w:themeFill="background1" w:themeFillShade="80"/>
          </w:tcPr>
          <w:bookmarkEnd w:id="1"/>
          <w:p w14:paraId="2941FC8C" w14:textId="422C0B21" w:rsidR="00A37DFE" w:rsidRPr="00DD537D" w:rsidRDefault="00A37DFE" w:rsidP="00A37DFE">
            <w:pPr>
              <w:spacing w:before="60" w:after="60"/>
              <w:jc w:val="right"/>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No.</w:t>
            </w:r>
          </w:p>
        </w:tc>
        <w:tc>
          <w:tcPr>
            <w:tcW w:w="5670" w:type="dxa"/>
            <w:shd w:val="clear" w:color="auto" w:fill="808080" w:themeFill="background1" w:themeFillShade="80"/>
          </w:tcPr>
          <w:p w14:paraId="63824F50" w14:textId="25B09D3E"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(Banks)</w:t>
            </w:r>
          </w:p>
        </w:tc>
        <w:tc>
          <w:tcPr>
            <w:tcW w:w="5731" w:type="dxa"/>
            <w:shd w:val="clear" w:color="auto" w:fill="808080" w:themeFill="background1" w:themeFillShade="80"/>
          </w:tcPr>
          <w:p w14:paraId="56EEAAAF" w14:textId="2B5A9866"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(Financial Institutions Other than Banks)</w:t>
            </w:r>
          </w:p>
        </w:tc>
        <w:tc>
          <w:tcPr>
            <w:tcW w:w="2189" w:type="dxa"/>
            <w:shd w:val="clear" w:color="auto" w:fill="808080" w:themeFill="background1" w:themeFillShade="80"/>
          </w:tcPr>
          <w:p w14:paraId="698ED3AE" w14:textId="4E9AABEA" w:rsidR="00A37DFE" w:rsidRPr="00DD537D" w:rsidRDefault="00A37DFE" w:rsidP="00A37DFE">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Differences</w:t>
            </w:r>
          </w:p>
        </w:tc>
      </w:tr>
      <w:tr w:rsidR="00A37DFE" w:rsidRPr="00DD537D" w14:paraId="737835E3" w14:textId="77777777" w:rsidTr="00DC7DDC">
        <w:trPr>
          <w:trHeight w:val="305"/>
        </w:trPr>
        <w:tc>
          <w:tcPr>
            <w:tcW w:w="625" w:type="dxa"/>
            <w:shd w:val="clear" w:color="auto" w:fill="D9D9D9" w:themeFill="background1" w:themeFillShade="D9"/>
          </w:tcPr>
          <w:p w14:paraId="0BC32915" w14:textId="77777777" w:rsidR="00A37DFE" w:rsidRDefault="00A37DFE" w:rsidP="00A37DFE">
            <w:pPr>
              <w:pStyle w:val="BodyText"/>
              <w:numPr>
                <w:ilvl w:val="0"/>
                <w:numId w:val="12"/>
              </w:numPr>
              <w:ind w:left="0"/>
              <w:jc w:val="right"/>
              <w:rPr>
                <w:rFonts w:asciiTheme="majorHAnsi" w:hAnsiTheme="majorHAnsi" w:cstheme="majorHAnsi"/>
                <w:sz w:val="18"/>
                <w:szCs w:val="18"/>
              </w:rPr>
            </w:pPr>
          </w:p>
        </w:tc>
        <w:tc>
          <w:tcPr>
            <w:tcW w:w="13590" w:type="dxa"/>
            <w:gridSpan w:val="3"/>
            <w:shd w:val="clear" w:color="auto" w:fill="D9D9D9" w:themeFill="background1" w:themeFillShade="D9"/>
          </w:tcPr>
          <w:p w14:paraId="447FBCBB" w14:textId="3EF720F1" w:rsidR="00A37DFE" w:rsidRPr="00A37DFE" w:rsidRDefault="00A37DFE" w:rsidP="00A37DFE">
            <w:pPr>
              <w:keepNext/>
              <w:keepLines/>
              <w:tabs>
                <w:tab w:val="left" w:pos="360"/>
              </w:tabs>
              <w:spacing w:line="276" w:lineRule="auto"/>
              <w:rPr>
                <w:rFonts w:asciiTheme="majorHAnsi" w:hAnsiTheme="majorHAnsi" w:cstheme="majorHAnsi"/>
                <w:b/>
                <w:bCs/>
                <w:sz w:val="18"/>
                <w:szCs w:val="18"/>
                <w:lang w:val="en-US"/>
              </w:rPr>
            </w:pPr>
            <w:r>
              <w:rPr>
                <w:rFonts w:asciiTheme="majorHAnsi" w:hAnsiTheme="majorHAnsi" w:cstheme="majorHAnsi"/>
                <w:b/>
                <w:bCs/>
                <w:sz w:val="18"/>
                <w:szCs w:val="18"/>
                <w:lang w:val="en-US"/>
              </w:rPr>
              <w:t>Introduction</w:t>
            </w:r>
          </w:p>
        </w:tc>
      </w:tr>
      <w:tr w:rsidR="00A37DFE" w:rsidRPr="00DD537D" w14:paraId="0A88D9B3" w14:textId="22831282" w:rsidTr="00DC7DDC">
        <w:trPr>
          <w:trHeight w:val="3185"/>
        </w:trPr>
        <w:tc>
          <w:tcPr>
            <w:tcW w:w="625" w:type="dxa"/>
          </w:tcPr>
          <w:p w14:paraId="14CEFF7D" w14:textId="08A8D809" w:rsidR="00A37DFE" w:rsidRPr="00DD537D"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1.1 </w:t>
            </w:r>
          </w:p>
        </w:tc>
        <w:tc>
          <w:tcPr>
            <w:tcW w:w="5670" w:type="dxa"/>
          </w:tcPr>
          <w:p w14:paraId="642C175B" w14:textId="349E76F8" w:rsidR="00A37DFE" w:rsidRPr="009F4FCE" w:rsidRDefault="00A37DFE" w:rsidP="00A37DFE">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5731" w:type="dxa"/>
          </w:tcPr>
          <w:p w14:paraId="15F45D9B" w14:textId="73A4EDB1"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2189" w:type="dxa"/>
          </w:tcPr>
          <w:p w14:paraId="1969CB36" w14:textId="408C8227" w:rsidR="00A37DFE" w:rsidRPr="004F79C9" w:rsidRDefault="004F79C9" w:rsidP="004F79C9">
            <w:pPr>
              <w:spacing w:line="276" w:lineRule="auto"/>
              <w:jc w:val="center"/>
              <w:rPr>
                <w:rFonts w:asciiTheme="majorHAnsi" w:hAnsiTheme="majorHAnsi" w:cstheme="majorHAnsi"/>
                <w:b/>
                <w:bCs/>
                <w:sz w:val="18"/>
                <w:szCs w:val="18"/>
              </w:rPr>
            </w:pPr>
            <w:r>
              <w:rPr>
                <w:rFonts w:asciiTheme="majorHAnsi" w:hAnsiTheme="majorHAnsi" w:cstheme="majorHAnsi"/>
                <w:b/>
                <w:bCs/>
                <w:sz w:val="18"/>
                <w:szCs w:val="18"/>
              </w:rPr>
              <w:t>None</w:t>
            </w:r>
          </w:p>
        </w:tc>
      </w:tr>
      <w:tr w:rsidR="00A37DFE" w:rsidRPr="00DD537D" w14:paraId="30FD51A3" w14:textId="77777777" w:rsidTr="00DC7DDC">
        <w:tc>
          <w:tcPr>
            <w:tcW w:w="625" w:type="dxa"/>
          </w:tcPr>
          <w:p w14:paraId="6AF94ACE" w14:textId="42E01203" w:rsidR="00A37DF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1.2</w:t>
            </w:r>
          </w:p>
        </w:tc>
        <w:tc>
          <w:tcPr>
            <w:tcW w:w="5670" w:type="dxa"/>
          </w:tcPr>
          <w:p w14:paraId="43A2C546" w14:textId="77777777" w:rsidR="00A37DFE" w:rsidRPr="009F4FCE" w:rsidRDefault="00A37DF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bank or merchant bank (hereafter collectively referred to as “Bank”) that has entered into or is planning to enter into, an arrangement for </w:t>
            </w:r>
            <w:r>
              <w:rPr>
                <w:rFonts w:asciiTheme="majorHAnsi" w:hAnsiTheme="majorHAnsi" w:cstheme="majorHAnsi"/>
                <w:sz w:val="18"/>
                <w:szCs w:val="18"/>
                <w:highlight w:val="yellow"/>
              </w:rPr>
              <w:t>ongoing outsourced relevant services</w:t>
            </w:r>
            <w:r>
              <w:rPr>
                <w:rFonts w:asciiTheme="majorHAnsi" w:hAnsiTheme="majorHAnsi" w:cstheme="majorHAnsi"/>
                <w:sz w:val="18"/>
                <w:szCs w:val="18"/>
              </w:rPr>
              <w:t xml:space="preserve"> (“outsourcing arrangement”)</w:t>
            </w:r>
            <w:r>
              <w:rPr>
                <w:rFonts w:asciiTheme="majorHAnsi" w:hAnsiTheme="majorHAnsi" w:cstheme="majorHAnsi"/>
                <w:sz w:val="18"/>
                <w:szCs w:val="18"/>
                <w:vertAlign w:val="superscript"/>
              </w:rPr>
              <w:t>1</w:t>
            </w:r>
            <w:r>
              <w:rPr>
                <w:rFonts w:asciiTheme="majorHAnsi" w:hAnsiTheme="majorHAnsi" w:cstheme="majorHAnsi"/>
                <w:sz w:val="18"/>
                <w:szCs w:val="18"/>
              </w:rPr>
              <w:t xml:space="preserve">, with the exception of exempted Outsourced Relevant Services in </w:t>
            </w:r>
            <w:r>
              <w:rPr>
                <w:rFonts w:asciiTheme="majorHAnsi" w:hAnsiTheme="majorHAnsi" w:cstheme="majorHAnsi"/>
                <w:sz w:val="18"/>
                <w:szCs w:val="18"/>
                <w:highlight w:val="yellow"/>
              </w:rPr>
              <w:t>Annex D of MAS Notices 658 and 1121</w:t>
            </w:r>
            <w:r>
              <w:rPr>
                <w:rFonts w:asciiTheme="majorHAnsi" w:hAnsiTheme="majorHAnsi" w:cstheme="majorHAnsi"/>
                <w:sz w:val="18"/>
                <w:szCs w:val="18"/>
              </w:rPr>
              <w:t xml:space="preserve"> (“Notices”). A Bank should conduct a self-assessment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9943DEE" w14:textId="77777777" w:rsidR="009F4FCE" w:rsidRPr="009F4FCE" w:rsidRDefault="009F4FCE" w:rsidP="00A37DFE">
            <w:pPr>
              <w:tabs>
                <w:tab w:val="left" w:pos="360"/>
              </w:tabs>
              <w:spacing w:line="276" w:lineRule="auto"/>
              <w:rPr>
                <w:rFonts w:asciiTheme="majorHAnsi" w:hAnsiTheme="majorHAnsi" w:cstheme="majorHAnsi"/>
                <w:sz w:val="18"/>
                <w:szCs w:val="18"/>
              </w:rPr>
            </w:pPr>
          </w:p>
          <w:p w14:paraId="48FA5831" w14:textId="77777777" w:rsidR="009F4FCE" w:rsidRPr="009F4FCE" w:rsidRDefault="009F4FCE" w:rsidP="009F4FCE">
            <w:pPr>
              <w:pStyle w:val="BodyText"/>
              <w:rPr>
                <w:rFonts w:asciiTheme="majorHAnsi" w:hAnsiTheme="majorHAnsi" w:cstheme="majorHAnsi"/>
                <w:sz w:val="16"/>
                <w:szCs w:val="16"/>
              </w:rPr>
            </w:pPr>
            <w:r>
              <w:rPr>
                <w:rFonts w:asciiTheme="majorHAnsi" w:hAnsiTheme="majorHAnsi" w:cstheme="majorHAnsi"/>
                <w:sz w:val="16"/>
                <w:szCs w:val="16"/>
              </w:rPr>
              <w:t>1 – Includes both material and non-material ongoing outsourcing arrangements.</w:t>
            </w:r>
          </w:p>
          <w:p w14:paraId="78B7BDBD" w14:textId="34BC5E48" w:rsidR="009F4FCE" w:rsidRPr="009F4FCE" w:rsidRDefault="009F4FCE" w:rsidP="009F4FCE">
            <w:pPr>
              <w:pStyle w:val="BodyText"/>
              <w:rPr>
                <w:rFonts w:asciiTheme="majorHAnsi" w:hAnsiTheme="majorHAnsi" w:cstheme="majorHAnsi"/>
                <w:sz w:val="18"/>
                <w:szCs w:val="18"/>
                <w:lang w:val="en-US"/>
              </w:rPr>
            </w:pPr>
            <w:r>
              <w:rPr>
                <w:rFonts w:asciiTheme="majorHAnsi" w:hAnsiTheme="majorHAnsi" w:cstheme="majorHAnsi"/>
                <w:sz w:val="16"/>
                <w:szCs w:val="16"/>
              </w:rPr>
              <w:t xml:space="preserve">2 – This includes Banks which are bound by outsourcing arrangements as a result of an acquisition of the business of another institution.</w:t>
            </w:r>
          </w:p>
        </w:tc>
        <w:tc>
          <w:tcPr>
            <w:tcW w:w="5731" w:type="dxa"/>
          </w:tcPr>
          <w:p w14:paraId="20B173F6" w14:textId="7FDA7BFF"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financial institution (other than a bank or merchant bank) that has entered into any </w:t>
            </w:r>
            <w:r>
              <w:rPr>
                <w:rFonts w:asciiTheme="majorHAnsi" w:hAnsiTheme="majorHAnsi" w:cstheme="majorHAnsi"/>
                <w:sz w:val="18"/>
                <w:szCs w:val="18"/>
                <w:highlight w:val="yellow"/>
              </w:rPr>
              <w:t>outsourcing arrangement or is planning to outsource its business activities</w:t>
            </w:r>
            <w:r>
              <w:rPr>
                <w:rFonts w:asciiTheme="majorHAnsi" w:hAnsiTheme="majorHAnsi" w:cstheme="majorHAnsi"/>
                <w:sz w:val="18"/>
                <w:szCs w:val="18"/>
                <w:highlight w:val="yellow"/>
                <w:vertAlign w:val="superscript"/>
              </w:rPr>
              <w:t>1</w:t>
            </w:r>
            <w:r>
              <w:rPr>
                <w:rFonts w:asciiTheme="majorHAnsi" w:hAnsiTheme="majorHAnsi" w:cstheme="majorHAnsi"/>
                <w:sz w:val="18"/>
                <w:szCs w:val="18"/>
              </w:rPr>
              <w:t xml:space="preserve"> to a service provider, with the exception of exempted outsourced services in </w:t>
            </w:r>
            <w:r>
              <w:rPr>
                <w:rFonts w:asciiTheme="majorHAnsi" w:hAnsiTheme="majorHAnsi" w:cstheme="majorHAnsi"/>
                <w:sz w:val="18"/>
                <w:szCs w:val="18"/>
                <w:highlight w:val="yellow"/>
              </w:rPr>
              <w:t>Annex 1</w:t>
            </w:r>
            <w:r>
              <w:rPr>
                <w:rFonts w:asciiTheme="majorHAnsi" w:hAnsiTheme="majorHAnsi" w:cstheme="majorHAnsi"/>
                <w:sz w:val="18"/>
                <w:szCs w:val="18"/>
              </w:rPr>
              <w:t>. An institution should conduct a self- 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5D27DEA" w14:textId="3390CED0" w:rsidR="004F79C9" w:rsidRPr="009F4FCE" w:rsidRDefault="009F4FCE" w:rsidP="00A37DFE">
            <w:pPr>
              <w:pStyle w:val="BodyText"/>
              <w:rPr>
                <w:rFonts w:asciiTheme="majorHAnsi" w:hAnsiTheme="majorHAnsi" w:cstheme="majorHAnsi"/>
                <w:sz w:val="16"/>
                <w:szCs w:val="16"/>
              </w:rPr>
            </w:pPr>
            <w:r>
              <w:rPr>
                <w:rFonts w:asciiTheme="majorHAnsi" w:hAnsiTheme="majorHAnsi" w:cstheme="majorHAnsi"/>
                <w:sz w:val="16"/>
                <w:szCs w:val="16"/>
              </w:rPr>
              <w:t xml:space="preserve">1 – Any reference in these Guidelines to “business activities” of an institution is to be construed as a reference to the business and operational functions and processes of the institution.</w:t>
            </w:r>
          </w:p>
          <w:p w14:paraId="3BF6F412" w14:textId="61E7EE33" w:rsidR="009F4FCE" w:rsidRPr="009F4FCE" w:rsidRDefault="009F4FCE" w:rsidP="00A37DFE">
            <w:pPr>
              <w:pStyle w:val="BodyText"/>
              <w:rPr>
                <w:rFonts w:asciiTheme="majorHAnsi" w:hAnsiTheme="majorHAnsi" w:cstheme="majorHAnsi"/>
                <w:sz w:val="18"/>
                <w:szCs w:val="18"/>
              </w:rPr>
            </w:pPr>
            <w:r>
              <w:rPr>
                <w:rFonts w:asciiTheme="majorHAnsi" w:hAnsiTheme="majorHAnsi" w:cstheme="majorHAnsi"/>
                <w:sz w:val="16"/>
                <w:szCs w:val="16"/>
              </w:rPr>
              <w:t xml:space="preserve">2 – This includes institutions which are bound by outsourcing arrangements as a result of an acquisition of the business of another institution.</w:t>
            </w:r>
          </w:p>
        </w:tc>
        <w:tc>
          <w:tcPr>
            <w:tcW w:w="2189" w:type="dxa"/>
          </w:tcPr>
          <w:p w14:paraId="0E872C26"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Addressed to different people: banks and FIs.</w:t>
            </w:r>
          </w:p>
          <w:p w14:paraId="7FAA34CE"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Bank Guidelines imports the concept of “ongoing outsourced relevant services” from Notice 658 and 1121; the FI  Guidelines uses “outsourcing arrangement”, as defined within the document itself.</w:t>
            </w:r>
          </w:p>
          <w:p w14:paraId="0BFE2C7C" w14:textId="2D514C5B" w:rsidR="00571E63" w:rsidRP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The exemption lists are found in different places: Annex D of Notices 658 and 1121 from the Bank Guidelines, and Annex 1 from the FI Guidelines.</w:t>
            </w:r>
          </w:p>
        </w:tc>
      </w:tr>
      <w:tr w:rsidR="00A37DFE" w:rsidRPr="00DD537D" w14:paraId="4017719C" w14:textId="77777777" w:rsidTr="00DC7DDC">
        <w:tc>
          <w:tcPr>
            <w:tcW w:w="625" w:type="dxa"/>
          </w:tcPr>
          <w:p w14:paraId="702F119F" w14:textId="2762AD5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1.3</w:t>
            </w:r>
          </w:p>
        </w:tc>
        <w:tc>
          <w:tcPr>
            <w:tcW w:w="5670" w:type="dxa"/>
          </w:tcPr>
          <w:p w14:paraId="58C3FCFE" w14:textId="5C80F3D5" w:rsidR="00A37DFE" w:rsidRP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w="5731" w:type="dxa"/>
          </w:tcPr>
          <w:p w14:paraId="46F18B78" w14:textId="77777777" w:rsidR="00A37DFE" w:rsidRDefault="004F79C9" w:rsidP="004F79C9">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relevant expectations for banks and merchant banks are set out in a separate set of guidelines for banks and merchant banks, as that set of guidelines makes reference to definitions in MAS Notices 658 and 1121 that apply only to banks and merchant banks</w:t>
            </w:r>
            <w:r>
              <w:rPr>
                <w:rFonts w:asciiTheme="majorHAnsi" w:hAnsiTheme="majorHAnsi" w:cstheme="majorHAnsi"/>
                <w:sz w:val="18"/>
                <w:szCs w:val="18"/>
                <w:vertAlign w:val="superscript"/>
              </w:rPr>
              <w:t>3</w:t>
            </w:r>
            <w:r>
              <w:rPr>
                <w:rFonts w:asciiTheme="majorHAnsi" w:hAnsiTheme="majorHAnsi" w:cstheme="majorHAnsi"/>
                <w:sz w:val="18"/>
                <w:szCs w:val="18"/>
              </w:rPr>
              <w:t>.</w:t>
            </w:r>
          </w:p>
          <w:p w14:paraId="46BDC647" w14:textId="77777777" w:rsidR="00B262CC" w:rsidRDefault="00B262CC" w:rsidP="004F79C9">
            <w:pPr>
              <w:tabs>
                <w:tab w:val="left" w:pos="360"/>
              </w:tabs>
              <w:spacing w:line="276" w:lineRule="auto"/>
              <w:rPr>
                <w:rFonts w:asciiTheme="majorHAnsi" w:hAnsiTheme="majorHAnsi" w:cstheme="majorHAnsi"/>
                <w:sz w:val="18"/>
                <w:szCs w:val="18"/>
              </w:rPr>
            </w:pPr>
          </w:p>
          <w:p w14:paraId="71CD7C67" w14:textId="2AABBE7D" w:rsidR="00B262CC" w:rsidRPr="00441C92" w:rsidRDefault="00B262CC" w:rsidP="004F79C9">
            <w:pPr>
              <w:tabs>
                <w:tab w:val="left" w:pos="360"/>
              </w:tabs>
              <w:spacing w:line="276" w:lineRule="auto"/>
              <w:rPr>
                <w:rFonts w:asciiTheme="majorHAnsi" w:hAnsiTheme="majorHAnsi" w:cstheme="majorHAnsi"/>
                <w:sz w:val="16"/>
                <w:szCs w:val="16"/>
              </w:rPr>
            </w:pPr>
            <w:r>
              <w:rPr>
                <w:rFonts w:asciiTheme="majorHAnsi" w:hAnsiTheme="majorHAnsi" w:cstheme="majorHAnsi"/>
                <w:sz w:val="16"/>
                <w:szCs w:val="16"/>
              </w:rPr>
              <w:t xml:space="preserve">3 – This refers to the “Guidelines on Outsourcing (Banks)” at this </w:t>
            </w:r>
            <w:hyperlink r:id="rId12" w:history="1">
              <w:r>
                <w:rPr>
                  <w:rStyle w:val="Hyperlink"/>
                  <w:rFonts w:asciiTheme="majorHAnsi" w:hAnsiTheme="majorHAnsi" w:cstheme="majorHAnsi"/>
                  <w:i/>
                  <w:iCs/>
                  <w:sz w:val="16"/>
                  <w:szCs w:val="16"/>
                </w:rPr>
                <w:t>link</w:t>
              </w:r>
            </w:hyperlink>
            <w:r>
              <w:rPr>
                <w:rFonts w:asciiTheme="majorHAnsi" w:hAnsiTheme="majorHAnsi" w:cstheme="majorHAnsi"/>
                <w:sz w:val="16"/>
                <w:szCs w:val="16"/>
              </w:rPr>
              <w:t>.</w:t>
            </w:r>
          </w:p>
        </w:tc>
        <w:tc>
          <w:tcPr>
            <w:tcW w:w="2189" w:type="dxa"/>
          </w:tcPr>
          <w:p w14:paraId="732A7D57" w14:textId="19CC74A9" w:rsidR="00B262CC" w:rsidRPr="00B262CC" w:rsidRDefault="00B262CC" w:rsidP="00B262CC">
            <w:pPr>
              <w:pStyle w:val="ListParagraph"/>
              <w:numPr>
                <w:ilvl w:val="0"/>
                <w:numId w:val="3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1.3 from the Bank Guidelines is found in 2.1 of the FI Guidelines, with the only changes being the relevant institutions (FIs and banks).</w:t>
            </w:r>
          </w:p>
        </w:tc>
      </w:tr>
      <w:tr w:rsidR="00A37DFE" w:rsidRPr="00DD537D" w14:paraId="034FEB83" w14:textId="77777777" w:rsidTr="00DC7DDC">
        <w:tc>
          <w:tcPr>
            <w:tcW w:w="625" w:type="dxa"/>
          </w:tcPr>
          <w:p w14:paraId="5E6E4303" w14:textId="50BD856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t>1.4</w:t>
            </w:r>
          </w:p>
        </w:tc>
        <w:tc>
          <w:tcPr>
            <w:tcW w:w="5670" w:type="dxa"/>
          </w:tcPr>
          <w:p w14:paraId="470DC605" w14:textId="0BDDA13E" w:rsidR="00A37DFE" w:rsidRPr="00A37DF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Theme="majorHAnsi" w:hAnsiTheme="majorHAnsi" w:cstheme="majorHAnsi"/>
                <w:sz w:val="18"/>
                <w:szCs w:val="18"/>
                <w:highlight w:val="yellow"/>
              </w:rPr>
              <w:t>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w="5731" w:type="dxa"/>
          </w:tcPr>
          <w:p w14:paraId="759492F7" w14:textId="77777777" w:rsidR="00A37DFE" w:rsidRDefault="009F4FC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take effect on 11 December 2024 </w:t>
            </w:r>
            <w:r>
              <w:rPr>
                <w:rFonts w:asciiTheme="majorHAnsi" w:hAnsiTheme="majorHAnsi" w:cstheme="majorHAnsi"/>
                <w:sz w:val="18"/>
                <w:szCs w:val="18"/>
                <w:highlight w:val="yellow"/>
              </w:rPr>
              <w:t>and last revised on 24 January 2025.</w:t>
            </w:r>
          </w:p>
          <w:p w14:paraId="76729849" w14:textId="56D6A0F9" w:rsidR="009F4FCE" w:rsidRPr="00A37DFE" w:rsidRDefault="009F4FCE" w:rsidP="00A37DFE">
            <w:pPr>
              <w:pStyle w:val="BodyText"/>
              <w:rPr>
                <w:rFonts w:asciiTheme="majorHAnsi" w:hAnsiTheme="majorHAnsi" w:cstheme="majorHAnsi"/>
                <w:sz w:val="18"/>
                <w:szCs w:val="18"/>
              </w:rPr>
            </w:pPr>
          </w:p>
        </w:tc>
        <w:tc>
          <w:tcPr>
            <w:tcW w:w="2189" w:type="dxa"/>
          </w:tcPr>
          <w:p w14:paraId="3068C264" w14:textId="7A2E1337" w:rsidR="00441C92"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Bank Guidelines 1.4 is comparable to FI Guidelines 2.2. The two prescribe different sources for which services are exempt: for the Bank Guidelines, Annexes 1, 2, and 3; for the FI Guidelines, Annexes 1 – 5.</w:t>
            </w:r>
          </w:p>
          <w:p w14:paraId="25492CFF" w14:textId="017E5BB7" w:rsidR="00A37DFE"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FI Guidelines 1.4: The phrase “and last revised on 24 January 2025” is not found in 1.6.</w:t>
            </w:r>
          </w:p>
        </w:tc>
      </w:tr>
      <w:tr w:rsidR="009F4FCE" w:rsidRPr="00DD537D" w14:paraId="28AA0DFF" w14:textId="77777777" w:rsidTr="00DC7DDC">
        <w:tc>
          <w:tcPr>
            <w:tcW w:w="625" w:type="dxa"/>
          </w:tcPr>
          <w:p w14:paraId="352ED0C6" w14:textId="3C4605AC"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1.5</w:t>
            </w:r>
          </w:p>
        </w:tc>
        <w:tc>
          <w:tcPr>
            <w:tcW w:w="5670" w:type="dxa"/>
          </w:tcPr>
          <w:p w14:paraId="03CA6469" w14:textId="77777777" w:rsid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Theme="majorHAnsi" w:hAnsiTheme="majorHAnsi" w:cstheme="majorHAnsi"/>
                <w:sz w:val="18"/>
                <w:szCs w:val="18"/>
                <w:vertAlign w:val="superscript"/>
              </w:rPr>
              <w:t>3</w:t>
            </w:r>
            <w:r>
              <w:rPr>
                <w:rFonts w:asciiTheme="majorHAnsi" w:hAnsiTheme="majorHAnsi" w:cstheme="majorHAnsi"/>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14:paraId="2F957217" w14:textId="77777777" w:rsidR="009F4FCE" w:rsidRDefault="009F4FCE" w:rsidP="00A37DFE">
            <w:pPr>
              <w:tabs>
                <w:tab w:val="left" w:pos="360"/>
              </w:tabs>
              <w:spacing w:line="276" w:lineRule="auto"/>
              <w:rPr>
                <w:rFonts w:asciiTheme="majorHAnsi" w:hAnsiTheme="majorHAnsi" w:cstheme="majorHAnsi"/>
                <w:sz w:val="18"/>
                <w:szCs w:val="18"/>
              </w:rPr>
            </w:pPr>
          </w:p>
          <w:p w14:paraId="600C0EF3" w14:textId="33548459" w:rsidR="009F4FCE" w:rsidRPr="009F4FCE" w:rsidRDefault="009F4FCE" w:rsidP="009F4FCE">
            <w:pPr>
              <w:pStyle w:val="BodyText"/>
              <w:rPr>
                <w:rFonts w:asciiTheme="majorHAnsi" w:hAnsiTheme="majorHAnsi" w:cstheme="majorHAnsi"/>
                <w:sz w:val="18"/>
                <w:szCs w:val="18"/>
              </w:rPr>
            </w:pPr>
            <w:r>
              <w:rPr>
                <w:rFonts w:asciiTheme="majorHAnsi" w:hAnsiTheme="majorHAnsi" w:cstheme="majorHAnsi"/>
                <w:sz w:val="16"/>
                <w:szCs w:val="16"/>
                <w:highlight w:val="yellow"/>
              </w:rPr>
              <w:t>3 – This includes MAS Information Paper on “Operational Risk Management – Third-Party Arrangements”, which sets out good practices relating to third-party risk management that MAS expects to see in banks.</w:t>
            </w:r>
          </w:p>
        </w:tc>
        <w:tc>
          <w:tcPr>
            <w:tcW w:w="5731" w:type="dxa"/>
          </w:tcPr>
          <w:p w14:paraId="5B38C841" w14:textId="4B1595FC" w:rsidR="00441C92"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p w14:paraId="49A66402" w14:textId="269A9657" w:rsidR="009F4FCE" w:rsidRPr="009F4FCE" w:rsidRDefault="009F4FCE" w:rsidP="00A37DFE">
            <w:pPr>
              <w:pStyle w:val="BodyText"/>
              <w:rPr>
                <w:rFonts w:asciiTheme="majorHAnsi" w:hAnsiTheme="majorHAnsi" w:cstheme="majorHAnsi"/>
                <w:sz w:val="18"/>
                <w:szCs w:val="18"/>
              </w:rPr>
            </w:pPr>
          </w:p>
        </w:tc>
        <w:tc>
          <w:tcPr>
            <w:tcW w:w="2189" w:type="dxa"/>
          </w:tcPr>
          <w:p w14:paraId="0F577181" w14:textId="67ED1359" w:rsidR="009F4FCE" w:rsidRPr="007D0594" w:rsidRDefault="00441C92" w:rsidP="007D0594">
            <w:pPr>
              <w:pStyle w:val="ListParagraph"/>
              <w:numPr>
                <w:ilvl w:val="0"/>
                <w:numId w:val="34"/>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Found in 2.4 under Application of Guidelines for Outsourcing (FI), worded identically.</w:t>
            </w:r>
          </w:p>
        </w:tc>
      </w:tr>
      <w:tr w:rsidR="009F4FCE" w:rsidRPr="00DD537D" w14:paraId="16AF2192" w14:textId="77777777" w:rsidTr="00DC7DDC">
        <w:tc>
          <w:tcPr>
            <w:tcW w:w="625" w:type="dxa"/>
          </w:tcPr>
          <w:p w14:paraId="4B79FDB7" w14:textId="0460403A"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t>1.6</w:t>
            </w:r>
          </w:p>
        </w:tc>
        <w:tc>
          <w:tcPr>
            <w:tcW w:w="5670" w:type="dxa"/>
          </w:tcPr>
          <w:p w14:paraId="22073E9B" w14:textId="5ABBCEF1" w:rsidR="009F4FCE" w:rsidRPr="009F4FCE" w:rsidRDefault="00571E63"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These Guidelines take effect on 11 December 2024.</w:t>
            </w:r>
          </w:p>
        </w:tc>
        <w:tc>
          <w:tcPr>
            <w:tcW w:w="5731" w:type="dxa"/>
          </w:tcPr>
          <w:p w14:paraId="0AF99415" w14:textId="199D57C3" w:rsidR="009F4FCE"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tc>
        <w:tc>
          <w:tcPr>
            <w:tcW w:w="2189" w:type="dxa"/>
          </w:tcPr>
          <w:p w14:paraId="23B29FF4" w14:textId="296E322C" w:rsidR="009F4FCE" w:rsidRPr="007D0594" w:rsidRDefault="007D0594" w:rsidP="007D0594">
            <w:pPr>
              <w:pStyle w:val="ListParagraph"/>
              <w:numPr>
                <w:ilvl w:val="0"/>
                <w:numId w:val="35"/>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1.4 for the FI Guidelines, worded identically.</w:t>
            </w:r>
          </w:p>
        </w:tc>
      </w:tr>
      <w:tr w:rsidR="00B262CC" w:rsidRPr="00DD537D" w14:paraId="0BCCC127" w14:textId="77777777" w:rsidTr="00DC7DDC">
        <w:tc>
          <w:tcPr>
            <w:tcW w:w="625" w:type="dxa"/>
            <w:shd w:val="clear" w:color="auto" w:fill="D9D9D9" w:themeFill="background1" w:themeFillShade="D9"/>
          </w:tcPr>
          <w:p w14:paraId="6AACA063" w14:textId="158A8E70"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w:t>
            </w:r>
          </w:p>
        </w:tc>
        <w:tc>
          <w:tcPr>
            <w:tcW w:w="5670" w:type="dxa"/>
            <w:shd w:val="clear" w:color="auto" w:fill="D9D9D9" w:themeFill="background1" w:themeFillShade="D9"/>
          </w:tcPr>
          <w:p w14:paraId="7B91DE09" w14:textId="76F178F1" w:rsidR="00B262CC" w:rsidRPr="007D0594" w:rsidRDefault="007D0594" w:rsidP="00A37DFE">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Engagement with MAS</w:t>
            </w:r>
          </w:p>
        </w:tc>
        <w:tc>
          <w:tcPr>
            <w:tcW w:w="5731" w:type="dxa"/>
            <w:shd w:val="clear" w:color="auto" w:fill="D9D9D9" w:themeFill="background1" w:themeFillShade="D9"/>
          </w:tcPr>
          <w:p w14:paraId="26000AF0" w14:textId="58C016D7" w:rsidR="00B262CC" w:rsidRPr="000C51EC" w:rsidRDefault="007D0594" w:rsidP="00A37DFE">
            <w:pPr>
              <w:pStyle w:val="BodyText"/>
              <w:rPr>
                <w:rFonts w:asciiTheme="majorHAnsi" w:hAnsiTheme="majorHAnsi" w:cstheme="majorHAnsi"/>
                <w:b/>
                <w:bCs/>
                <w:sz w:val="18"/>
                <w:szCs w:val="18"/>
                <w:highlight w:val="yellow"/>
              </w:rPr>
            </w:pPr>
            <w:r>
              <w:rPr>
                <w:rFonts w:asciiTheme="majorHAnsi" w:hAnsiTheme="majorHAnsi" w:cstheme="majorHAnsi"/>
                <w:b/>
                <w:bCs/>
                <w:sz w:val="18"/>
                <w:szCs w:val="18"/>
                <w:highlight w:val="yellow"/>
              </w:rPr>
              <w:t>Application of Guidelines</w:t>
            </w:r>
          </w:p>
        </w:tc>
        <w:tc>
          <w:tcPr>
            <w:tcW w:w="2189" w:type="dxa"/>
            <w:shd w:val="clear" w:color="auto" w:fill="D9D9D9" w:themeFill="background1" w:themeFillShade="D9"/>
          </w:tcPr>
          <w:p w14:paraId="000836B5" w14:textId="77777777" w:rsidR="00B262CC"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1 of the Bank Guidelines roughly corresponds to Section 2 of the FI Guidelines.</w:t>
            </w:r>
          </w:p>
          <w:p w14:paraId="4420FFBC" w14:textId="77777777" w:rsidR="002B7735" w:rsidRDefault="002B7735" w:rsidP="00A37DFE">
            <w:pPr>
              <w:tabs>
                <w:tab w:val="left" w:pos="360"/>
              </w:tabs>
              <w:spacing w:line="276" w:lineRule="auto"/>
              <w:rPr>
                <w:rFonts w:asciiTheme="majorHAnsi" w:hAnsiTheme="majorHAnsi" w:cstheme="majorHAnsi"/>
                <w:sz w:val="18"/>
                <w:szCs w:val="18"/>
              </w:rPr>
            </w:pPr>
          </w:p>
          <w:p w14:paraId="6AB062D7" w14:textId="182AB8E1" w:rsidR="002B7735" w:rsidRPr="007D0594"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2 of the Bank Guidelines (“Engagement with MAS”) is found in Section 4 of the FI Guidelines.</w:t>
            </w:r>
          </w:p>
        </w:tc>
      </w:tr>
      <w:tr w:rsidR="00B262CC" w:rsidRPr="00DD537D" w14:paraId="71A4D290" w14:textId="77777777" w:rsidTr="00DC7DDC">
        <w:tc>
          <w:tcPr>
            <w:tcW w:w="625" w:type="dxa"/>
          </w:tcPr>
          <w:p w14:paraId="491AAFFD" w14:textId="2BD48839"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2.1</w:t>
            </w:r>
          </w:p>
        </w:tc>
        <w:tc>
          <w:tcPr>
            <w:tcW w:w="5670" w:type="dxa"/>
          </w:tcPr>
          <w:p w14:paraId="1FDE46F1" w14:textId="00380876" w:rsidR="00B262CC"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material ongoing outsourced relevant services (MOORS). MAS may also take non-observance into account in its assessment of the Bank, considering the potential impact of the outsourcing </w:t>
              <w:lastRenderedPageBreak/>
              <w:t>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w="5731" w:type="dxa"/>
          </w:tcPr>
          <w:p w14:paraId="2D5450B6" w14:textId="3FA3BC43" w:rsidR="00B262CC" w:rsidRPr="009F4FCE" w:rsidRDefault="007D0594" w:rsidP="007D0594">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w="2189" w:type="dxa"/>
          </w:tcPr>
          <w:p w14:paraId="34089943" w14:textId="3D9D6ABA" w:rsid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2.1 of the Bank Guidelines is found in 4.1.1-4.1.2 for the FI Guidelines, identically worded but split across two provisions.</w:t>
            </w:r>
          </w:p>
          <w:p w14:paraId="16A922B2" w14:textId="4678DA9B" w:rsidR="007D0594" w:rsidRP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2.1 of the FI Guidelines is identical to 1.3 of the Bank Guidelines; both pertain to proportionality in the same way.</w:t>
            </w:r>
          </w:p>
        </w:tc>
      </w:tr>
      <w:tr w:rsidR="007D0594" w:rsidRPr="00DD537D" w14:paraId="20CC7F04" w14:textId="77777777" w:rsidTr="00DC7DDC">
        <w:tc>
          <w:tcPr>
            <w:tcW w:w="625" w:type="dxa"/>
          </w:tcPr>
          <w:p w14:paraId="57D48785" w14:textId="0908FDCD"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2.2</w:t>
            </w:r>
          </w:p>
        </w:tc>
        <w:tc>
          <w:tcPr>
            <w:tcW w:w="5670" w:type="dxa"/>
          </w:tcPr>
          <w:p w14:paraId="0F5FCE97" w14:textId="74185A81" w:rsidR="007D0594"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tc>
        <w:tc>
          <w:tcPr>
            <w:tcW w:w="5731" w:type="dxa"/>
          </w:tcPr>
          <w:p w14:paraId="69851F17" w14:textId="6CBBE7BA" w:rsidR="007D0594" w:rsidRPr="009F4FCE" w:rsidRDefault="007D0594"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Annex 1 provides a list of exempted outsourced services, for which the Guidelines do not apply. Annex 2 provides a non-exhaustive list of examples of outsourcing arrangements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Annex 4 provides a template for an institution to maintain a register of its outsourcing arrangements which is to be submitted to MAS, at least annually or upon request. Annex 5 provides guidance on use of cloud services.</w:t>
            </w:r>
          </w:p>
        </w:tc>
        <w:tc>
          <w:tcPr>
            <w:tcW w:w="2189" w:type="dxa"/>
          </w:tcPr>
          <w:p w14:paraId="3306A3F3" w14:textId="75BC0F3D" w:rsidR="007D0594" w:rsidRPr="007D0594" w:rsidRDefault="007D0594" w:rsidP="007D0594">
            <w:pPr>
              <w:pStyle w:val="ListParagraph"/>
              <w:numPr>
                <w:ilvl w:val="0"/>
                <w:numId w:val="3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2.2 of the Bank Guidelines is found in 4.2.1 for the FI Guidelines.</w:t>
            </w:r>
          </w:p>
        </w:tc>
      </w:tr>
      <w:tr w:rsidR="007D0594" w:rsidRPr="00DD537D" w14:paraId="5661308E" w14:textId="77777777" w:rsidTr="00DC7DDC">
        <w:tc>
          <w:tcPr>
            <w:tcW w:w="625" w:type="dxa"/>
          </w:tcPr>
          <w:p w14:paraId="538AD158" w14:textId="0098C69E"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2.3</w:t>
            </w:r>
          </w:p>
        </w:tc>
        <w:tc>
          <w:tcPr>
            <w:tcW w:w="5670" w:type="dxa"/>
          </w:tcPr>
          <w:p w14:paraId="0F8DEF05" w14:textId="30A257C2" w:rsidR="007D0594" w:rsidRPr="000C51EC" w:rsidRDefault="000C51EC" w:rsidP="00A37DFE">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53174252" w14:textId="6D8C4028" w:rsidR="007D0594" w:rsidRPr="003130A0" w:rsidRDefault="000C51EC"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An institution incorporated in Singapore should also consider the impact of outsourcing arrangements by its branches and any corporation under its control, including those located outside Singapore, on its consolidated operations. 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14:paraId="3E5823C6" w14:textId="0ADB1287" w:rsidR="007D0594" w:rsidRPr="000C51EC" w:rsidRDefault="000C51EC" w:rsidP="000C51EC">
            <w:pPr>
              <w:pStyle w:val="ListParagraph"/>
              <w:numPr>
                <w:ilvl w:val="0"/>
                <w:numId w:val="4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Closest counterpart to 2.3 of FI Guidelines is 3.1.1 and Annex 1 of the Bank Guidelines.</w:t>
            </w:r>
          </w:p>
        </w:tc>
      </w:tr>
      <w:tr w:rsidR="000C51EC" w:rsidRPr="00DD537D" w14:paraId="77CE2980" w14:textId="77777777" w:rsidTr="00DC7DDC">
        <w:tc>
          <w:tcPr>
            <w:tcW w:w="625" w:type="dxa"/>
          </w:tcPr>
          <w:p w14:paraId="69909851" w14:textId="1A92F7C2" w:rsidR="000C51EC" w:rsidRDefault="000C51EC" w:rsidP="000C51EC">
            <w:pPr>
              <w:pStyle w:val="BodyText"/>
              <w:rPr>
                <w:rFonts w:asciiTheme="majorHAnsi" w:hAnsiTheme="majorHAnsi" w:cstheme="majorHAnsi"/>
                <w:sz w:val="18"/>
                <w:szCs w:val="18"/>
              </w:rPr>
            </w:pPr>
            <w:r>
              <w:rPr>
                <w:rFonts w:asciiTheme="majorHAnsi" w:hAnsiTheme="majorHAnsi" w:cstheme="majorHAnsi"/>
                <w:sz w:val="18"/>
                <w:szCs w:val="18"/>
              </w:rPr>
              <w:t>2.4</w:t>
            </w:r>
          </w:p>
        </w:tc>
        <w:tc>
          <w:tcPr>
            <w:tcW w:w="5670" w:type="dxa"/>
          </w:tcPr>
          <w:p w14:paraId="6B30485F" w14:textId="6B96164D" w:rsidR="000C51EC" w:rsidRPr="000C51EC" w:rsidRDefault="000C51EC"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36554266" w14:textId="3DF19A2C" w:rsidR="000C51EC" w:rsidRPr="009F4FCE" w:rsidRDefault="000C51E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w:t>
              <w:lastRenderedPageBreak/>
              <w:t>pursuant to the relevant legislation and subsidiary legislation. The Guidelines do not affect and should not be regarded as a statement of the standard of care owed by institutions to their customers.</w:t>
            </w:r>
          </w:p>
        </w:tc>
        <w:tc>
          <w:tcPr>
            <w:tcW w:w="2189" w:type="dxa"/>
          </w:tcPr>
          <w:p w14:paraId="7FE10D74" w14:textId="68D1437B" w:rsidR="000C51EC" w:rsidRPr="000C51EC" w:rsidRDefault="008A5CCF" w:rsidP="000C51EC">
            <w:pPr>
              <w:pStyle w:val="ListParagraph"/>
              <w:numPr>
                <w:ilvl w:val="0"/>
                <w:numId w:val="4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2.4 of the FI Guidelines is found in 1.5 of the Bank Guidelines.</w:t>
            </w:r>
          </w:p>
        </w:tc>
      </w:tr>
      <w:tr w:rsidR="002B7735" w:rsidRPr="00DD537D" w14:paraId="26E631E8" w14:textId="77777777" w:rsidTr="00DC7DDC">
        <w:tc>
          <w:tcPr>
            <w:tcW w:w="625" w:type="dxa"/>
            <w:shd w:val="clear" w:color="auto" w:fill="D9D9D9" w:themeFill="background1" w:themeFillShade="D9"/>
          </w:tcPr>
          <w:p w14:paraId="341E5C64" w14:textId="68CABEBD" w:rsidR="002B7735" w:rsidRDefault="002B7735" w:rsidP="000C51EC">
            <w:pPr>
              <w:pStyle w:val="BodyText"/>
              <w:rPr>
                <w:rFonts w:asciiTheme="majorHAnsi" w:hAnsiTheme="majorHAnsi" w:cstheme="majorHAnsi"/>
                <w:sz w:val="18"/>
                <w:szCs w:val="18"/>
              </w:rPr>
            </w:pPr>
            <w:r>
              <w:rPr>
                <w:rFonts w:asciiTheme="majorHAnsi" w:hAnsiTheme="majorHAnsi" w:cstheme="majorHAnsi"/>
                <w:sz w:val="18"/>
                <w:szCs w:val="18"/>
              </w:rPr>
              <w:t>3.</w:t>
            </w:r>
          </w:p>
        </w:tc>
        <w:tc>
          <w:tcPr>
            <w:tcW w:w="5670" w:type="dxa"/>
            <w:shd w:val="clear" w:color="auto" w:fill="D9D9D9" w:themeFill="background1" w:themeFillShade="D9"/>
          </w:tcPr>
          <w:p w14:paraId="0BCB495D" w14:textId="136CFEFA" w:rsidR="002B7735" w:rsidRPr="002B7735" w:rsidRDefault="002B7735" w:rsidP="000C51EC">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Risk Management Practices</w:t>
            </w:r>
          </w:p>
        </w:tc>
        <w:tc>
          <w:tcPr>
            <w:tcW w:w="5731" w:type="dxa"/>
            <w:shd w:val="clear" w:color="auto" w:fill="D9D9D9" w:themeFill="background1" w:themeFillShade="D9"/>
          </w:tcPr>
          <w:p w14:paraId="10CA30E1" w14:textId="4D0DC097" w:rsidR="002B7735" w:rsidRPr="002B7735" w:rsidRDefault="002B7735" w:rsidP="000C51EC">
            <w:pPr>
              <w:tabs>
                <w:tab w:val="left" w:pos="360"/>
              </w:tabs>
              <w:spacing w:line="276" w:lineRule="auto"/>
              <w:rPr>
                <w:rFonts w:asciiTheme="majorHAnsi" w:hAnsiTheme="majorHAnsi" w:cstheme="majorHAnsi"/>
                <w:sz w:val="18"/>
                <w:szCs w:val="18"/>
              </w:rPr>
            </w:pPr>
            <w:r>
              <w:rPr>
                <w:rFonts w:asciiTheme="majorHAnsi" w:hAnsiTheme="majorHAnsi" w:cstheme="majorHAnsi"/>
                <w:b/>
                <w:bCs/>
                <w:sz w:val="18"/>
                <w:szCs w:val="18"/>
                <w:highlight w:val="yellow"/>
              </w:rPr>
              <w:t>Definitions</w:t>
            </w:r>
          </w:p>
        </w:tc>
        <w:tc>
          <w:tcPr>
            <w:tcW w:w="2189" w:type="dxa"/>
            <w:shd w:val="clear" w:color="auto" w:fill="D9D9D9" w:themeFill="background1" w:themeFillShade="D9"/>
          </w:tcPr>
          <w:p w14:paraId="37C1F524" w14:textId="6646BBC4" w:rsidR="002B7735" w:rsidRPr="002B7735" w:rsidRDefault="002B7735" w:rsidP="002B7735">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There is no comparable Definitions section in the Bank Guidelines. The “Risk Management Practices” section is found in section 5 of the FI Guidelines instead.</w:t>
            </w:r>
          </w:p>
          <w:p>
            <w:pPr>
              <w:pStyle w:val="BodyText"/>
              <w:rPr>
                <w:rFonts w:asciiTheme="majorHAnsi" w:hAnsiTheme="majorHAnsi" w:cstheme="majorHAnsi"/>
                <w:sz w:val="18"/>
                <w:szCs w:val="18"/>
              </w:rPr>
            </w:pPr>
            <w:r>
              <w:rPr>
                <w:rFonts w:asciiTheme="majorHAnsi" w:hAnsiTheme="majorHAnsi" w:cstheme="majorHAnsi"/>
                <w:sz w:val="18"/>
                <w:szCs w:val="18"/>
              </w:rPr>
              <w:t xml:space="preserve">Note also 5.1.1 of the FI Guidelines (Overview), which has no Bank counterpart: in supervising an institution, MAS will review its implementation of these Guidelines, the quality of its board and senior management oversight and governance, internal controls and risk management.</w:t>
            </w:r>
          </w:p>
        </w:tc>
      </w:tr>
      <w:tr w:rsidR="008A5CCF" w:rsidRPr="00DD537D" w14:paraId="3349B585" w14:textId="77777777" w:rsidTr="00DC7DDC">
        <w:tc>
          <w:tcPr>
            <w:tcW w:w="625" w:type="dxa"/>
          </w:tcPr>
          <w:p w14:paraId="317CD60F" w14:textId="1A2E0F0E"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w:t>
            </w:r>
          </w:p>
        </w:tc>
        <w:tc>
          <w:tcPr>
            <w:tcW w:w="5670" w:type="dxa"/>
          </w:tcPr>
          <w:p w14:paraId="1D2CD950" w14:textId="4C584719" w:rsidR="008A5CCF" w:rsidRPr="000C51EC" w:rsidRDefault="008A5CCF"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Responsibilities of the Board and Senior Management</w:t>
            </w:r>
          </w:p>
        </w:tc>
        <w:tc>
          <w:tcPr>
            <w:tcW w:w="5731" w:type="dxa"/>
            <w:vMerge w:val="restart"/>
          </w:tcPr>
          <w:p w14:paraId="15B5EBC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In these Guidelines on Outsourcing, unless the context otherwise requires: “benchmark administrator” means a benchmark administrator authorised under section 123F of the Securities and Futures Act 2001 (SFA) or a benchmark administrator exempt under section 123K of the SFA;</w:t>
            </w:r>
          </w:p>
          <w:p w14:paraId="2275E36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p>
          <w:p w14:paraId="3851A7F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“board” or “board of directors” means –</w:t>
            </w:r>
          </w:p>
          <w:p w14:paraId="163EFD31" w14:textId="0FCC6652"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 xml:space="preserve">(a) in the case of an institution incorporated in Singapore, the board of directors; and</w:t>
            </w:r>
          </w:p>
          <w:p w14:paraId="59FCE971" w14:textId="44CD72A0"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highlight w:val="yellow"/>
              </w:rPr>
              <w:t xml:space="preserve">(b) in the case of an institution incorporated or established outside Singapore, a management committee or body beyond local management charged with oversight and supervision responsibilities for the institution in Singapore;</w:t>
            </w:r>
          </w:p>
          <w:p w14:paraId="64E98F7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14:paraId="3F87855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“business relations” –</w:t>
            </w:r>
          </w:p>
          <w:p w14:paraId="1899470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in relation to an insurer, means</w:t>
            </w:r>
          </w:p>
          <w:p w14:paraId="1E083AE3"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issuance of a policy or reinsurance cover by the insurer to; or</w:t>
            </w:r>
          </w:p>
          <w:p w14:paraId="1218036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insurer to,</w:t>
            </w:r>
          </w:p>
          <w:p w14:paraId="657F41D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5DABEA37"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(b) in relation to a CMI, means</w:t>
            </w:r>
          </w:p>
          <w:p w14:paraId="2837FA94" w14:textId="1D21A8C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CMI in the name of; or</w:t>
            </w:r>
          </w:p>
          <w:p w14:paraId="3607710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CMI to; or</w:t>
            </w:r>
          </w:p>
          <w:p w14:paraId="5BF96212"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(iii) the provision of fund management services by the CMI to,</w:t>
            </w:r>
          </w:p>
          <w:p w14:paraId="37C26B0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79828681" w14:textId="77777777" w:rsidR="008A5CCF" w:rsidRDefault="008A5CCF" w:rsidP="000C51EC">
            <w:pPr>
              <w:tabs>
                <w:tab w:val="left" w:pos="360"/>
              </w:tabs>
              <w:spacing w:line="276" w:lineRule="auto"/>
              <w:rPr>
                <w:rFonts w:asciiTheme="majorHAnsi" w:hAnsiTheme="majorHAnsi" w:cstheme="majorHAnsi"/>
                <w:sz w:val="18"/>
                <w:szCs w:val="18"/>
              </w:rPr>
            </w:pPr>
          </w:p>
          <w:p w14:paraId="6B814FF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in relation to a financial adviser, means</w:t>
            </w:r>
          </w:p>
          <w:p w14:paraId="68DA57B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financial adviser in the name of; or</w:t>
            </w:r>
          </w:p>
          <w:p w14:paraId="505C77F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financial adviser to,</w:t>
            </w:r>
          </w:p>
          <w:p w14:paraId="2822F78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3892AF48" w14:textId="77777777" w:rsidR="008A5CCF" w:rsidRDefault="008A5CCF" w:rsidP="000C51EC">
            <w:pPr>
              <w:tabs>
                <w:tab w:val="left" w:pos="360"/>
              </w:tabs>
              <w:spacing w:line="276" w:lineRule="auto"/>
              <w:rPr>
                <w:rFonts w:asciiTheme="majorHAnsi" w:hAnsiTheme="majorHAnsi" w:cstheme="majorHAnsi"/>
                <w:sz w:val="18"/>
                <w:szCs w:val="18"/>
              </w:rPr>
            </w:pPr>
          </w:p>
          <w:p w14:paraId="5C99A010" w14:textId="5048AC61" w:rsidR="008A5CCF" w:rsidRPr="000C51EC"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in relation to a credit card or charge card licensee licensed under section 57B of the Banking Act 1970, means the opening or maintenance of an account by the credit card or charge card licensee in the name of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“CMI”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information”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pStyle w:val="BodyText"/>
              <w:rPr>
                <w:rFonts w:asciiTheme="majorHAnsi" w:hAnsiTheme="majorHAnsi" w:cstheme="majorHAnsi"/>
                <w:sz w:val="18"/>
                <w:szCs w:val="18"/>
              </w:rPr>
            </w:pPr>
            <w:r>
              <w:rPr>
                <w:rFonts w:asciiTheme="majorHAnsi" w:hAnsiTheme="majorHAnsi" w:cstheme="majorHAnsi"/>
                <w:sz w:val="18"/>
                <w:szCs w:val="18"/>
              </w:rPr>
              <w:t xml:space="preserve">“financial adviser”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[Amended on 24 January 2025]</w:t>
            </w:r>
          </w:p>
          <w:p>
            <w:pPr>
              <w:pStyle w:val="BodyText"/>
              <w:rPr>
                <w:rFonts w:asciiTheme="majorHAnsi" w:hAnsiTheme="majorHAnsi" w:cstheme="majorHAnsi"/>
                <w:sz w:val="18"/>
                <w:szCs w:val="18"/>
              </w:rPr>
            </w:pPr>
            <w:r>
              <w:rPr>
                <w:rFonts w:asciiTheme="majorHAnsi" w:hAnsiTheme="majorHAnsi" w:cstheme="majorHAnsi"/>
                <w:sz w:val="18"/>
                <w:szCs w:val="18"/>
              </w:rPr>
              <w:t xml:space="preserve">“institution” means any financial institution as defined in Section 2 of the Financial Services and Markets Act 2022 other than a bank licensed under the Banking Act 1970 or a merchant bank licensed under the Banking Act 1970;</w:t>
            </w:r>
          </w:p>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arrangement” means a trust or other similar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person” means an entity other than a natural person that can establish a permanent customer relationship with a financial institution or otherwise own property;</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arrangement”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“relevant business transaction”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means any party which provides a service to the institution, including any entity within the institution’s group4, whether it is located in Singapore or elsewhere;</w:t>
            </w:r>
          </w:p>
          <w:p>
            <w:pPr>
              <w:pStyle w:val="BodyText"/>
              <w:rPr>
                <w:rFonts w:asciiTheme="majorHAnsi" w:hAnsiTheme="majorHAnsi" w:cstheme="majorHAnsi"/>
                <w:sz w:val="16"/>
                <w:szCs w:val="16"/>
              </w:rPr>
            </w:pPr>
            <w:r>
              <w:rPr>
                <w:rFonts w:asciiTheme="majorHAnsi" w:hAnsiTheme="majorHAnsi" w:cstheme="majorHAnsi"/>
                <w:sz w:val="16"/>
                <w:szCs w:val="16"/>
              </w:rPr>
              <w:t xml:space="preserve">4 – This refers to the institution’s Head Office or parent institution, subsidiaries, affiliates, and any entity (including their subsidiaries, affiliates and special purpose entities) that the institution exerts control over or that exerts control over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“sub-contracting” means an arrangement where a service provider which has an outsourcing arrangement with an institution, further outsources the services or part of the services covered under the outsourcing arrangement to another service provider.</w:t>
            </w:r>
          </w:p>
        </w:tc>
        <w:tc>
          <w:tcPr>
            <w:tcW w:w="2189" w:type="dxa"/>
            <w:vMerge w:val="restart"/>
          </w:tcPr>
          <w:p w14:paraId="30391481" w14:textId="77777777" w:rsidR="008A5CCF"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3.1.1 of the Bank Guidelines corresponds to 5.2.1 of the FI Guidelines.</w:t>
            </w:r>
          </w:p>
          <w:p w14:paraId="662B16D2" w14:textId="77777777" w:rsidR="008A5CCF" w:rsidRDefault="008A5CCF" w:rsidP="004F6066">
            <w:pPr>
              <w:tabs>
                <w:tab w:val="left" w:pos="360"/>
              </w:tabs>
              <w:spacing w:line="276" w:lineRule="auto"/>
              <w:rPr>
                <w:rFonts w:asciiTheme="majorHAnsi" w:hAnsiTheme="majorHAnsi" w:cstheme="majorHAnsi"/>
                <w:sz w:val="18"/>
                <w:szCs w:val="18"/>
              </w:rPr>
            </w:pPr>
          </w:p>
          <w:p w14:paraId="0C9E6307" w14:textId="4C1F4BA3" w:rsidR="008A5CCF" w:rsidRPr="004F6066"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Definitions section of the FI Guidelines has no counterpart in the Bank Guidelines; the Bank Guidelines rely on the definitions in Notices 658 and 1121 instead (see 1.4 of the Bank Guidelines).</w:t>
            </w:r>
          </w:p>
        </w:tc>
      </w:tr>
      <w:tr w:rsidR="008A5CCF" w:rsidRPr="00DD537D" w14:paraId="6371BAE7" w14:textId="77777777" w:rsidTr="00DC7DDC">
        <w:tc>
          <w:tcPr>
            <w:tcW w:w="625" w:type="dxa"/>
          </w:tcPr>
          <w:p w14:paraId="7D6AD680" w14:textId="55674CC7"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3.1.1</w:t>
            </w:r>
          </w:p>
        </w:tc>
        <w:tc>
          <w:tcPr>
            <w:tcW w:w="5670" w:type="dxa"/>
          </w:tcPr>
          <w:p w14:paraId="06B3F4CC" w14:textId="23577C38" w:rsidR="008A5CCF" w:rsidRPr="003130A0"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w="5731" w:type="dxa"/>
            <w:vMerge/>
          </w:tcPr>
          <w:p w14:paraId="40C2F92C"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vMerge/>
          </w:tcPr>
          <w:p>
            <w:pPr>
              <w:pStyle w:val="BodyText"/>
              <w:rPr>
                <w:rFonts w:asciiTheme="majorHAnsi" w:hAnsiTheme="majorHAnsi" w:cstheme="majorHAnsi"/>
                <w:sz w:val="18"/>
                <w:szCs w:val="18"/>
              </w:rPr>
            </w:pPr>
            <w:r>
              <w:rPr>
                <w:rFonts w:asciiTheme="majorHAnsi" w:hAnsiTheme="majorHAnsi" w:cstheme="majorHAnsi"/>
                <w:sz w:val="18"/>
                <w:szCs w:val="18"/>
              </w:rPr>
              <w:t xml:space="preserve">3.1.1 of the Bank Guidelines corresponds verbatim to 5.2.1 of the FI Guidelines (“institution-wide” for “bank-wide”).</w:t>
            </w:r>
          </w:p>
        </w:tc>
      </w:tr>
      <w:tr w:rsidR="008A5CCF" w:rsidRPr="00DD537D" w14:paraId="36B14ACE" w14:textId="77777777" w:rsidTr="00DC7DDC">
        <w:tc>
          <w:tcPr>
            <w:tcW w:w="625" w:type="dxa"/>
          </w:tcPr>
          <w:p w14:paraId="38B135BB" w14:textId="0DC8DD9D"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3.1.2</w:t>
            </w:r>
          </w:p>
        </w:tc>
        <w:tc>
          <w:tcPr>
            <w:tcW w:w="5670" w:type="dxa"/>
          </w:tcPr>
          <w:p w14:paraId="742D0792" w14:textId="77777777" w:rsidR="008A5CCF"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board, or a committee delegated by it, is responsible for:</w:t>
            </w:r>
          </w:p>
          <w:p w14:paraId="6AEF62C8" w14:textId="77777777" w:rsidR="008A5CCF" w:rsidRPr="008A5CCF" w:rsidRDefault="008A5CCF" w:rsidP="003130A0">
            <w:pPr>
              <w:pStyle w:val="Level4Number"/>
              <w:rPr>
                <w:sz w:val="18"/>
                <w:szCs w:val="18"/>
              </w:rPr>
            </w:pPr>
            <w:r>
              <w:rPr>
                <w:sz w:val="18"/>
                <w:szCs w:val="18"/>
              </w:rPr>
              <w:t>approving a framework to evaluate the risks and materiality of all existing and prospective outsourcing arrangements and the policies that apply to such arrangements;</w:t>
            </w:r>
          </w:p>
          <w:p w14:paraId="482E9275" w14:textId="77777777" w:rsidR="008A5CCF" w:rsidRPr="008A5CCF" w:rsidRDefault="008A5CCF" w:rsidP="003130A0">
            <w:pPr>
              <w:pStyle w:val="Level4Number"/>
              <w:rPr>
                <w:sz w:val="18"/>
                <w:szCs w:val="18"/>
              </w:rPr>
            </w:pPr>
            <w:r>
              <w:rPr>
                <w:sz w:val="18"/>
                <w:szCs w:val="18"/>
              </w:rPr>
              <w:t xml:space="preserve">setting a suitable risk appetite to define the nature and extent of risks that the Bank is willing and </w:t>
              <w:lastRenderedPageBreak/>
              <w:t>able to assume from its outsourcing arrangements;</w:t>
            </w:r>
          </w:p>
          <w:p w14:paraId="267E6AEC" w14:textId="3F8C59B1" w:rsidR="008A5CCF" w:rsidRPr="008A5CCF" w:rsidRDefault="008A5CCF" w:rsidP="003130A0">
            <w:pPr>
              <w:pStyle w:val="Level4Number"/>
              <w:rPr>
                <w:sz w:val="18"/>
                <w:szCs w:val="18"/>
              </w:rPr>
            </w:pPr>
            <w:r>
              <w:rPr>
                <w:sz w:val="18"/>
                <w:szCs w:val="18"/>
              </w:rPr>
              <w:t>laying down appropriate approval authorities for outsourcing arrangements consistent with its established strategy and risk appetite;</w:t>
            </w:r>
          </w:p>
          <w:p w14:paraId="2226710B" w14:textId="05B4F388" w:rsidR="008A5CCF" w:rsidRPr="008A5CCF" w:rsidRDefault="008A5CCF" w:rsidP="003130A0">
            <w:pPr>
              <w:pStyle w:val="Level4Number"/>
              <w:rPr>
                <w:sz w:val="18"/>
                <w:szCs w:val="18"/>
              </w:rPr>
            </w:pPr>
            <w:r>
              <w:rPr>
                <w:sz w:val="18"/>
                <w:szCs w:val="18"/>
              </w:rPr>
              <w:t xml:space="preserve">assessing management competencies for developing sound and responsive outsourcing risk management policies and procedures that are commensurate with the nature, scope and complexity of the outsourcing arrangements; a</w:t>
            </w:r>
          </w:p>
          <w:p w14:paraId="40F865EC" w14:textId="52F46FEC" w:rsidR="008A5CCF" w:rsidRPr="008A5CCF" w:rsidRDefault="008A5CCF" w:rsidP="003130A0">
            <w:pPr>
              <w:pStyle w:val="Level4Number"/>
              <w:rPr>
                <w:sz w:val="18"/>
                <w:szCs w:val="18"/>
              </w:rPr>
            </w:pPr>
            <w:r>
              <w:rPr>
                <w:sz w:val="18"/>
                <w:szCs w:val="18"/>
              </w:rPr>
              <w:t>ensuring that senior management establishes appropriate governance structures and processes for sound and prudent risk management, such as a management body that reviews controls for consistency and alignment with a comprehensive bank-wide view of risk; and</w:t>
            </w:r>
          </w:p>
          <w:p w14:paraId="016720B4" w14:textId="1A3C5D1A" w:rsidR="008A5CCF" w:rsidRPr="008A5CCF" w:rsidRDefault="008A5CCF" w:rsidP="003130A0">
            <w:pPr>
              <w:pStyle w:val="Level4Number"/>
              <w:rPr>
                <w:sz w:val="18"/>
                <w:szCs w:val="18"/>
              </w:rPr>
            </w:pPr>
            <w:r>
              <w:rPr>
                <w:sz w:val="18"/>
                <w:szCs w:val="18"/>
              </w:rPr>
              <w:t>undertaking regular reviews of strategies relating to outsourcing arrangements and outsourcing arrangements for their continued relevance, and safety and soundness.</w:t>
            </w:r>
          </w:p>
        </w:tc>
        <w:tc>
          <w:tcPr>
            <w:tcW w:w="5731" w:type="dxa"/>
            <w:vMerge/>
          </w:tcPr>
          <w:p w14:paraId="6C5E3DBA"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tcPr>
          <w:p w14:paraId="76730C71" w14:textId="7DBAE5ED" w:rsidR="008A5CCF"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3.1.2 of the Bank Guidelines corresponds to 5.2.2 of the FI Guidelines.</w:t>
            </w:r>
          </w:p>
        </w:tc>
      </w:tr>
      <w:tr w:rsidR="002B7735" w:rsidRPr="00DD537D" w14:paraId="4D2FFF9E" w14:textId="77777777" w:rsidTr="00DC7DDC">
        <w:tc>
          <w:tcPr>
            <w:tcW w:w="625" w:type="dxa"/>
          </w:tcPr>
          <w:p w14:paraId="08BCEFE0" w14:textId="7C7B248B" w:rsidR="002B7735"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3.1.3</w:t>
            </w:r>
          </w:p>
        </w:tc>
        <w:tc>
          <w:tcPr>
            <w:tcW w:w="5670" w:type="dxa"/>
          </w:tcPr>
          <w:p w14:paraId="266C8B98"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Senior management is responsible for: </w:t>
            </w:r>
          </w:p>
          <w:p w14:paraId="3E666EAE" w14:textId="77777777" w:rsidR="00DC7DDC" w:rsidRDefault="00DC7DDC" w:rsidP="000C51EC">
            <w:pPr>
              <w:tabs>
                <w:tab w:val="left" w:pos="360"/>
              </w:tabs>
              <w:spacing w:line="276" w:lineRule="auto"/>
            </w:pPr>
            <w:r>
              <w:rPr>
                <w:rFonts w:asciiTheme="majorHAnsi" w:hAnsiTheme="majorHAnsi" w:cstheme="majorHAnsi"/>
                <w:sz w:val="18"/>
                <w:szCs w:val="18"/>
              </w:rPr>
              <w:t>(a) evaluating the materiality and risks from all existing and prospective outsourcing arrangements, based on the framework approved by the board;</w:t>
            </w:r>
            <w:r>
              <w:t xml:space="preserve"> </w:t>
            </w:r>
          </w:p>
          <w:p w14:paraId="6FB57360"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developing sound and prudent outsourcing policies and procedures that are commensurate with the nature, scope and complexity of the outsourcing arrangements as well as ensuring that such policies and procedures are implemented effectively; </w:t>
            </w:r>
          </w:p>
          <w:p w14:paraId="79363F7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(c) reviewing regularly the effectiveness of, and appropriately adjusting, policies, standards and procedures to reflect changes in the Bank’s overall risk profile and risk environment; </w:t>
            </w:r>
          </w:p>
          <w:p w14:paraId="70BC5247"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(d) monitoring and maintaining effective control of all risks from its MOORS on a bank-wide basis;</w:t>
            </w:r>
          </w:p>
          <w:p w14:paraId="0EE5D21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ensuring that contingency plans, based on realistic and probable disruptive scenarios, are in place and tested; </w:t>
            </w:r>
          </w:p>
          <w:p w14:paraId="125223B2"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ensuring that there is independent review and audit for compliance with outsourcing policies and procedures; </w:t>
            </w:r>
          </w:p>
          <w:p w14:paraId="534B16A7" w14:textId="21BAB22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(g) ensuring that appropriate and timely remedial actions are taken to address audit findings; (h) and communicating information pertaining to risks arising from its MOORS to the board in a timely manner.</w:t>
            </w:r>
          </w:p>
        </w:tc>
        <w:tc>
          <w:tcPr>
            <w:tcW w:w="5731" w:type="dxa"/>
          </w:tcPr>
          <w:p w14:paraId="02B0D9F1"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55A59AC9" w14:textId="44B7D451"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3.1.3 of the Bank Guidelines corresponds verbatim to 5.2.3 of the FI Guidelines.</w:t>
            </w:r>
          </w:p>
        </w:tc>
      </w:tr>
      <w:tr w:rsidR="002B7735" w:rsidRPr="00DD537D" w14:paraId="29B6C9FE" w14:textId="77777777" w:rsidTr="00DC7DDC">
        <w:tc>
          <w:tcPr>
            <w:tcW w:w="625" w:type="dxa"/>
          </w:tcPr>
          <w:p w14:paraId="0AF1DD3B" w14:textId="462C2A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3.1.4</w:t>
            </w:r>
          </w:p>
        </w:tc>
        <w:tc>
          <w:tcPr>
            <w:tcW w:w="5670" w:type="dxa"/>
          </w:tcPr>
          <w:p w14:paraId="7BC0D4F4" w14:textId="42C3C59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w="5731" w:type="dxa"/>
          </w:tcPr>
          <w:p w14:paraId="2FB6A18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0C5EBE4A" w14:textId="12CF9EED"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3.1.4 of the Bank Guidelines corresponds verbatim to 5.2.4 of the FI Guidelines.</w:t>
            </w:r>
          </w:p>
        </w:tc>
      </w:tr>
      <w:tr w:rsidR="002B7735" w:rsidRPr="00DD537D" w14:paraId="2D323348" w14:textId="77777777" w:rsidTr="00DC7DDC">
        <w:tc>
          <w:tcPr>
            <w:tcW w:w="625" w:type="dxa"/>
          </w:tcPr>
          <w:p w14:paraId="646FD616" w14:textId="723DF69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3.1.5</w:t>
            </w:r>
          </w:p>
        </w:tc>
        <w:tc>
          <w:tcPr>
            <w:tcW w:w="5670" w:type="dxa"/>
          </w:tcPr>
          <w:p w14:paraId="3174E867" w14:textId="05AE5AF9"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w="5731" w:type="dxa"/>
          </w:tcPr>
          <w:p w14:paraId="6D048C29"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6281EB71" w14:textId="68475BE9"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3.1.5 of the Bank Guidelines does not address whether foreign-incorporated institutions can delegate board functions beyond local management.</w:t>
            </w:r>
          </w:p>
        </w:tc>
      </w:tr>
      <w:tr w:rsidR="002B7735" w:rsidRPr="00DD537D" w14:paraId="760C76C0" w14:textId="77777777" w:rsidTr="00DC7DDC">
        <w:tc>
          <w:tcPr>
            <w:tcW w:w="625" w:type="dxa"/>
          </w:tcPr>
          <w:p w14:paraId="79E613D7" w14:textId="250AF7A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w:t>
            </w:r>
          </w:p>
        </w:tc>
        <w:tc>
          <w:tcPr>
            <w:tcW w:w="5670" w:type="dxa"/>
          </w:tcPr>
          <w:p w14:paraId="0A941246" w14:textId="43192B2A" w:rsidR="002B7735" w:rsidRPr="004F6066" w:rsidRDefault="004F6066" w:rsidP="000C51EC">
            <w:pPr>
              <w:tabs>
                <w:tab w:val="left" w:pos="360"/>
              </w:tabs>
              <w:spacing w:line="276" w:lineRule="auto"/>
              <w:rPr>
                <w:rFonts w:asciiTheme="majorHAnsi" w:hAnsiTheme="majorHAnsi" w:cstheme="majorHAnsi"/>
                <w:sz w:val="18"/>
                <w:szCs w:val="18"/>
              </w:rPr>
            </w:pPr>
            <w:r>
              <w:rPr>
                <w:rFonts w:asciiTheme="majorHAnsi" w:hAnsiTheme="majorHAnsi" w:cstheme="majorHAnsi"/>
                <w:i/>
                <w:iCs/>
                <w:sz w:val="18"/>
                <w:szCs w:val="18"/>
              </w:rPr>
              <w:t>Evaluation of Risks</w:t>
            </w:r>
          </w:p>
        </w:tc>
        <w:tc>
          <w:tcPr>
            <w:tcW w:w="5731" w:type="dxa"/>
          </w:tcPr>
          <w:p w14:paraId="6D8DC1F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72565BCB" w14:textId="0027478B"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5.3 of the FI Guidelines.</w:t>
            </w:r>
          </w:p>
        </w:tc>
      </w:tr>
      <w:tr w:rsidR="002B7735" w:rsidRPr="00DD537D" w14:paraId="48ECC0C8" w14:textId="77777777" w:rsidTr="00DC7DDC">
        <w:tc>
          <w:tcPr>
            <w:tcW w:w="625" w:type="dxa"/>
          </w:tcPr>
          <w:p w14:paraId="57349544" w14:textId="72994DB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3.2.1</w:t>
            </w:r>
          </w:p>
        </w:tc>
        <w:tc>
          <w:tcPr>
            <w:tcW w:w="5670" w:type="dxa"/>
          </w:tcPr>
          <w:p w14:paraId="17206893" w14:textId="77777777" w:rsidR="00DC7DDC" w:rsidRDefault="00DC7DDC" w:rsidP="000C51EC">
            <w:pPr>
              <w:tabs>
                <w:tab w:val="left" w:pos="360"/>
              </w:tabs>
              <w:spacing w:line="276" w:lineRule="auto"/>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w:t>
              <w:lastRenderedPageBreak/>
              <w:t>from outsourcing. The bank should establish a framework for risk evaluation that includes the following steps:</w:t>
            </w:r>
            <w:r>
              <w:t xml:space="preserve"> </w:t>
            </w:r>
          </w:p>
          <w:p w14:paraId="4DC6CAB5"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identifying the role of outsourcing in the overall business strategy and objectives of the Bank; </w:t>
            </w:r>
          </w:p>
          <w:p w14:paraId="4A69B6CE"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performing comprehensive due diligence on the nature, scope and complexity of the outsourcing arrangement to identify and mitigate key risks;</w:t>
            </w:r>
          </w:p>
          <w:p w14:paraId="61905D89"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assessing</w:t>
            </w:r>
            <w:r>
              <w:rPr>
                <w:rFonts w:asciiTheme="majorHAnsi" w:hAnsiTheme="majorHAnsi" w:cstheme="majorHAnsi"/>
                <w:sz w:val="18"/>
                <w:szCs w:val="18"/>
                <w:vertAlign w:val="superscript"/>
              </w:rPr>
              <w:t xml:space="preserve">5 </w:t>
            </w:r>
            <w:r>
              <w:rPr>
                <w:rFonts w:asciiTheme="majorHAnsi" w:hAnsiTheme="majorHAnsi" w:cstheme="majorHAnsi"/>
                <w:sz w:val="18"/>
                <w:szCs w:val="18"/>
              </w:rPr>
              <w:t>the service provider’s ability to employ a high standard of care in performing the outsourced relevant service and meet regulatory standards as expected of the Bank, as if the service is performed by the Bank;</w:t>
            </w:r>
          </w:p>
          <w:p w14:paraId="130EC554"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analysing the impact of the outsourcing arrangement on the overall risk profile of the Bank, and whether there are adequate internal expertise and resources to mitigate the risks identified;</w:t>
            </w:r>
          </w:p>
          <w:p w14:paraId="0A50CC96"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analysing the Bank’s as well as the Bank’s group aggregate exposure to the outsourcing arrangement, to manage concentration risk; and</w:t>
            </w:r>
          </w:p>
          <w:p w14:paraId="174F32BD" w14:textId="026B5237" w:rsidR="00DC7DDC"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tc>
        <w:tc>
          <w:tcPr>
            <w:tcW w:w="5731" w:type="dxa"/>
          </w:tcPr>
          <w:p w14:paraId="545A38C0"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3.2.1 of the Bank Guidelines corresponds to 5.3.1 of the FI Guidelines, with minor drafting differences: 5.3.1(c) reads “outsourced service” and “as if the outsourcing arrangement is performed by the institution”, and 5.3.1(f) reads “unexpected termination in the outsourcing arrangement”.</w:t>
            </w:r>
          </w:p>
        </w:tc>
      </w:tr>
      <w:tr w:rsidR="002B7735" w:rsidRPr="00DD537D" w14:paraId="7EBB9B6E" w14:textId="77777777" w:rsidTr="00DC7DDC">
        <w:tc>
          <w:tcPr>
            <w:tcW w:w="625" w:type="dxa"/>
          </w:tcPr>
          <w:p w14:paraId="3DAC8B9A" w14:textId="1D47159C"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3.2.2</w:t>
            </w:r>
          </w:p>
        </w:tc>
        <w:tc>
          <w:tcPr>
            <w:tcW w:w="5670" w:type="dxa"/>
          </w:tcPr>
          <w:p w14:paraId="1F746FB5" w14:textId="36DCD47C"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w="5731" w:type="dxa"/>
          </w:tcPr>
          <w:p w14:paraId="50EE47A6"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3.2.2 of the Bank Guidelines corresponds verbatim to 5.3.2 of the FI Guidelines.</w:t>
            </w:r>
          </w:p>
        </w:tc>
      </w:tr>
      <w:tr w:rsidR="002B7735" w:rsidRPr="00DD537D" w14:paraId="4A429E1E" w14:textId="77777777" w:rsidTr="00DC7DDC">
        <w:tc>
          <w:tcPr>
            <w:tcW w:w="625" w:type="dxa"/>
          </w:tcPr>
          <w:p w14:paraId="456E1EC6" w14:textId="7070E2F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3.2.3</w:t>
            </w:r>
          </w:p>
        </w:tc>
        <w:tc>
          <w:tcPr>
            <w:tcW w:w="5670" w:type="dxa"/>
          </w:tcPr>
          <w:p w14:paraId="2C9F6B9F" w14:textId="07589B02"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w:t>
              <w:lastRenderedPageBreak/>
              <w:t>decision on obtaining legal advice and the frequency for obtaining such advice should be approved by the Bank’s board, or a committee delegated by it, and whenever there are significant changes in the relevant law(s) overseas.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expectation to consider independent legal advice on disclosing customer information overseas applies to Banks only, given banking secrecy under the Banking Act.</w:t>
            </w:r>
          </w:p>
        </w:tc>
      </w:tr>
      <w:tr w:rsidR="002B7735" w:rsidRPr="00DD537D" w14:paraId="4E92E5C8" w14:textId="77777777" w:rsidTr="00DC7DDC">
        <w:tc>
          <w:tcPr>
            <w:tcW w:w="625" w:type="dxa"/>
          </w:tcPr>
          <w:p w14:paraId="78B8BEBC" w14:textId="5E65C8E6"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w:t>
            </w:r>
          </w:p>
        </w:tc>
        <w:tc>
          <w:tcPr>
            <w:tcW w:w="5670" w:type="dxa"/>
          </w:tcPr>
          <w:p w14:paraId="627A2A55" w14:textId="4DC4802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Assessment of service providers</w:t>
            </w:r>
          </w:p>
        </w:tc>
        <w:tc>
          <w:tcPr>
            <w:tcW w:w="5731" w:type="dxa"/>
          </w:tcPr>
          <w:p w14:paraId="03B6D86C"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5.4 of the FI Guidelines.</w:t>
            </w:r>
          </w:p>
        </w:tc>
      </w:tr>
      <w:tr w:rsidR="002B7735" w:rsidRPr="00DD537D" w14:paraId="2AD872D9" w14:textId="77777777" w:rsidTr="00DC7DDC">
        <w:tc>
          <w:tcPr>
            <w:tcW w:w="625" w:type="dxa"/>
          </w:tcPr>
          <w:p w14:paraId="7485F661" w14:textId="1AAF4B7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3.3.1</w:t>
            </w:r>
          </w:p>
        </w:tc>
        <w:tc>
          <w:tcPr>
            <w:tcW w:w="5670" w:type="dxa"/>
          </w:tcPr>
          <w:p w14:paraId="5249E771" w14:textId="162EC0F6"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In considering, renegotiating or renewing an outsourcing arrangement, a Bank should subject the service provider to appropriate due diligence processes to assess the risks associated with the outsourcing arrangements.</w:t>
            </w:r>
          </w:p>
        </w:tc>
        <w:tc>
          <w:tcPr>
            <w:tcW w:w="5731" w:type="dxa"/>
          </w:tcPr>
          <w:p w14:paraId="7840ABC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3.3.1 of the Bank Guidelines corresponds verbatim to 5.4.1 of the FI Guidelines.</w:t>
            </w:r>
          </w:p>
        </w:tc>
      </w:tr>
      <w:tr w:rsidR="002B7735" w:rsidRPr="00DD537D" w14:paraId="2E2BAD94" w14:textId="77777777" w:rsidTr="00DC7DDC">
        <w:tc>
          <w:tcPr>
            <w:tcW w:w="625" w:type="dxa"/>
          </w:tcPr>
          <w:p w14:paraId="4A8F8F23" w14:textId="32DF73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3.3.2</w:t>
            </w:r>
          </w:p>
        </w:tc>
        <w:tc>
          <w:tcPr>
            <w:tcW w:w="5670" w:type="dxa"/>
          </w:tcPr>
          <w:p w14:paraId="00730471" w14:textId="3B55FE0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5Please see paragraph 3.3 on assessment of service providers. Guidelines on Outsourcing (Banks) 11/12/2023 | 9 service provider, should also be obtained to supplement the Bank’s assessment. Onsite visits should be conducted by persons who possess the requisite knowledge and skills to conduct the assessment.</w:t>
            </w:r>
          </w:p>
        </w:tc>
        <w:tc>
          <w:tcPr>
            <w:tcW w:w="5731" w:type="dxa"/>
          </w:tcPr>
          <w:p w14:paraId="577E048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3.3.2 of the Bank Guidelines corresponds verbatim to 5.4.2 of the FI Guidelines.</w:t>
            </w:r>
          </w:p>
        </w:tc>
      </w:tr>
      <w:tr w:rsidR="002B7735" w:rsidRPr="00DD537D" w14:paraId="39278E9F" w14:textId="77777777" w:rsidTr="00DC7DDC">
        <w:tc>
          <w:tcPr>
            <w:tcW w:w="625" w:type="dxa"/>
          </w:tcPr>
          <w:p w14:paraId="5CAEBFC9" w14:textId="550FBF37"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rPr>
              <w:t xml:space="preserve">6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rPr>
              <w:t xml:space="preserve">7 – Standards should be commensurate with that expected of the institution as set out in MAS’ Business Continuity Management Guidelines. Please also see paragraph 3.7 for more guidance.</w:t>
            </w:r>
          </w:p>
        </w:tc>
        <w:tc>
          <w:tcPr>
            <w:tcW w:w="5731" w:type="dxa"/>
          </w:tcPr>
          <w:p w14:paraId="25212977"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3.3.3 of the Bank Guidelines corresponds verbatim to 5.4.3 of the FI Guidelines, including footnotes 6 and 7.</w:t>
            </w:r>
          </w:p>
        </w:tc>
      </w:tr>
      <w:tr w:rsidR="002B7735" w:rsidRPr="00DD537D" w14:paraId="1DBF20B8" w14:textId="77777777" w:rsidTr="00DC7DDC">
        <w:tc>
          <w:tcPr>
            <w:tcW w:w="625" w:type="dxa"/>
          </w:tcPr>
          <w:p w14:paraId="1D1C25B5" w14:textId="5A0AC40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3.3.4 of the Bank Guidelines corresponds verbatim to 5.4.4 of the FI Guidelines.</w:t>
            </w:r>
          </w:p>
        </w:tc>
      </w:tr>
      <w:tr w:rsidR="004F6066" w:rsidRPr="00DD537D" w14:paraId="3F9566BF" w14:textId="77777777" w:rsidTr="00DC7DDC">
        <w:tc>
          <w:tcPr>
            <w:tcW w:w="625" w:type="dxa"/>
          </w:tcPr>
          <w:p w14:paraId="5A78413A" w14:textId="1B4B5811"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lastRenderedPageBreak/>
              <w:t>3.3.5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Theme="majorHAnsi" w:hAnsiTheme="majorHAnsi" w:cstheme="majorHAnsi"/>
                <w:highlight w:val="yellow"/>
                <w:sz w:val="18"/>
                <w:szCs w:val="18"/>
              </w:rPr>
              <w:t xml:space="preserve">service</w:t>
            </w:r>
            <w:r>
              <w:rPr>
                <w:rFonts w:asciiTheme="majorHAnsi" w:hAnsiTheme="majorHAnsi" w:cstheme="majorHAnsi"/>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rPr>
              <w:t xml:space="preserve">8 – Please see paragraph 3.11 on provision of outsourced relevant services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3.3.5 of the Bank Guidelines corresponds to 5.4.5 of the FI Guidelines; 5.4.5 reads “risk of the arrangement” for “risk of the service”.</w:t>
            </w:r>
          </w:p>
        </w:tc>
      </w:tr>
      <w:tr w:rsidR="004F6066" w:rsidRPr="00DD537D" w14:paraId="3A21747E" w14:textId="77777777" w:rsidTr="00DC7DDC">
        <w:tc>
          <w:tcPr>
            <w:tcW w:w="625" w:type="dxa"/>
          </w:tcPr>
          <w:p w14:paraId="61938341" w14:textId="37FCE060"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3.3.6</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3.3.6 interprets paragraph 5.2(b) of the Notices, which applies to Banks only. The closest FI analogue is the annual review of material outsourcing arrangements in 5.8.2(d) of the FI Guidelines.</w:t>
            </w:r>
          </w:p>
        </w:tc>
      </w:tr>
      <w:tr w:rsidR="004F6066" w:rsidRPr="00DD537D" w14:paraId="3130258A" w14:textId="77777777" w:rsidTr="00DC7DDC">
        <w:tc>
          <w:tcPr>
            <w:tcW w:w="625" w:type="dxa"/>
          </w:tcPr>
          <w:p w14:paraId="307EE3CF" w14:textId="2F43D67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 of the FI Guidelines.</w:t>
            </w:r>
          </w:p>
        </w:tc>
      </w:tr>
      <w:tr w:rsidR="004F6066" w:rsidRPr="00DD537D" w14:paraId="4F6A76F5" w14:textId="77777777" w:rsidTr="00DC7DDC">
        <w:tc>
          <w:tcPr>
            <w:tcW w:w="625" w:type="dxa"/>
          </w:tcPr>
          <w:p w14:paraId="1F1CE81E" w14:textId="070E42A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 of the Bank Guidelines corresponds verbatim to 5.5.1 of the FI Guidelines.</w:t>
            </w:r>
          </w:p>
        </w:tc>
      </w:tr>
      <w:tr w:rsidR="004F6066" w:rsidRPr="00DD537D" w14:paraId="6D5C074A" w14:textId="77777777" w:rsidTr="00DC7DDC">
        <w:tc>
          <w:tcPr>
            <w:tcW w:w="625" w:type="dxa"/>
          </w:tcPr>
          <w:p w14:paraId="42628193" w14:textId="1B20688D"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Theme="majorHAnsi" w:hAnsiTheme="majorHAnsi" w:cstheme="majorHAnsi"/>
                <w:highlight w:val="yellow"/>
                <w:sz w:val="18"/>
                <w:szCs w:val="18"/>
              </w:rPr>
              <w:t xml:space="preserve">9</w:t>
            </w:r>
            <w:r>
              <w:rPr>
                <w:rFonts w:asciiTheme="majorHAnsi" w:hAnsiTheme="majorHAnsi" w:cstheme="majorHAnsi"/>
                <w:sz w:val="18"/>
                <w:szCs w:val="18"/>
              </w:rPr>
              <w:t xml:space="preserve">; (d) business continuity management; (e) monitoring and control; (f) audit and inspection</w:t>
            </w:r>
            <w:r>
              <w:rPr>
                <w:rFonts w:asciiTheme="majorHAnsi" w:hAnsiTheme="majorHAnsi" w:cstheme="majorHAnsi"/>
                <w:highlight w:val="yellow"/>
                <w:sz w:val="18"/>
                <w:szCs w:val="18"/>
              </w:rPr>
              <w:t xml:space="preserve">12</w:t>
            </w:r>
            <w:r>
              <w:rPr>
                <w:rFonts w:asciiTheme="majorHAnsi" w:hAnsiTheme="majorHAnsi" w:cstheme="majorHAnsi"/>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exit13; (j) applicable laws — Agreements should include choice-of-law provisions, agreement covenants and jurisdictional covenants that provide for adjudication of disputes between the parties under the laws of a specific jurisdiction.</w:t>
            </w:r>
          </w:p>
          <w:p>
            <w:pPr>
              <w:pStyle w:val="BodyText"/>
              <w:rPr>
                <w:rFonts w:asciiTheme="majorHAnsi" w:hAnsiTheme="majorHAnsi" w:cstheme="majorHAnsi"/>
                <w:sz w:val="16"/>
                <w:szCs w:val="16"/>
              </w:rPr>
            </w:pPr>
            <w:r>
              <w:rPr>
                <w:rFonts w:asciiTheme="majorHAnsi" w:hAnsiTheme="majorHAnsi" w:cstheme="majorHAnsi"/>
                <w:sz w:val="16"/>
                <w:szCs w:val="16"/>
              </w:rPr>
              <w:t xml:space="preserve">9 – The provisions of the outsourcing agreement for a MOORS that relate to confidentiality and security should include the requirements set out in paragraph 7.1(a) to (c) of the Notices. Refer also to paragraph 3.6.</w:t>
            </w:r>
          </w:p>
          <w:p>
            <w:pPr>
              <w:pStyle w:val="BodyText"/>
              <w:rPr>
                <w:rFonts w:asciiTheme="majorHAnsi" w:hAnsiTheme="majorHAnsi" w:cstheme="majorHAnsi"/>
                <w:sz w:val="16"/>
                <w:szCs w:val="16"/>
              </w:rPr>
            </w:pPr>
            <w:r>
              <w:rPr>
                <w:rFonts w:asciiTheme="majorHAnsi" w:hAnsiTheme="majorHAnsi" w:cstheme="majorHAnsi"/>
                <w:sz w:val="16"/>
                <w:szCs w:val="16"/>
              </w:rPr>
              <w:t xml:space="preserve">12 – The provisions of the outsourcing agreement for a MOORS that relate to audit and inspection should include the requirements set out in paragraph 7.1(d) of the Notices. Refer also to paragraph 3.9.</w:t>
            </w:r>
          </w:p>
          <w:p>
            <w:pPr>
              <w:pStyle w:val="BodyText"/>
              <w:rPr>
                <w:rFonts w:asciiTheme="majorHAnsi" w:hAnsiTheme="majorHAnsi" w:cstheme="majorHAnsi"/>
                <w:sz w:val="16"/>
                <w:szCs w:val="16"/>
              </w:rPr>
            </w:pPr>
            <w:r>
              <w:rPr>
                <w:rFonts w:asciiTheme="majorHAnsi" w:hAnsiTheme="majorHAnsi" w:cstheme="majorHAnsi"/>
                <w:sz w:val="16"/>
                <w:szCs w:val="16"/>
              </w:rPr>
              <w:t xml:space="preserve">13 – Refer to paragraphs 3.4.3 to 3.4.8.</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security9;</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management10;</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control11;</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inspection12;</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bridge-institution13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3.4.2 of the Bank Guidelines corresponds to 5.5.2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(j) on sub-contracting; the Bank Guidelines deal with sub-contracting separately in section 3.5.</w:t>
            </w:r>
          </w:p>
          <w:p>
            <w:pPr>
              <w:pStyle w:val="BodyText"/>
              <w:rPr>
                <w:rFonts w:asciiTheme="majorHAnsi" w:hAnsiTheme="majorHAnsi" w:cstheme="majorHAnsi"/>
                <w:sz w:val="18"/>
                <w:szCs w:val="18"/>
              </w:rPr>
            </w:pPr>
            <w:r>
              <w:rPr>
                <w:rFonts w:asciiTheme="majorHAnsi" w:hAnsiTheme="majorHAnsi" w:cstheme="majorHAnsi"/>
                <w:sz w:val="18"/>
                <w:szCs w:val="18"/>
              </w:rPr>
              <w:t xml:space="preserve">2. Footnotes 9 and 12 of the Bank Guidelines require MOORS agreements to include the requirements of paragraphs 7.1(a)–(c) and 7.1(d) of the Notices; there is no FI equivalent.</w:t>
            </w:r>
          </w:p>
          <w:p>
            <w:pPr>
              <w:pStyle w:val="BodyText"/>
              <w:rPr>
                <w:rFonts w:asciiTheme="majorHAnsi" w:hAnsiTheme="majorHAnsi" w:cstheme="majorHAnsi"/>
                <w:sz w:val="18"/>
                <w:szCs w:val="18"/>
              </w:rPr>
            </w:pPr>
            <w:r>
              <w:rPr>
                <w:rFonts w:asciiTheme="majorHAnsi" w:hAnsiTheme="majorHAnsi" w:cstheme="majorHAnsi"/>
                <w:sz w:val="18"/>
                <w:szCs w:val="18"/>
              </w:rPr>
              <w:t xml:space="preserve">3. The FI Guidelines set out the termination and sub-contracting content in full within 5.5.2 itself (items (i) and (j)); the Bank Guidelines elaborate in 3.4.3–3.4.8 and 3.5.</w:t>
            </w:r>
          </w:p>
        </w:tc>
      </w:tr>
      <w:tr w:rsidR="004F6066" w:rsidRPr="00DD537D" w14:paraId="7A32CD09" w14:textId="77777777" w:rsidTr="00DC7DDC">
        <w:tc>
          <w:tcPr>
            <w:tcW w:w="625" w:type="dxa"/>
          </w:tcPr>
          <w:p w14:paraId="7E908994" w14:textId="57FB7AAB"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have the right to terminate the outsourcing agreement in the event of default, or under any of the following circumstances: </w:t>
            </w:r>
            <w:r>
              <w:rPr>
                <w:rFonts w:asciiTheme="majorHAnsi" w:hAnsiTheme="majorHAnsi" w:cstheme="majorHAnsi"/>
                <w:highlight w:val="yellow"/>
                <w:sz w:val="18"/>
                <w:szCs w:val="18"/>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5.5.2(i) of the FI Guidelines (quoted at 3.4.2 above). The termination triggers differ: the FI Guidelines allow termination on change in ownership, insolvency or liquidation, receivership or judicial management, breach of security or confidentiality, or deterioration in ability to perform the contracted service; the Bank Guidelines focus instead on failure to safeguard the confidentiality or integrity of customer information (including by sub-contractors) and add termination by reasonable notice. The Bank Guidelines do not set out the corporate-event triggers; the binding contractual requirements for Banks are in paragraph 7.1 of the Notices.</w:t>
            </w:r>
          </w:p>
        </w:tc>
      </w:tr>
      <w:tr w:rsidR="004F6066" w:rsidRPr="00DD537D" w14:paraId="5D24ECD7" w14:textId="77777777" w:rsidTr="00DC7DDC">
        <w:tc>
          <w:tcPr>
            <w:tcW w:w="625" w:type="dxa"/>
          </w:tcPr>
          <w:p w14:paraId="09F0C4EA" w14:textId="2E7AC065"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the closing text of 5.5.2(i) of the FI Guidelines, worded identically (“bridge-institution” is defined identically at footnote 13 of the FI Guidelines).</w:t>
            </w:r>
          </w:p>
        </w:tc>
      </w:tr>
      <w:tr w:rsidR="004F6066" w:rsidRPr="00DD537D" w14:paraId="291BAB9D" w14:textId="77777777" w:rsidTr="00DC7DDC">
        <w:tc>
          <w:tcPr>
            <w:tcW w:w="625" w:type="dxa"/>
          </w:tcPr>
          <w:p w14:paraId="6C9EDF7A" w14:textId="2AE3086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3.4.5</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7.1(g) in the Notices, MAS will consider directing a Bank to terminate the contract, or to stop obtaining or receiving the MOORS15, when</w:t>
            </w:r>
            <w:r>
              <w:rPr>
                <w:rFonts w:asciiTheme="majorHAnsi" w:hAnsiTheme="majorHAnsi" w:cstheme="majorHAnsi"/>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Theme="majorHAnsi" w:hAnsiTheme="majorHAnsi" w:cstheme="majorHAnsi"/>
                <w:highlight w:val="yellow"/>
                <w:sz w:val="18"/>
                <w:szCs w:val="18"/>
              </w:rPr>
              <w:t xml:space="preserve">MAS or an auditor appointed by MAS, is prevented by the service provider from auditing the books, systems and premises of the service provider for any of the purposes mentioned in section 47A(10) of the Banking Act 1970 (the “Act”)</w:t>
            </w:r>
            <w:r>
              <w:rPr>
                <w:rFonts w:asciiTheme="majorHAnsi" w:hAnsiTheme="majorHAnsi" w:cstheme="majorHAnsi"/>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15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Closest counterpart is 4.1.3 of the FI Guidelines: MAS may require an institution to modify, make alternative arrangements or re-integrate an outsourced service where (a) the institution fails to demonstrate a satisfactory understanding of the risks; (b) it fails to implement adequate measures in a satisfactory and timely manner; (c) adverse developments arise; (d) MAS’ supervisory powers or functions are hindered; or (e) the security and confidentiality of customer information is lowered due to changes in the service provider’s control environment.</w:t>
            </w:r>
          </w:p>
          <w:p>
            <w:pPr>
              <w:pStyle w:val="BodyText"/>
              <w:rPr>
                <w:rFonts w:asciiTheme="majorHAnsi" w:hAnsiTheme="majorHAnsi" w:cstheme="majorHAnsi"/>
                <w:sz w:val="18"/>
                <w:szCs w:val="18"/>
              </w:rPr>
            </w:pPr>
            <w:r>
              <w:rPr>
                <w:rFonts w:asciiTheme="majorHAnsi" w:hAnsiTheme="majorHAnsi" w:cstheme="majorHAnsi"/>
                <w:sz w:val="18"/>
                <w:szCs w:val="18"/>
              </w:rPr>
              <w:t xml:space="preserve">The FI Guidelines do not provide for MAS-directed termination, the audit-obstruction grounds (section 47A(10) of the Banking Act), or the last-resort assurance in footnote 15.</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will endeavour to provide the Bank reasonable notice of MAS’ intent to direct the Bank to terminate its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reasonable-notice assurance attaches to the powers in 4.1.3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3.4.7</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Theme="majorHAnsi" w:hAnsiTheme="majorHAnsi" w:cstheme="majorHAnsi"/>
                <w:sz w:val="18"/>
                <w:szCs w:val="18"/>
              </w:rPr>
              <w:t xml:space="preserve"> The Bank should also ensure the minimum period to execute a termination provision is specified in the 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only FI deletion expectation is the business continuity provision in 5.7.2(c) (which corresponds to 3.7.2(c)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3.10.</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 of the Bank Guidelines corresponds verbatim to 5.5.3 of the FI Guidelines.</w:t>
            </w:r>
          </w:p>
        </w:tc>
      </w:tr>
      <w:tr w:rsidR="004F6066" w:rsidRPr="00DD537D" w14:paraId="79BF7B15" w14:textId="77777777" w:rsidTr="00DC7DDC">
        <w:tc>
          <w:tcPr>
            <w:tcW w:w="625" w:type="dxa"/>
          </w:tcPr>
          <w:p w14:paraId="25937E27" w14:textId="0617D48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Use of sub-contractor(s)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sub-contracting provisions are found in 5.5.2(j) of the FI Guidelines (quoted at 3.4.2 above).</w:t>
            </w:r>
          </w:p>
        </w:tc>
      </w:tr>
      <w:tr w:rsidR="004F6066" w:rsidRPr="00DD537D" w14:paraId="2C3DB652"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is subject to the Bank’s prior approval.</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 of the Bank Guidelines corresponds to 5.5.2(j) of the FI Guidelines, worded identically (“material outsourcing arrangements” for “MOORS”).</w:t>
            </w:r>
          </w:p>
        </w:tc>
      </w:tr>
      <w:tr w:rsidR="004F6066" w:rsidRPr="00DD537D" w14:paraId="2A966C94"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pStyle w:val="BodyText"/>
              <w:rPr>
                <w:rFonts w:asciiTheme="majorHAnsi" w:hAnsiTheme="majorHAnsi" w:cstheme="majorHAnsi"/>
                <w:sz w:val="16"/>
                <w:szCs w:val="16"/>
              </w:rPr>
            </w:pPr>
            <w:r>
              <w:rPr>
                <w:rFonts w:asciiTheme="majorHAnsi" w:hAnsiTheme="majorHAnsi" w:cstheme="majorHAnsi"/>
                <w:sz w:val="16"/>
                <w:szCs w:val="16"/>
              </w:rPr>
              <w:t xml:space="preserve">17 – For instance, the consent can be obtained via the terms and conditions at the point of onboarding but Banks should take reasonable steps to ensure customers are apprised that they are granting such consent to the Bank.</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 the word “consent” does not appear anywhere in the FI Guidelines. The written-consent requirement flows from banking secrecy under the Banking Act.</w:t>
            </w:r>
          </w:p>
        </w:tc>
      </w:tr>
      <w:tr w:rsidR="004F6066" w:rsidRPr="00DD537D" w14:paraId="5F585E20"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Theme="majorHAnsi" w:hAnsiTheme="majorHAnsi" w:cstheme="majorHAnsi"/>
                <w:highlight w:val="yellow"/>
                <w:sz w:val="18"/>
                <w:szCs w:val="18"/>
              </w:rPr>
              <w:t xml:space="preserve">MAS, or an auditor appointed by MAS, be allowed to audit the sub-contractor</w:t>
            </w:r>
            <w:r>
              <w:rPr>
                <w:rFonts w:asciiTheme="majorHAnsi" w:hAnsiTheme="majorHAnsi" w:cstheme="majorHAnsi"/>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Theme="majorHAnsi" w:hAnsiTheme="majorHAnsi" w:cstheme="majorHAnsi"/>
                <w:highlight w:val="yellow"/>
                <w:sz w:val="18"/>
                <w:szCs w:val="18"/>
              </w:rPr>
              <w:t xml:space="preserve">customer information18 given to the sub-contractor are deleted, destroyed or rendered unusable as soon as possible</w:t>
            </w:r>
            <w:r>
              <w:rPr>
                <w:rFonts w:asciiTheme="majorHAnsi" w:hAnsiTheme="majorHAnsi" w:cstheme="majorHAnsi"/>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pStyle w:val="BodyText"/>
              <w:rPr>
                <w:rFonts w:asciiTheme="majorHAnsi" w:hAnsiTheme="majorHAnsi" w:cstheme="majorHAnsi"/>
                <w:sz w:val="16"/>
                <w:szCs w:val="16"/>
              </w:rPr>
            </w:pPr>
            <w:r>
              <w:rPr>
                <w:rFonts w:asciiTheme="majorHAnsi" w:hAnsiTheme="majorHAnsi" w:cstheme="majorHAnsi"/>
                <w:sz w:val="16"/>
                <w:szCs w:val="16"/>
              </w:rPr>
              <w:t xml:space="preserve">18 – Banks may provide flexibility to sub-contractors on the deletion of non-customer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do not prescribe the contents of the sub-contract itself; sub-contractors are reached through the service-provider liability clause in 5.5.2(j) and the audit and access clauses in 5.9.2–5.9.4.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6.3(a) of the Notices, MAS expects the notification19 to take place no later than 30 days.</w:t>
            </w:r>
            <w:r>
              <w:rPr>
                <w:rFonts w:asciiTheme="majorHAnsi" w:hAnsiTheme="majorHAnsi" w:cstheme="majorHAnsi"/>
                <w:sz w:val="18"/>
                <w:szCs w:val="18"/>
              </w:rPr>
              <w:t xml:space="preserve"> Where a notification occurs after 30 days, Banks should assess if the service provider has good reasons to do so and work with the service provider to ensure notifications are provided more promptly in the future.</w:t>
            </w:r>
          </w:p>
          <w:p>
            <w:pPr>
              <w:pStyle w:val="BodyText"/>
              <w:rPr>
                <w:rFonts w:asciiTheme="majorHAnsi" w:hAnsiTheme="majorHAnsi" w:cstheme="majorHAnsi"/>
                <w:sz w:val="16"/>
                <w:szCs w:val="16"/>
              </w:rPr>
            </w:pPr>
            <w:r>
              <w:rPr>
                <w:rFonts w:asciiTheme="majorHAnsi" w:hAnsiTheme="majorHAnsi" w:cstheme="majorHAnsi"/>
                <w:sz w:val="16"/>
                <w:szCs w:val="16"/>
              </w:rPr>
              <w:t xml:space="preserve">19 – This refers to the service provider’s notification to the Bank of its engagement of a sub-contractor.</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30-day (or any) period for notification of sub-contractor engagement appears in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5.6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 of the Bank Guidelines corresponds verbatim to 5.6.1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20 – Multi-tenancy generally refers to a mode of operation adopted by service providers where a single computing infrastructure (e.g. servers, databases) is used to serve multiple customers (tenants).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 of the Bank Guidelines corresponds verbatim to 5.6.2 of the FI Guidelines (“in the outsourcing arrangement” for “for the outsourcing arrangement”; multi-tenancy is defined identically at footnote 15 of the FI Guidelines). Footnote 9 of the Bank Guidelines additionally anchors MOORS agreement provisions to paragraphs 7.1(a)–(c) of the Notices; no FI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 of the Bank Guidelines corresponds verbatim to 5.7.1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 of the Bank Guidelines corresponds verbatim to 5.7.2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 of the Bank Guidelines corresponds verbatim to 5.7.3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 of the Bank Guidelines corresponds verbatim to 5.7.4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5.8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 of the Bank Guidelines corresponds verbatim to 5.8.1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put in place all the following measures for effective monitoring and control of any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(a) Maintain a register</w:t>
            </w: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management22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21 – Banks should submit their registers according to the template set out at this link.</w:t>
            </w:r>
          </w:p>
          <w:p>
            <w:pPr>
              <w:pStyle w:val="BodyText"/>
              <w:rPr>
                <w:rFonts w:asciiTheme="majorHAnsi" w:hAnsiTheme="majorHAnsi" w:cstheme="majorHAnsi"/>
                <w:sz w:val="16"/>
                <w:szCs w:val="16"/>
              </w:rPr>
            </w:pPr>
            <w:r>
              <w:rPr>
                <w:rFonts w:asciiTheme="majorHAnsi" w:hAnsiTheme="majorHAnsi" w:cstheme="majorHAnsi"/>
                <w:sz w:val="16"/>
                <w:szCs w:val="16"/>
              </w:rPr>
              <w:t xml:space="preserve">22 – Refer to paragraph 3.1.3.</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 of the Bank Guidelines corresponds to 5.8.2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(d): periodic reviews of all material outsourcing arrangements at least annually. There is no Bank counterpart; Banks’ periodic-review obligations arise under the Notices (see 3.3.6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2. The register: the Bank Guidelines point to a template link (footnote 21) with no stated frequency; the FI Guidelines require the register to contain the Annex 4 information and to be submitted at least annually or upon request (4.1.1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Bank’s outsourcing arrangements should not interfere with the ability of the Bank to effectively manage its business activities or impede MAS in carrying out its supervisory functions.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 of the Bank Guidelines corresponds verbatim to 5.9.1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5.9.3: 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 of the Bank Guidelines corresponds to 5.9.2(a) of the FI Guidelines.</w:t>
            </w:r>
          </w:p>
          <w:p>
            <w:pPr>
              <w:pStyle w:val="BodyText"/>
              <w:rPr>
                <w:rFonts w:asciiTheme="majorHAnsi" w:hAnsiTheme="majorHAnsi" w:cstheme="majorHAnsi"/>
                <w:sz w:val="18"/>
                <w:szCs w:val="18"/>
              </w:rPr>
            </w:pPr>
            <w:r>
              <w:rPr>
                <w:rFonts w:asciiTheme="majorHAnsi" w:hAnsiTheme="majorHAnsi" w:cstheme="majorHAnsi"/>
                <w:sz w:val="18"/>
                <w:szCs w:val="18"/>
              </w:rPr>
              <w:t xml:space="preserve">1. 5.9.2(b) of the FI Guidelines (clauses allowing MAS or its agents to exercise the institution’s access and inspection rights) has no Bank counterpart: for Banks, MAS has statutory inspection powers over service providers under section 47A(10) of the Banking Act, and paragraph 7.1(d) of the Notices prescribes the audit clauses.</w:t>
            </w:r>
          </w:p>
          <w:p>
            <w:pPr>
              <w:pStyle w:val="BodyText"/>
              <w:rPr>
                <w:rFonts w:asciiTheme="majorHAnsi" w:hAnsiTheme="majorHAnsi" w:cstheme="majorHAnsi"/>
                <w:sz w:val="18"/>
                <w:szCs w:val="18"/>
              </w:rPr>
            </w:pPr>
            <w:r>
              <w:rPr>
                <w:rFonts w:asciiTheme="majorHAnsi" w:hAnsiTheme="majorHAnsi" w:cstheme="majorHAnsi"/>
                <w:sz w:val="18"/>
                <w:szCs w:val="18"/>
              </w:rPr>
              <w:t xml:space="preserve">2. 5.9.3 of the FI Guidelines (service provider to submit security and control reports to MAS on request) also has 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w:t>
            </w:r>
            <w:r>
              <w:rPr>
                <w:rFonts w:asciiTheme="majorHAnsi" w:hAnsiTheme="majorHAnsi" w:cstheme="majorHAnsi"/>
                <w:highlight w:val="yellow"/>
                <w:sz w:val="18"/>
                <w:szCs w:val="18"/>
              </w:rPr>
              <w:t xml:space="preserve">endeavour to subject</w:t>
            </w:r>
            <w:r>
              <w:rPr>
                <w:rFonts w:asciiTheme="majorHAnsi" w:hAnsiTheme="majorHAnsi" w:cstheme="majorHAnsi"/>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5.9.4 of the FI Guidelines, with two differences: the Bank should “endeavour to subject” sub-contractors to the audit requirements, while the institution should “ensure that these expectations are met” (stricter); and “these expectations” in 5.9.4 covers both 5.9.2 and 5.9.3, so the FI obligation is broader than audit alone.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Bank’s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23 – The security environment refers to both the physical and IT security environments.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of the Bank Guidelines corresponds verbatim to 5.9.5 of the FI Guidelines, save that 5.9.5 reads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Bank’s internal or external auditors, the service provider’s external auditors24 or by agents appointed by the Bank </w:t>
            </w:r>
            <w:r>
              <w:rPr>
                <w:rFonts w:asciiTheme="majorHAnsi" w:hAnsiTheme="majorHAnsi" w:cstheme="majorHAnsi"/>
                <w:highlight w:val="yellow"/>
                <w:sz w:val="18"/>
                <w:szCs w:val="18"/>
              </w:rPr>
              <w:t xml:space="preserve">(e.g. audits commissioned by multiple Banks using the same service provider)</w:t>
            </w:r>
            <w:r>
              <w:rPr>
                <w:rFonts w:asciiTheme="majorHAnsi" w:hAnsiTheme="majorHAnsi" w:cstheme="majorHAnsi"/>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findings25.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rPr>
              <w:t xml:space="preserve">24 – </w:t>
            </w:r>
            <w:r>
              <w:rPr>
                <w:rFonts w:asciiTheme="majorHAnsi" w:hAnsiTheme="majorHAnsi" w:cstheme="majorHAnsi"/>
                <w:highlight w:val="yellow"/>
                <w:sz w:val="16"/>
                <w:szCs w:val="16"/>
              </w:rPr>
              <w:t xml:space="preserve">While audits need not be procured by banks</w:t>
            </w:r>
            <w:r>
              <w:rPr>
                <w:rFonts w:asciiTheme="majorHAnsi" w:hAnsiTheme="majorHAnsi" w:cstheme="majorHAnsi"/>
                <w:sz w:val="16"/>
                <w:szCs w:val="16"/>
              </w:rPr>
              <w:t xml:space="preserve">, a bank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rPr>
              <w:t xml:space="preserve">25 – Please refer to paragraph 3.1 on Responsibilities of Board and Senior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 of the Bank Guidelines corresponds to 5.9.6 of the FI Guidelines, with two differences: the pooled-audit example “(e.g. audits commissioned by multiple Banks using the same service provider)” is Bank-only; and footnote 24 of the Bank Guidelines opens with “While audits need not be procured by banks”, a concession footnote 18 of the FI Guidelines omits.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 of the Bank Guidelines corresponds verbatim to 5.9.7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3.9.7</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Bank to MAS </w:t>
            </w:r>
            <w:r>
              <w:rPr>
                <w:rFonts w:asciiTheme="majorHAnsi" w:hAnsiTheme="majorHAnsi" w:cstheme="majorHAnsi"/>
                <w:highlight w:val="yellow"/>
                <w:sz w:val="18"/>
                <w:szCs w:val="18"/>
              </w:rPr>
              <w:t xml:space="preserve">upon request</w:t>
            </w:r>
            <w:r>
              <w:rPr>
                <w:rFonts w:asciiTheme="majorHAnsi" w:hAnsiTheme="majorHAnsi" w:cstheme="majorHAnsi"/>
                <w:sz w:val="18"/>
                <w:szCs w:val="18"/>
              </w:rPr>
              <w:t xml:space="preserve">. A Bank should also, upon request, provide MAS with other reports or information on the Bank and service provider that is related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Copies of audit reports should be submitted by the institution to MAS.</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5.9.8 of the FI Guidelines, save that the FI Guidelines omit “upon request” for audit reports – on its face, the FI expectation to submit audit reports is unconditional. Both retain “upon request” for other reports and information.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Audits and/or expert assessments performed as part of a certification process (but not self-attestations) may be relied on to meet requirements or expectations on audit</w:t>
            </w:r>
            <w:r>
              <w:rPr>
                <w:rFonts w:asciiTheme="majorHAnsi" w:hAnsiTheme="majorHAnsi" w:cstheme="majorHAnsi"/>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Theme="majorHAnsi" w:hAnsiTheme="majorHAnsi" w:cstheme="majorHAnsi"/>
                <w:highlight w:val="yellow"/>
                <w:sz w:val="18"/>
                <w:szCs w:val="18"/>
              </w:rPr>
              <w:t xml:space="preserve">Banks may also rely on pooled audits or third-party certification (of their service providers) performed by independent parties.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are silent on reliance on certification-based audits, pooled audits and third-party certification.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5.10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 of the Bank Guidelines corresponds verbatim to 5.10.1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 of the Bank Guidelines corresponds to 5.10.2(a) and the first part of 5.10.2(b) of the FI Guidelines. Two FI-only additions: the institution should confirm in writing to MAS that its agreements provide MAS the inspection and access rights in 5.9; and item (c) requires notification to MAS if any overseas authority seeks access to customer information, or if the access rights of the institution and MAS are restricted or denied. Neither appears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 Bank’s group, </w:t>
            </w:r>
            <w:r>
              <w:rPr>
                <w:rFonts w:asciiTheme="majorHAnsi" w:hAnsiTheme="majorHAnsi" w:cstheme="majorHAnsi"/>
                <w:highlight w:val="yellow"/>
                <w:sz w:val="18"/>
                <w:szCs w:val="18"/>
              </w:rPr>
              <w:t xml:space="preserve">including subsidiaries of Singapore-incorporated banks</w:t>
            </w:r>
            <w:r>
              <w:rPr>
                <w:rFonts w:asciiTheme="majorHAnsi" w:hAnsiTheme="majorHAnsi" w:cstheme="majorHAnsi"/>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 of the Bank Guidelines corresponds to 5.11.1 of the FI Guidelines, save that the phrase “including subsidiaries of Singapore-incorporated banks” is Bank-only (the FI group-wide duty is at 2.3 of the FI Guidelines instead) and 5.11.1 reads “policies and procedures” (plural).</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 of the Bank Guidelines corresponds verbatim to 5.11.2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pStyle w:val="BodyText"/>
              <w:rPr>
                <w:rFonts w:asciiTheme="majorHAnsi" w:hAnsiTheme="majorHAnsi" w:cstheme="majorHAnsi"/>
                <w:sz w:val="16"/>
                <w:szCs w:val="16"/>
              </w:rPr>
            </w:pPr>
            <w:r>
              <w:rPr>
                <w:rFonts w:asciiTheme="majorHAnsi" w:hAnsiTheme="majorHAnsi" w:cstheme="majorHAnsi"/>
                <w:sz w:val="16"/>
                <w:szCs w:val="16"/>
              </w:rPr>
              <w:t xml:space="preserve">26 – Any departure from this best practice should remain within the bounds of the applicable ethical standards for the statutory or external auditor.</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 of the Bank Guidelines corresponds to 5.12.1 of the FI Guidelines. The departure footnotes differ: footnote 20 of the FI Guidelines limits departures from this best practice to </w:t>
            </w:r>
            <w:r>
              <w:rPr>
                <w:rFonts w:asciiTheme="majorHAnsi" w:hAnsiTheme="majorHAnsi" w:cstheme="majorHAnsi"/>
                <w:highlight w:val="yellow"/>
                <w:sz w:val="18"/>
                <w:szCs w:val="18"/>
              </w:rPr>
              <w:t xml:space="preserve">small institutions</w:t>
            </w:r>
            <w:r>
              <w:rPr>
                <w:rFonts w:asciiTheme="majorHAnsi" w:hAnsiTheme="majorHAnsi" w:cstheme="majorHAnsi"/>
                <w:sz w:val="18"/>
                <w:szCs w:val="18"/>
              </w:rPr>
              <w:t xml:space="preserve">; footnote 26 of the Bank Guidelines contains no size limit.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of the Bank Guidelines corresponds verbatim to 5.12.2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 of the Bank Guidelines corresponds verbatim to 5.12.3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Engagement with MAS on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with MAS” section of the Bank Guidelines is section 2 (see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Observance of the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2.1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be able to demonstrate to MAS its observance of the expectations in these Guidelines. </w:t>
            </w:r>
            <w:r>
              <w:rPr>
                <w:rFonts w:asciiTheme="majorHAnsi" w:hAnsiTheme="majorHAnsi" w:cstheme="majorHAnsi"/>
                <w:highlight w:val="yellow"/>
                <w:sz w:val="18"/>
                <w:szCs w:val="18"/>
              </w:rPr>
              <w:t xml:space="preserve">This should include submission of its outsourcing register in the template set out in Annex 4 at least annually or upon request.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4.1.1 of the FI Guidelines corresponds to the first sentence of 2.1 of the Bank Guidelines. The register-submission sentence has no Bank counterpart; the Bank Guidelines give only a template link (footnote 21 to 3.8.2(a)) with no stated frequency.</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MAS is not satisfied with the institution’s observance of the expectations in these Guidelines, MAS may require the institution to take additional measures to address the deficiencies noted, which could include pre-notification of new material outsourcing arrangements. MAS may also take non-observance into account in its assessment of the institution, considering the potential impact of the outsourcing on the institution and the financial system, severity of the deficiencies noted, the institution’s track record in internal controls and risk management, and the circumstances of the case. MAS may directly communicate with the home or host regulators of the institution and the institution’s service provider, on their ability and willingness to cooperate with MAS.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4.1.2 of the FI Guidelines corresponds to the remainder of 2.1 of the Bank Guidelines (“material outsourcing arrangements” for “MOORS”; “the potential impact of the outsourcing” for “the potential impact of the outsourcing arrangement”).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may require an institution to </w:t>
            </w:r>
            <w:r>
              <w:rPr>
                <w:rFonts w:asciiTheme="majorHAnsi" w:hAnsiTheme="majorHAnsi" w:cstheme="majorHAnsi"/>
                <w:highlight w:val="yellow"/>
                <w:sz w:val="18"/>
                <w:szCs w:val="18"/>
              </w:rPr>
              <w:t xml:space="preserve">modify, make alternative arrangements or re-integrate an outsourced service into the institution</w:t>
            </w:r>
            <w:r>
              <w:rPr>
                <w:rFonts w:asciiTheme="majorHAnsi" w:hAnsiTheme="majorHAnsi" w:cstheme="majorHAnsi"/>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(d) </w:t>
            </w:r>
            <w:r>
              <w:rPr>
                <w:rFonts w:asciiTheme="majorHAnsi" w:hAnsiTheme="majorHAnsi" w:cstheme="majorHAnsi"/>
                <w:highlight w:val="yellow"/>
                <w:sz w:val="18"/>
                <w:szCs w:val="18"/>
              </w:rPr>
              <w:t xml:space="preserve">MAS’ supervisory powers over the institution and ability to carry out MAS’ supervisory functions in respect of the institution’s services are hindered</w:t>
            </w:r>
            <w:r>
              <w:rPr>
                <w:rFonts w:asciiTheme="majorHAnsi" w:hAnsiTheme="majorHAnsi" w:cstheme="majorHAnsi"/>
                <w:sz w:val="18"/>
                <w:szCs w:val="18"/>
              </w:rPr>
              <w:t xml:space="preserve">; or (e) </w:t>
            </w:r>
            <w:r>
              <w:rPr>
                <w:rFonts w:asciiTheme="majorHAnsi" w:hAnsiTheme="majorHAnsi" w:cstheme="majorHAnsi"/>
                <w:highlight w:val="yellow"/>
                <w:sz w:val="18"/>
                <w:szCs w:val="18"/>
              </w:rPr>
              <w:t xml:space="preserve">The security and confidentiality of the institution’s customer information is lowered due to changes in the control environment of the service provider</w:t>
            </w:r>
            <w:r>
              <w:rPr>
                <w:rFonts w:asciiTheme="majorHAnsi" w:hAnsiTheme="majorHAnsi" w:cstheme="majorHAnsi"/>
                <w:sz w:val="18"/>
                <w:szCs w:val="18"/>
              </w:rPr>
              <w:t xml:space="preserv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in this form. The closest is 3.4.5–3.4.6 of the Bank Guidelines (MAS-directed termination under paragraph 7.1(g) of the Notices), discussed above; grounds (d) and (e) here have no Bank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Notification of adverse developments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notify MAS as soon as possible of any adverse development arising from its outsourcing arrangements that could impact the institution. Such adverse developments include any event that could potentially lead to prolonged service failure or disruption in the outsourcing arrangement, or any breach of security and confidentiality of the institution’s customer information4. An institution should also notify MAS of such adverse developments encountered within the institution’s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4.2.1 of the FI Guidelines corresponds verbatim to 2.2 of the Bank Guidelines (without footnote 4; the carve-outs appear in the section 3 definition of “customer information” instead).</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Risk Management Practices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“Risk Management Practices” section of the Bank Guidelines is section 3 (see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Overview</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In supervising an institution, MAS will review its implementation of these Guidelines, the quality of its board and senior management oversight and governance, internal controls and risk management with regard to managing outsourcing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the equivalent idea is folded into 2.1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Responsibilities of the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5.2.1 of the FI Guidelines corresponds verbatim to 3.1.1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5.2.2 of the FI Guidelines corresponds verbatim to 3.1.2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an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5.2.3 of the FI Guidelines corresponds verbatim to 3.1.3 of the Bank Guidelines (“material outsourcing arrangements” for “MOORS” in items (d) and (h)).</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5.2.4 of the FI Guidelines corresponds verbatim to 3.1.4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 of the FI Guidelines adds the opening sentence on delegating board functions beyond local management (e.g. a regional risk management committee); the rest corresponds verbatim to 3.1.5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Evaluation of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assessing5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5 – Please see paragraph 5.4 on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5.3.1 of the FI Guidelines corresponds to 3.2.1 of the Bank Guidelines, with the minor drafting differences noted at 3.2.1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5.3.2 of the FI Guidelines corresponds verbatim to 3.2.2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considering, renegotiating or renewing an outsourcing arrangement, an institution should subject the service provider to appropriate due diligence processes to assess the risks associated with the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5.4.1 of the FI Guidelines corresponds verbatim to 3.3.1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5.4.2 of the FI Guidelines corresponds verbatim to 3.3.2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rPr>
              <w:t xml:space="preserve">6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rPr>
              <w:t xml:space="preserve">7 – Standards should be commensurate with that expected of the institution as set out in MAS’ Business Continuity Management Guidelines. Please also see paragraph 5.7 of the Guidelines on Outsourcing for more guidance.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5.4.3 of the FI Guidelines corresponds verbatim to 3.3.3 of the Bank Guidelines, including footnotes 6 and 7.</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5.4.4 of the FI Guidelines corresponds verbatim to 3.3.4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rPr>
              <w:t xml:space="preserve">8 – Please see paragraph 5.11 on arrangements relating to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5.4.5 of the FI Guidelines corresponds to 3.3.5 of the Bank Guidelines (“risk of the arrangement” for “risk of the service”).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5.5.1 of the FI Guidelines corresponds verbatim to 3.4.1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security9;</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management10;</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control11;</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inspection12;</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bridge-institution13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5.5.2 of the FI Guidelines corresponds to 3.4.2 (agreement checklist), 3.4.3 (termination triggers – which differ, see above), 3.4.4 (termination mechanics) and 3.5.1 (sub-contracting) of the Bank Guidelines. Item (j) and footnotes 9 and 12 of the Bank Guidelines are discussed at those rows.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Singapore14.</w:t>
            </w:r>
          </w:p>
          <w:p>
            <w:pPr>
              <w:pStyle w:val="BodyText"/>
              <w:rPr>
                <w:rFonts w:asciiTheme="majorHAnsi" w:hAnsiTheme="majorHAnsi" w:cstheme="majorHAnsi"/>
                <w:sz w:val="16"/>
                <w:szCs w:val="16"/>
              </w:rPr>
            </w:pPr>
            <w:r>
              <w:rPr>
                <w:rFonts w:asciiTheme="majorHAnsi" w:hAnsiTheme="majorHAnsi" w:cstheme="majorHAnsi"/>
                <w:sz w:val="16"/>
                <w:szCs w:val="16"/>
              </w:rPr>
              <w:t xml:space="preserve">14 – Refer to paragraph 5.10.</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5.5.3 of the FI Guidelines corresponds verbatim to 3.4.8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3.6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5.6.1 of the FI Guidelines corresponds verbatim to 3.6.1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multi-tenancy15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15 – Multi-tenancy generally refers to a mode of operation adopted by service providers where a single computing infrastructure (e.g. servers, databases) is used to serve multiple customers (tenants).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5.6.2 of the FI Guidelines corresponds verbatim to 3.6.2 of the Bank Guidelines (“in the outsourcing arrangement” for “for the outsourcing arrangement”).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3.7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5.7.1 of the FI Guidelines corresponds verbatim to 3.7.1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5.7.2 of the FI Guidelines corresponds verbatim to 3.7.2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5.7.3 of the FI Guidelines corresponds verbatim to 3.7.3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5.7.4 of the FI Guidelines corresponds verbatim to 3.7.4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3.8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5.8.1 of the FI Guidelines corresponds verbatim to 3.8.1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 of the FI Guidelines corresponds to 3.8.2 of the Bank Guidelines; item (d) (annual periodic reviews) has no Bank counterpart, and the register mechanics differ – see 3.8.2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3.9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institution’s outsourcing arrangements should not interfere with the ability of the institution to effectively manage its business activities or impede MAS in carrying out its supervisory functions.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5.9.1 of the FI Guidelines corresponds verbatim to 3.9.1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 of the FI Guidelines corresponds to 3.9.2 of the Bank Guidelines; item (b) (MAS exercising the institution’s contractual access rights) has no Bank counterpart – see 3.9.2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 see 3.9.2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5.9.4 of the FI Guidelines corresponds to 3.9.3 of the Bank Guidelines (“ensure that these expectations are met” for “endeavour to subject”; “these expectations” covers 5.9.2 and 5.9.3).</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security17 and control environment incident management process (for material breaches, service disruptions or other material issues) and the institution’s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17 – The security environment refers to both the physical and IT security environments.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5.9.5 of the FI Guidelines corresponds verbatim to 3.9.4 of the Bank Guidelines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institution’s internal or external auditors, the service provider’s external auditors18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findings19. Institutions and the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rPr>
              <w:t xml:space="preserve">24 – An institution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rPr>
              <w:t xml:space="preserve">25 – Please refer to paragraph 3.1 on Responsibilities of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5.9.6 of the FI Guidelines corresponds to 3.9.5 of the Bank Guidelines, minus the pooled-audit example; footnote 18 omits the “need not be procured” concession in Bank footnote 24.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5.9.7 of the FI Guidelines corresponds verbatim to 3.9.6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institution to MAS</w:t>
            </w:r>
            <w:r>
              <w:rPr>
                <w:rFonts w:asciiTheme="majorHAnsi" w:hAnsiTheme="majorHAnsi" w:cstheme="majorHAnsi"/>
                <w:highlight w:val="yellow"/>
                <w:sz w:val="18"/>
                <w:szCs w:val="18"/>
              </w:rPr>
              <w:t xml:space="preserve">.</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5.9.8 of the FI Guidelines corresponds to 3.9.7 of the Bank Guidelines, save that “upon request” is omitted for audit reports – see 3.9.7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3.10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5.10.1 of the FI Guidelines corresponds verbatim to 3.10.1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 of the FI Guidelines corresponds to 3.10.2 of the Bank Guidelines; the written confirmation to MAS in item (b) and the whole of item (c) have no Bank counterpart – see 3.10.2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an institution’s group. The expectations may be addressed within group-wide risk management policies and procedures.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5.11.1 of the FI Guidelines corresponds to 3.11.1 of the Bank Guidelines, without “including subsidiaries of Singapore-incorporated banks”; see also 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5.11.2 of the FI Guidelines corresponds verbatim to 3.11.2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an institution, there are additional issues that an institution should deliberate upon. One of these is the lack of independence or the appearance of impaired independence, when a service provider is handling multiple engagements for an institution, such as internal and external audits, and consulting work. There is doubt that the service provider, in its internal audit role, would criticise itself for the quality of the external audit or consultancy services provided to the institution. In addition, as operations of an institution could be complex and involve large transaction volumes and amounts, it should ensure service providers have the expertise to adequately complete the engagement. An institution should address these and other relevant issues before outsourcing the internal audit function. In addition, as a sound practice, institutions should not outsource their internal audit function to the institution’s external audit firm20.</w:t>
            </w:r>
          </w:p>
          <w:p>
            <w:pPr>
              <w:pStyle w:val="BodyText"/>
              <w:rPr>
                <w:rFonts w:asciiTheme="majorHAnsi" w:hAnsiTheme="majorHAnsi" w:cstheme="majorHAnsi"/>
                <w:sz w:val="16"/>
                <w:szCs w:val="16"/>
              </w:rPr>
            </w:pPr>
            <w:r>
              <w:rPr>
                <w:rFonts w:asciiTheme="majorHAnsi" w:hAnsiTheme="majorHAnsi" w:cstheme="majorHAnsi"/>
                <w:sz w:val="16"/>
                <w:szCs w:val="16"/>
              </w:rPr>
              <w:t xml:space="preserve">20 – Any departure from this best practice should be </w:t>
            </w:r>
            <w:r>
              <w:rPr>
                <w:rFonts w:asciiTheme="majorHAnsi" w:hAnsiTheme="majorHAnsi" w:cstheme="majorHAnsi"/>
                <w:highlight w:val="yellow"/>
                <w:sz w:val="16"/>
                <w:szCs w:val="16"/>
              </w:rPr>
              <w:t xml:space="preserve">limited to small institutions</w:t>
            </w:r>
            <w:r>
              <w:rPr>
                <w:rFonts w:asciiTheme="majorHAnsi" w:hAnsiTheme="majorHAnsi" w:cstheme="majorHAnsi"/>
                <w:sz w:val="16"/>
                <w:szCs w:val="16"/>
              </w:rPr>
              <w:t xml:space="preserve"> and should remain within the bounds of the applicable ethical standards for the statutory or external auditor.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5.12.1 of the FI Guidelines corresponds to 3.12.1 of the Bank Guidelines; footnote 20 limits departures from the best practice to small institutions (see 3.12.1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an institution should satisfy itself that the external auditor would be in compliance with the relevant auditor independence standards of the Singapore accounting profession.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5.12.2 of the FI Guidelines corresponds verbatim to 3.12.2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5.12.3 of the FI Guidelines corresponds verbatim to 3.12.3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Bank Guidelines (Material Outsourcing) is found in Annex 3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FI Guidelines (Exempted Outsourced Services) has no counterpart in the Bank Guidelines; the Bank exemption list is Annex D of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private27 or public28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MAS considers CS operated by service providers as a form of outsourcing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pStyle w:val="BodyText"/>
              <w:rPr>
                <w:rFonts w:asciiTheme="majorHAnsi" w:hAnsiTheme="majorHAnsi" w:cstheme="majorHAnsi"/>
                <w:sz w:val="16"/>
                <w:szCs w:val="16"/>
              </w:rPr>
            </w:pPr>
            <w:r>
              <w:rPr>
                <w:rFonts w:asciiTheme="majorHAnsi" w:hAnsiTheme="majorHAnsi" w:cstheme="majorHAnsi"/>
                <w:sz w:val="16"/>
                <w:szCs w:val="16"/>
              </w:rPr>
              <w:t xml:space="preserve">27 – A cloud infrastructure operated solely for an organisation.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28 – A cloud infrastructure made available to the general public or an industry group, and is owned by a third-party service provider.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Bank Guidelines (Cloud Computing) is found in Annex 5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FI Guidelines (Examples of Outsourcing Arrangements) has no counterpart in the Bank Guidelines; for Banks the equivalent lists appear, in binding form, as Annexes A, B and 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Applicablity of Notices and Guidelines for Banks to Different Categories of Services [sic, as in the original]. Decision framework over “Relevant Services” as defined in s 47A(12) of the Banking Act 1970 (means any service obtained or received by the bank, other than a service provided in the course of employment by an employee of the bank or a service provided by a director or an officer of the bank in the course of the director’s or officer’s appointment, and does not include any service specified by the Authority by written notice): </w:t>
            </w:r>
            <w:r>
              <w:rPr>
                <w:rFonts w:asciiTheme="majorHAnsi" w:hAnsiTheme="majorHAnsi" w:cstheme="majorHAnsi"/>
                <w:highlight w:val="yellow"/>
                <w:sz w:val="18"/>
                <w:szCs w:val="18"/>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and sound internal controls.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Material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FI Guidelines corresponds verbatim to Annex 1 of the Bank Guidelines (quoted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Bank Guidelines (applicability of the Notices and Guidelines to categories of relevant services) has no counterpart in the FI Guidelines; the taxonomy only exists because of the Notices and section 47A of the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 of the FI Guidelines has no counterpart in the Bank Guidelines; Banks submit registers per the template link at footnote 21, with register requirements otherwise in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Cloud Computing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 of the FI Guidelines corresponds verbatim to Annex 2 of the Bank Guidelines (quoted above).</w:t>
            </w:r>
          </w:p>
        </w:tc>
      </w:tr>
    </w:tbl>
    <w:p w14:paraId="422A2D5F" w14:textId="77777777" w:rsidR="00E0177B" w:rsidRPr="00692871" w:rsidRDefault="00E0177B">
      <w:pPr>
        <w:spacing w:after="240" w:line="276" w:lineRule="auto"/>
        <w:rPr>
          <w:rFonts w:asciiTheme="majorHAnsi" w:hAnsiTheme="majorHAnsi" w:cstheme="majorHAnsi"/>
          <w:b/>
          <w:bCs/>
          <w:sz w:val="18"/>
          <w:szCs w:val="18"/>
        </w:rPr>
      </w:pPr>
      <w:r>
        <w:rPr>
          <w:rFonts w:asciiTheme="majorHAnsi" w:hAnsiTheme="majorHAnsi" w:cstheme="majorHAnsi"/>
          <w:sz w:val="18"/>
          <w:szCs w:val="18"/>
        </w:rPr>
        <w:br w:type="page"/>
      </w:r>
    </w:p>
    <w:p w14:paraId="2B0B9803" w14:textId="4E0F2583" w:rsidR="008B44E5" w:rsidRDefault="008B44E5">
      <w:pPr>
        <w:spacing w:after="240" w:line="276" w:lineRule="auto"/>
        <w:rPr>
          <w:rFonts w:asciiTheme="majorHAnsi" w:hAnsiTheme="majorHAnsi" w:cstheme="majorHAnsi"/>
          <w:b/>
          <w:bCs/>
          <w:sz w:val="18"/>
          <w:szCs w:val="18"/>
        </w:rPr>
      </w:pPr>
      <w:bookmarkStart w:id="3" w:name="SYSC"/>
      <w:bookmarkEnd w:id="3"/>
    </w:p>
    <w:sectPr w:rsidR="008B44E5" w:rsidSect="00B90CC3">
      <w:headerReference w:type="default" r:id="rId13"/>
      <w:footerReference w:type="even" r:id="rId14"/>
      <w:footerReference w:type="default" r:id="rId15"/>
      <w:footerReference w:type="first" r:id="rId16"/>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60B7" w14:textId="77777777" w:rsidR="003E1BA7" w:rsidRDefault="003E1BA7">
      <w:r>
        <w:separator/>
      </w:r>
    </w:p>
  </w:endnote>
  <w:endnote w:type="continuationSeparator" w:id="0">
    <w:p w14:paraId="4128A2FF" w14:textId="77777777" w:rsidR="003E1BA7" w:rsidRDefault="003E1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8D24" w14:textId="2B3EFFB2" w:rsidR="00FF0F02" w:rsidRDefault="00FF0F02">
    <w:pPr>
      <w:pStyle w:val="Footer"/>
    </w:pPr>
    <w:r>
      <w:rPr>
        <w:noProof/>
      </w:rPr>
      <mc:AlternateContent>
        <mc:Choice Requires="wps">
          <w:drawing>
            <wp:anchor distT="0" distB="0" distL="0" distR="0" simplePos="0" relativeHeight="251659264" behindDoc="0" locked="0" layoutInCell="1" allowOverlap="1" wp14:anchorId="2AE40FA8" wp14:editId="0F02D0A2">
              <wp:simplePos x="635" y="635"/>
              <wp:positionH relativeFrom="page">
                <wp:align>left</wp:align>
              </wp:positionH>
              <wp:positionV relativeFrom="page">
                <wp:align>bottom</wp:align>
              </wp:positionV>
              <wp:extent cx="443865" cy="443865"/>
              <wp:effectExtent l="0" t="0" r="6985" b="0"/>
              <wp:wrapNone/>
              <wp:docPr id="2" name="Text Box 2"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AE40FA8" id="_x0000_t202" coordsize="21600,21600" o:spt="202" path="m,l,21600r21600,l21600,xe">
              <v:stroke joinstyle="miter"/>
              <v:path gradientshapeok="t" o:connecttype="rect"/>
            </v:shapetype>
            <v:shape id="Text Box 2" o:spid="_x0000_s1026" type="#_x0000_t202" alt="NTAC:3NS-20"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3AF8" w14:textId="7FCB9CCF" w:rsidR="001372C9" w:rsidRDefault="00FF0F02">
    <w:pPr>
      <w:pStyle w:val="Footer"/>
      <w:tabs>
        <w:tab w:val="clear" w:pos="4513"/>
        <w:tab w:val="clear" w:pos="9026"/>
        <w:tab w:val="right" w:pos="3098"/>
        <w:tab w:val="right" w:pos="6142"/>
      </w:tabs>
    </w:pPr>
    <w:r>
      <w:rPr>
        <w:noProof/>
      </w:rPr>
      <mc:AlternateContent>
        <mc:Choice Requires="wps">
          <w:drawing>
            <wp:anchor distT="0" distB="0" distL="0" distR="0" simplePos="0" relativeHeight="251660288" behindDoc="0" locked="0" layoutInCell="1" allowOverlap="1" wp14:anchorId="414B9CB9" wp14:editId="4FD06A04">
              <wp:simplePos x="914400" y="6878320"/>
              <wp:positionH relativeFrom="page">
                <wp:align>left</wp:align>
              </wp:positionH>
              <wp:positionV relativeFrom="page">
                <wp:align>bottom</wp:align>
              </wp:positionV>
              <wp:extent cx="443865" cy="443865"/>
              <wp:effectExtent l="0" t="0" r="6985" b="0"/>
              <wp:wrapNone/>
              <wp:docPr id="3" name="Text Box 3"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4B9CB9" id="_x0000_t202" coordsize="21600,21600" o:spt="202" path="m,l,21600r21600,l21600,xe">
              <v:stroke joinstyle="miter"/>
              <v:path gradientshapeok="t" o:connecttype="rect"/>
            </v:shapetype>
            <v:shape id="Text Box 3" o:spid="_x0000_s1027" type="#_x0000_t202" alt="NTAC:3NS-20"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r w:rsidR="00EC17DC">
      <w:t>13 January 2025</w:t>
    </w:r>
  </w:p>
  <w:p w14:paraId="26CD18C8" w14:textId="40D5C671" w:rsidR="001372C9" w:rsidRDefault="00000000">
    <w:pPr>
      <w:pStyle w:val="Footer"/>
      <w:tabs>
        <w:tab w:val="clear" w:pos="4513"/>
        <w:tab w:val="clear" w:pos="9026"/>
      </w:tabs>
    </w:pPr>
    <w:sdt>
      <w:sdtPr>
        <w:alias w:val="Outline Content"/>
        <w:tag w:val="CF7E35E163E14BC9B0FC6A98EE2CB1EB"/>
        <w:id w:val="318247441"/>
        <w:placeholder>
          <w:docPart w:val="8D5562405C4047B68A57B81B283E3E5D"/>
        </w:placeholder>
        <w:showingPlcHdr/>
      </w:sdtPr>
      <w:sdtContent/>
    </w:sdt>
    <w:r w:rsidR="005B5D94">
      <w:ptab w:relativeTo="margin" w:alignment="right" w:leader="none"/>
    </w:r>
    <w:sdt>
      <w:sdtPr>
        <w:alias w:val="Outline Content"/>
        <w:tag w:val="7B45B71A67584164AF165B4B4E0F59B9"/>
        <w:id w:val="-852097447"/>
        <w:placeholder>
          <w:docPart w:val="BB2DEBFA2C9E431A8CA8D437203CC909"/>
        </w:placeholder>
      </w:sdtPr>
      <w:sdtContent>
        <w:r w:rsidR="000318AE">
          <w:t>Page</w:t>
        </w:r>
      </w:sdtContent>
    </w:sdt>
    <w:r w:rsidR="005B5D94">
      <w:t xml:space="preserve"> </w:t>
    </w:r>
    <w:r w:rsidR="005B5D94">
      <w:rPr>
        <w:rStyle w:val="PageNumber"/>
      </w:rPr>
      <w:fldChar w:fldCharType="begin"/>
    </w:r>
    <w:r w:rsidR="005B5D94">
      <w:rPr>
        <w:rStyle w:val="PageNumber"/>
      </w:rPr>
      <w:instrText xml:space="preserve"> PAGE </w:instrText>
    </w:r>
    <w:r w:rsidR="005B5D94">
      <w:rPr>
        <w:rStyle w:val="PageNumber"/>
      </w:rPr>
      <w:fldChar w:fldCharType="separate"/>
    </w:r>
    <w:r w:rsidR="004E3650">
      <w:rPr>
        <w:rStyle w:val="PageNumber"/>
        <w:noProof/>
      </w:rPr>
      <w:t>1</w:t>
    </w:r>
    <w:r w:rsidR="005B5D9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D10A" w14:textId="33F9A6B8" w:rsidR="00FF0F02" w:rsidRDefault="00FF0F02">
    <w:pPr>
      <w:pStyle w:val="Footer"/>
    </w:pPr>
    <w:r>
      <w:rPr>
        <w:noProof/>
      </w:rPr>
      <mc:AlternateContent>
        <mc:Choice Requires="wps">
          <w:drawing>
            <wp:anchor distT="0" distB="0" distL="0" distR="0" simplePos="0" relativeHeight="251658240" behindDoc="0" locked="0" layoutInCell="1" allowOverlap="1" wp14:anchorId="0B7DAC3A" wp14:editId="4E9ADF81">
              <wp:simplePos x="635" y="635"/>
              <wp:positionH relativeFrom="page">
                <wp:align>left</wp:align>
              </wp:positionH>
              <wp:positionV relativeFrom="page">
                <wp:align>bottom</wp:align>
              </wp:positionV>
              <wp:extent cx="443865" cy="443865"/>
              <wp:effectExtent l="0" t="0" r="6985" b="0"/>
              <wp:wrapNone/>
              <wp:docPr id="1" name="Text Box 1"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7DAC3A" id="_x0000_t202" coordsize="21600,21600" o:spt="202" path="m,l,21600r21600,l21600,xe">
              <v:stroke joinstyle="miter"/>
              <v:path gradientshapeok="t" o:connecttype="rect"/>
            </v:shapetype>
            <v:shape id="Text Box 1" o:spid="_x0000_s1028" type="#_x0000_t202" alt="NTAC:3NS-20"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F12" w14:textId="77777777" w:rsidR="003E1BA7" w:rsidRDefault="003E1BA7">
      <w:r>
        <w:separator/>
      </w:r>
    </w:p>
  </w:footnote>
  <w:footnote w:type="continuationSeparator" w:id="0">
    <w:p w14:paraId="16AE9C4E" w14:textId="77777777" w:rsidR="003E1BA7" w:rsidRDefault="003E1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58EA" w14:textId="67028423" w:rsidR="00E84036" w:rsidRPr="00AF4A19" w:rsidRDefault="00AF4A19" w:rsidP="00E84036">
    <w:pPr>
      <w:pStyle w:val="Header"/>
      <w:rPr>
        <w:b/>
        <w:bCs/>
      </w:rPr>
    </w:pPr>
    <w:r>
      <w:rPr>
        <w:b/>
        <w:bCs/>
      </w:rPr>
      <w:tab/>
    </w:r>
    <w:r>
      <w:rPr>
        <w:b/>
        <w:bCs/>
      </w:rPr>
      <w:tab/>
    </w:r>
    <w:r>
      <w:rPr>
        <w:b/>
        <w:bCs/>
      </w:rPr>
      <w:tab/>
    </w:r>
    <w:r>
      <w:rPr>
        <w:b/>
        <w:bCs/>
      </w:rPr>
      <w:tab/>
    </w:r>
  </w:p>
  <w:p w14:paraId="5EBC0011" w14:textId="77777777" w:rsidR="00F9215F" w:rsidRDefault="00F92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FF"/>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31616"/>
    <w:multiLevelType w:val="hybridMultilevel"/>
    <w:tmpl w:val="4070625C"/>
    <w:lvl w:ilvl="0" w:tplc="C2084C18">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855D4E"/>
    <w:multiLevelType w:val="multilevel"/>
    <w:tmpl w:val="DDD25420"/>
    <w:styleLink w:val="Bullets"/>
    <w:lvl w:ilvl="0">
      <w:start w:val="1"/>
      <w:numFmt w:val="bullet"/>
      <w:pStyle w:val="Bullet"/>
      <w:lvlText w:val=""/>
      <w:lvlJc w:val="left"/>
      <w:pPr>
        <w:ind w:left="720" w:hanging="720"/>
      </w:pPr>
      <w:rPr>
        <w:rFonts w:ascii="Symbol" w:hAnsi="Symbol" w:cs="Symbol"/>
        <w:color w:val="auto"/>
      </w:rPr>
    </w:lvl>
    <w:lvl w:ilvl="1">
      <w:start w:val="1"/>
      <w:numFmt w:val="bullet"/>
      <w:pStyle w:val="Bullet1"/>
      <w:lvlText w:val=""/>
      <w:lvlJc w:val="left"/>
      <w:pPr>
        <w:ind w:left="1440" w:hanging="720"/>
      </w:pPr>
      <w:rPr>
        <w:rFonts w:ascii="Symbol" w:hAnsi="Symbol" w:cs="Times New Roman" w:hint="default"/>
        <w:color w:val="auto"/>
      </w:rPr>
    </w:lvl>
    <w:lvl w:ilvl="2">
      <w:start w:val="1"/>
      <w:numFmt w:val="bullet"/>
      <w:pStyle w:val="Bullet2"/>
      <w:lvlText w:val=""/>
      <w:lvlJc w:val="left"/>
      <w:pPr>
        <w:tabs>
          <w:tab w:val="num" w:pos="2160"/>
        </w:tabs>
        <w:ind w:left="2160" w:hanging="720"/>
      </w:pPr>
      <w:rPr>
        <w:rFonts w:ascii="Symbol" w:hAnsi="Symbol" w:cs="Times New Roman" w:hint="default"/>
        <w:color w:val="auto"/>
      </w:rPr>
    </w:lvl>
    <w:lvl w:ilvl="3">
      <w:start w:val="1"/>
      <w:numFmt w:val="bullet"/>
      <w:pStyle w:val="Bullet3"/>
      <w:lvlText w:val=""/>
      <w:lvlJc w:val="left"/>
      <w:pPr>
        <w:tabs>
          <w:tab w:val="num" w:pos="2880"/>
        </w:tabs>
        <w:ind w:left="2880" w:hanging="720"/>
      </w:pPr>
      <w:rPr>
        <w:rFonts w:ascii="Symbol" w:hAnsi="Symbol" w:cs="Times New Roman" w:hint="default"/>
        <w:color w:val="auto"/>
      </w:rPr>
    </w:lvl>
    <w:lvl w:ilvl="4">
      <w:start w:val="1"/>
      <w:numFmt w:val="bullet"/>
      <w:pStyle w:val="Bullet4"/>
      <w:lvlText w:val=""/>
      <w:lvlJc w:val="left"/>
      <w:pPr>
        <w:tabs>
          <w:tab w:val="num" w:pos="3600"/>
        </w:tabs>
        <w:ind w:left="3600" w:hanging="720"/>
      </w:pPr>
      <w:rPr>
        <w:rFonts w:ascii="Symbol" w:hAnsi="Symbol" w:cs="Times New Roman" w:hint="default"/>
        <w:color w:val="auto"/>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 w15:restartNumberingAfterBreak="0">
    <w:nsid w:val="028B4145"/>
    <w:multiLevelType w:val="hybridMultilevel"/>
    <w:tmpl w:val="65169B8E"/>
    <w:lvl w:ilvl="0" w:tplc="89DC39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668D3"/>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FA5D23"/>
    <w:multiLevelType w:val="multilevel"/>
    <w:tmpl w:val="AC826F0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CE1C0A"/>
    <w:multiLevelType w:val="hybridMultilevel"/>
    <w:tmpl w:val="FD42728C"/>
    <w:lvl w:ilvl="0" w:tplc="9B907C5A">
      <w:start w:val="2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B0C4E"/>
    <w:multiLevelType w:val="multilevel"/>
    <w:tmpl w:val="FDB25602"/>
    <w:styleLink w:val="PrecNotes"/>
    <w:lvl w:ilvl="0">
      <w:start w:val="1"/>
      <w:numFmt w:val="decimal"/>
      <w:pStyle w:val="Prec1Heading"/>
      <w:lvlText w:val="%1"/>
      <w:lvlJc w:val="left"/>
      <w:pPr>
        <w:ind w:left="720" w:hanging="720"/>
      </w:pPr>
      <w:rPr>
        <w:rFonts w:hint="default"/>
      </w:rPr>
    </w:lvl>
    <w:lvl w:ilvl="1">
      <w:start w:val="1"/>
      <w:numFmt w:val="decimal"/>
      <w:pStyle w:val="Prec2Number"/>
      <w:lvlText w:val="%1.%2"/>
      <w:lvlJc w:val="left"/>
      <w:pPr>
        <w:ind w:left="720" w:hanging="720"/>
      </w:pPr>
      <w:rPr>
        <w:rFonts w:hint="default"/>
      </w:rPr>
    </w:lvl>
    <w:lvl w:ilvl="2">
      <w:start w:val="1"/>
      <w:numFmt w:val="lowerLetter"/>
      <w:pStyle w:val="Prec3Number"/>
      <w:lvlText w:val="(%3)"/>
      <w:lvlJc w:val="left"/>
      <w:pPr>
        <w:ind w:left="1440" w:hanging="720"/>
      </w:pPr>
      <w:rPr>
        <w:rFonts w:hint="default"/>
      </w:rPr>
    </w:lvl>
    <w:lvl w:ilvl="3">
      <w:start w:val="1"/>
      <w:numFmt w:val="lowerRoman"/>
      <w:pStyle w:val="Prec4Number"/>
      <w:lvlText w:val="(%4)"/>
      <w:lvlJc w:val="left"/>
      <w:pPr>
        <w:ind w:left="2160" w:hanging="720"/>
      </w:pPr>
      <w:rPr>
        <w:rFonts w:hint="default"/>
      </w:rPr>
    </w:lvl>
    <w:lvl w:ilvl="4">
      <w:start w:val="1"/>
      <w:numFmt w:val="upperLetter"/>
      <w:pStyle w:val="Prec5Number"/>
      <w:lvlText w:val="(%5)"/>
      <w:lvlJc w:val="left"/>
      <w:pPr>
        <w:tabs>
          <w:tab w:val="num" w:pos="2160"/>
        </w:tabs>
        <w:ind w:left="2880" w:hanging="72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11AD56A1"/>
    <w:multiLevelType w:val="multilevel"/>
    <w:tmpl w:val="1A6A9E06"/>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31E166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A1054"/>
    <w:multiLevelType w:val="hybridMultilevel"/>
    <w:tmpl w:val="6C98694E"/>
    <w:lvl w:ilvl="0" w:tplc="7A4E87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D718C"/>
    <w:multiLevelType w:val="hybridMultilevel"/>
    <w:tmpl w:val="5BBEF580"/>
    <w:lvl w:ilvl="0" w:tplc="C3D66DF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B3179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74C4528"/>
    <w:multiLevelType w:val="multilevel"/>
    <w:tmpl w:val="0ABE891C"/>
    <w:name w:val="Definitions"/>
    <w:styleLink w:val="Definitions"/>
    <w:lvl w:ilvl="0">
      <w:start w:val="1"/>
      <w:numFmt w:val="none"/>
      <w:pStyle w:val="Definition"/>
      <w:suff w:val="nothing"/>
      <w:lvlText w:val=""/>
      <w:lvlJc w:val="left"/>
      <w:pPr>
        <w:ind w:left="720" w:firstLine="0"/>
      </w:pPr>
      <w:rPr>
        <w:rFonts w:hint="default"/>
      </w:rPr>
    </w:lvl>
    <w:lvl w:ilvl="1">
      <w:start w:val="1"/>
      <w:numFmt w:val="lowerLetter"/>
      <w:pStyle w:val="Definition1"/>
      <w:lvlText w:val="(%2)"/>
      <w:lvlJc w:val="left"/>
      <w:pPr>
        <w:ind w:left="1440" w:hanging="720"/>
      </w:pPr>
      <w:rPr>
        <w:rFonts w:hint="default"/>
      </w:rPr>
    </w:lvl>
    <w:lvl w:ilvl="2">
      <w:start w:val="1"/>
      <w:numFmt w:val="lowerRoman"/>
      <w:pStyle w:val="Definition2"/>
      <w:lvlText w:val="(%3)"/>
      <w:lvlJc w:val="left"/>
      <w:pPr>
        <w:tabs>
          <w:tab w:val="num" w:pos="2160"/>
        </w:tabs>
        <w:ind w:left="2160" w:hanging="720"/>
      </w:pPr>
      <w:rPr>
        <w:rFonts w:hint="default"/>
      </w:rPr>
    </w:lvl>
    <w:lvl w:ilvl="3">
      <w:start w:val="1"/>
      <w:numFmt w:val="upperLetter"/>
      <w:pStyle w:val="Definition3"/>
      <w:lvlText w:val="(%4)"/>
      <w:lvlJc w:val="left"/>
      <w:pPr>
        <w:ind w:left="2880" w:hanging="720"/>
      </w:pPr>
      <w:rPr>
        <w:rFonts w:hint="default"/>
      </w:rPr>
    </w:lvl>
    <w:lvl w:ilvl="4">
      <w:start w:val="1"/>
      <w:numFmt w:val="decimal"/>
      <w:pStyle w:val="Definition4"/>
      <w:lvlText w:val="%5)"/>
      <w:lvlJc w:val="left"/>
      <w:pPr>
        <w:tabs>
          <w:tab w:val="num" w:pos="2880"/>
        </w:tabs>
        <w:ind w:left="3600" w:hanging="72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4" w15:restartNumberingAfterBreak="0">
    <w:nsid w:val="290B4D07"/>
    <w:multiLevelType w:val="multilevel"/>
    <w:tmpl w:val="9E5221FC"/>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CA62202"/>
    <w:multiLevelType w:val="multilevel"/>
    <w:tmpl w:val="880A6F1A"/>
    <w:lvl w:ilvl="0">
      <w:start w:val="1"/>
      <w:numFmt w:val="decimal"/>
      <w:pStyle w:val="Level1"/>
      <w:lvlText w:val="%1."/>
      <w:lvlJc w:val="left"/>
      <w:pPr>
        <w:tabs>
          <w:tab w:val="num" w:pos="720"/>
        </w:tabs>
        <w:ind w:left="720" w:hanging="720"/>
      </w:pPr>
      <w:rPr>
        <w:rFonts w:ascii="Times New Roman" w:hAnsi="Times New Roman" w:hint="default"/>
        <w:sz w:val="24"/>
      </w:rPr>
    </w:lvl>
    <w:lvl w:ilvl="1">
      <w:start w:val="1"/>
      <w:numFmt w:val="decimal"/>
      <w:pStyle w:val="Level2"/>
      <w:lvlText w:val="%1.%2"/>
      <w:lvlJc w:val="left"/>
      <w:pPr>
        <w:tabs>
          <w:tab w:val="num" w:pos="720"/>
        </w:tabs>
        <w:ind w:left="720" w:hanging="720"/>
      </w:pPr>
    </w:lvl>
    <w:lvl w:ilvl="2">
      <w:start w:val="1"/>
      <w:numFmt w:val="lowerLetter"/>
      <w:pStyle w:val="Level3"/>
      <w:lvlText w:val="(%3)"/>
      <w:lvlJc w:val="left"/>
      <w:pPr>
        <w:tabs>
          <w:tab w:val="num" w:pos="1440"/>
        </w:tabs>
        <w:ind w:left="1440" w:hanging="720"/>
      </w:pPr>
    </w:lvl>
    <w:lvl w:ilvl="3">
      <w:start w:val="1"/>
      <w:numFmt w:val="lowerRoman"/>
      <w:pStyle w:val="Level4"/>
      <w:lvlText w:val="(%4)"/>
      <w:lvlJc w:val="left"/>
      <w:pPr>
        <w:tabs>
          <w:tab w:val="num" w:pos="2347"/>
        </w:tabs>
        <w:ind w:left="2347" w:hanging="907"/>
      </w:pPr>
    </w:lvl>
    <w:lvl w:ilvl="4">
      <w:start w:val="1"/>
      <w:numFmt w:val="decimal"/>
      <w:lvlText w:val="%5"/>
      <w:lvlJc w:val="left"/>
      <w:pPr>
        <w:tabs>
          <w:tab w:val="num" w:pos="0"/>
        </w:tabs>
        <w:ind w:left="0" w:firstLine="0"/>
      </w:pPr>
    </w:lvl>
    <w:lvl w:ilvl="5">
      <w:start w:val="1"/>
      <w:numFmt w:val="lowerRoman"/>
      <w:lvlText w:val="%6"/>
      <w:lvlJc w:val="left"/>
      <w:pPr>
        <w:tabs>
          <w:tab w:val="num" w:pos="0"/>
        </w:tabs>
        <w:ind w:left="0" w:firstLine="0"/>
      </w:pPr>
    </w:lvl>
    <w:lvl w:ilvl="6">
      <w:start w:val="1"/>
      <w:numFmt w:val="decimal"/>
      <w:lvlText w:val="%7"/>
      <w:lvlJc w:val="left"/>
      <w:pPr>
        <w:tabs>
          <w:tab w:val="num" w:pos="0"/>
        </w:tabs>
        <w:ind w:left="0" w:firstLine="0"/>
      </w:pPr>
    </w:lvl>
    <w:lvl w:ilvl="7">
      <w:start w:val="1"/>
      <w:numFmt w:val="lowerLetter"/>
      <w:lvlText w:val="%8"/>
      <w:lvlJc w:val="left"/>
      <w:pPr>
        <w:tabs>
          <w:tab w:val="num" w:pos="0"/>
        </w:tabs>
        <w:ind w:left="0" w:firstLine="0"/>
      </w:pPr>
    </w:lvl>
    <w:lvl w:ilvl="8">
      <w:numFmt w:val="decimal"/>
      <w:lvlText w:val=""/>
      <w:lvlJc w:val="left"/>
      <w:pPr>
        <w:tabs>
          <w:tab w:val="num" w:pos="0"/>
        </w:tabs>
        <w:ind w:left="0" w:firstLine="0"/>
      </w:pPr>
    </w:lvl>
  </w:abstractNum>
  <w:abstractNum w:abstractNumId="16" w15:restartNumberingAfterBreak="0">
    <w:nsid w:val="2F267804"/>
    <w:multiLevelType w:val="hybridMultilevel"/>
    <w:tmpl w:val="5134B388"/>
    <w:lvl w:ilvl="0" w:tplc="69B0DD0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F2E37"/>
    <w:multiLevelType w:val="multilevel"/>
    <w:tmpl w:val="5BD0C11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4A3003"/>
    <w:multiLevelType w:val="hybridMultilevel"/>
    <w:tmpl w:val="1562C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D73C56"/>
    <w:multiLevelType w:val="hybridMultilevel"/>
    <w:tmpl w:val="0262E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2699C"/>
    <w:multiLevelType w:val="hybridMultilevel"/>
    <w:tmpl w:val="D3DA1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3E163E"/>
    <w:multiLevelType w:val="multilevel"/>
    <w:tmpl w:val="E5BE6CB0"/>
    <w:name w:val="Schedule"/>
    <w:styleLink w:val="Schedules"/>
    <w:lvl w:ilvl="0">
      <w:start w:val="1"/>
      <w:numFmt w:val="decimal"/>
      <w:pStyle w:val="Schedule"/>
      <w:suff w:val="nothing"/>
      <w:lvlText w:val="Schedule %1"/>
      <w:lvlJc w:val="left"/>
      <w:pPr>
        <w:ind w:left="0" w:firstLine="0"/>
      </w:pPr>
      <w:rPr>
        <w:rFonts w:hint="default"/>
      </w:rPr>
    </w:lvl>
    <w:lvl w:ilvl="1">
      <w:numFmt w:val="decimal"/>
      <w:pStyle w:val="SubSchedule"/>
      <w:suff w:val="nothing"/>
      <w:lvlText w:val="Schedule %2"/>
      <w:lvlJc w:val="left"/>
      <w:pPr>
        <w:ind w:left="0" w:firstLine="0"/>
      </w:pPr>
      <w:rPr>
        <w:rFonts w:hint="default"/>
      </w:rPr>
    </w:lvl>
    <w:lvl w:ilvl="2">
      <w:start w:val="1"/>
      <w:numFmt w:val="decimal"/>
      <w:pStyle w:val="Part"/>
      <w:suff w:val="nothing"/>
      <w:lvlText w:val="Part %3"/>
      <w:lvlJc w:val="left"/>
      <w:pPr>
        <w:ind w:left="0" w:firstLine="0"/>
      </w:pPr>
      <w:rPr>
        <w:rFonts w:hint="default"/>
      </w:rPr>
    </w:lvl>
    <w:lvl w:ilvl="3">
      <w:start w:val="1"/>
      <w:numFmt w:val="decimal"/>
      <w:pStyle w:val="Sch1Number"/>
      <w:lvlText w:val="%4"/>
      <w:lvlJc w:val="left"/>
      <w:pPr>
        <w:ind w:left="720" w:hanging="720"/>
      </w:pPr>
      <w:rPr>
        <w:rFonts w:hint="default"/>
      </w:rPr>
    </w:lvl>
    <w:lvl w:ilvl="4">
      <w:start w:val="1"/>
      <w:numFmt w:val="decimal"/>
      <w:pStyle w:val="Sch2Number"/>
      <w:lvlText w:val="%4.%5"/>
      <w:lvlJc w:val="left"/>
      <w:pPr>
        <w:ind w:left="720" w:hanging="720"/>
      </w:pPr>
      <w:rPr>
        <w:rFonts w:hint="default"/>
      </w:rPr>
    </w:lvl>
    <w:lvl w:ilvl="5">
      <w:start w:val="1"/>
      <w:numFmt w:val="decimal"/>
      <w:pStyle w:val="Sch3Number"/>
      <w:lvlText w:val="%4.%5.%6"/>
      <w:lvlJc w:val="left"/>
      <w:pPr>
        <w:ind w:left="720" w:hanging="720"/>
      </w:pPr>
      <w:rPr>
        <w:rFonts w:hint="default"/>
        <w:b w:val="0"/>
        <w:bCs w:val="0"/>
        <w:i w:val="0"/>
        <w:iCs w:val="0"/>
      </w:rPr>
    </w:lvl>
    <w:lvl w:ilvl="6">
      <w:start w:val="1"/>
      <w:numFmt w:val="lowerLetter"/>
      <w:pStyle w:val="Sch4Number"/>
      <w:lvlText w:val="(%7)"/>
      <w:lvlJc w:val="left"/>
      <w:pPr>
        <w:ind w:left="1440" w:hanging="720"/>
      </w:pPr>
      <w:rPr>
        <w:rFonts w:hint="default"/>
        <w:b w:val="0"/>
        <w:bCs w:val="0"/>
        <w:i w:val="0"/>
        <w:iCs w:val="0"/>
      </w:rPr>
    </w:lvl>
    <w:lvl w:ilvl="7">
      <w:start w:val="1"/>
      <w:numFmt w:val="lowerRoman"/>
      <w:pStyle w:val="Sch5Number"/>
      <w:lvlText w:val="(%8)"/>
      <w:lvlJc w:val="left"/>
      <w:pPr>
        <w:ind w:left="2160" w:hanging="720"/>
      </w:pPr>
      <w:rPr>
        <w:rFonts w:hint="default"/>
      </w:rPr>
    </w:lvl>
    <w:lvl w:ilvl="8">
      <w:start w:val="1"/>
      <w:numFmt w:val="upperLetter"/>
      <w:pStyle w:val="Sch6Number"/>
      <w:lvlText w:val="(%9)"/>
      <w:lvlJc w:val="left"/>
      <w:pPr>
        <w:ind w:left="2880" w:hanging="720"/>
      </w:pPr>
      <w:rPr>
        <w:rFonts w:hint="default"/>
      </w:rPr>
    </w:lvl>
  </w:abstractNum>
  <w:abstractNum w:abstractNumId="22" w15:restartNumberingAfterBreak="0">
    <w:nsid w:val="3E226B8E"/>
    <w:multiLevelType w:val="multilevel"/>
    <w:tmpl w:val="CE7E743A"/>
    <w:name w:val="Main"/>
    <w:styleLink w:val="MainNumbering"/>
    <w:lvl w:ilvl="0">
      <w:start w:val="1"/>
      <w:numFmt w:val="decimal"/>
      <w:pStyle w:val="Level1Heading"/>
      <w:lvlText w:val="%1"/>
      <w:lvlJc w:val="left"/>
      <w:pPr>
        <w:ind w:left="720" w:hanging="720"/>
      </w:pPr>
      <w:rPr>
        <w:rFonts w:hint="default"/>
      </w:rPr>
    </w:lvl>
    <w:lvl w:ilvl="1">
      <w:start w:val="1"/>
      <w:numFmt w:val="decimal"/>
      <w:pStyle w:val="Level2Number"/>
      <w:lvlText w:val="%1.%2"/>
      <w:lvlJc w:val="left"/>
      <w:pPr>
        <w:ind w:left="720" w:hanging="720"/>
      </w:pPr>
      <w:rPr>
        <w:rFonts w:hint="default"/>
      </w:rPr>
    </w:lvl>
    <w:lvl w:ilvl="2">
      <w:start w:val="1"/>
      <w:numFmt w:val="decimal"/>
      <w:pStyle w:val="Level3Number"/>
      <w:lvlText w:val="%1.%2.%3"/>
      <w:lvlJc w:val="left"/>
      <w:pPr>
        <w:ind w:left="720" w:hanging="720"/>
      </w:pPr>
      <w:rPr>
        <w:rFonts w:hint="default"/>
        <w:b w:val="0"/>
        <w:i w:val="0"/>
      </w:rPr>
    </w:lvl>
    <w:lvl w:ilvl="3">
      <w:start w:val="1"/>
      <w:numFmt w:val="lowerLetter"/>
      <w:pStyle w:val="Level4Number"/>
      <w:lvlText w:val="(%4)"/>
      <w:lvlJc w:val="left"/>
      <w:pPr>
        <w:ind w:left="1440" w:hanging="720"/>
      </w:pPr>
      <w:rPr>
        <w:rFonts w:ascii="Arial" w:eastAsia="Times New Roman" w:hAnsi="Arial" w:cs="Times New Roman"/>
        <w:b w:val="0"/>
        <w:bCs w:val="0"/>
        <w:i w:val="0"/>
        <w:iCs w:val="0"/>
      </w:rPr>
    </w:lvl>
    <w:lvl w:ilvl="4">
      <w:start w:val="1"/>
      <w:numFmt w:val="lowerRoman"/>
      <w:pStyle w:val="Level5Number"/>
      <w:lvlText w:val="(%5)"/>
      <w:lvlJc w:val="left"/>
      <w:pPr>
        <w:ind w:left="2160" w:hanging="720"/>
      </w:pPr>
      <w:rPr>
        <w:rFonts w:hint="default"/>
        <w:b w:val="0"/>
        <w:bCs w:val="0"/>
        <w:i w:val="0"/>
        <w:iCs w:val="0"/>
      </w:rPr>
    </w:lvl>
    <w:lvl w:ilvl="5">
      <w:start w:val="1"/>
      <w:numFmt w:val="upperLetter"/>
      <w:pStyle w:val="Level6Number"/>
      <w:lvlText w:val="(%6)"/>
      <w:lvlJc w:val="left"/>
      <w:pPr>
        <w:ind w:left="2880" w:hanging="720"/>
      </w:pPr>
      <w:rPr>
        <w:rFonts w:hint="default"/>
      </w:rPr>
    </w:lvl>
    <w:lvl w:ilvl="6">
      <w:start w:val="1"/>
      <w:numFmt w:val="decimal"/>
      <w:pStyle w:val="Level7Number"/>
      <w:lvlText w:val="%7)"/>
      <w:lvlJc w:val="left"/>
      <w:pPr>
        <w:ind w:left="3600" w:hanging="720"/>
      </w:pPr>
      <w:rPr>
        <w:rFonts w:hint="default"/>
      </w:rPr>
    </w:lvl>
    <w:lvl w:ilvl="7">
      <w:start w:val="1"/>
      <w:numFmt w:val="lowerLetter"/>
      <w:pStyle w:val="Level8Number"/>
      <w:lvlText w:val="%8)"/>
      <w:lvlJc w:val="left"/>
      <w:pPr>
        <w:ind w:left="4321" w:hanging="721"/>
      </w:pPr>
      <w:rPr>
        <w:rFonts w:hint="default"/>
      </w:rPr>
    </w:lvl>
    <w:lvl w:ilvl="8">
      <w:start w:val="1"/>
      <w:numFmt w:val="lowerRoman"/>
      <w:lvlText w:val="%9)"/>
      <w:lvlJc w:val="left"/>
      <w:pPr>
        <w:ind w:left="5041" w:hanging="720"/>
      </w:pPr>
      <w:rPr>
        <w:rFonts w:hint="default"/>
      </w:rPr>
    </w:lvl>
  </w:abstractNum>
  <w:abstractNum w:abstractNumId="23" w15:restartNumberingAfterBreak="0">
    <w:nsid w:val="40722584"/>
    <w:multiLevelType w:val="multilevel"/>
    <w:tmpl w:val="73029CE8"/>
    <w:lvl w:ilvl="0">
      <w:start w:val="1"/>
      <w:numFmt w:val="lowerRoman"/>
      <w:lvlText w:val="(%1)"/>
      <w:lvlJc w:val="left"/>
      <w:pPr>
        <w:tabs>
          <w:tab w:val="left" w:pos="720"/>
        </w:tabs>
      </w:pPr>
      <w:rPr>
        <w:rFonts w:ascii="Arial" w:eastAsia="Malgun Gothic Semilight" w:hAnsi="Arial" w:cs="Arial" w:hint="default"/>
        <w:color w:val="000000"/>
        <w:spacing w:val="-2"/>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0F65773"/>
    <w:multiLevelType w:val="multilevel"/>
    <w:tmpl w:val="756A01D8"/>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B8454CC"/>
    <w:multiLevelType w:val="hybridMultilevel"/>
    <w:tmpl w:val="3A625102"/>
    <w:lvl w:ilvl="0" w:tplc="FFFFFFFF">
      <w:start w:val="1"/>
      <w:numFmt w:val="decimal"/>
      <w:lvlText w:val="%1."/>
      <w:lvlJc w:val="left"/>
      <w:pPr>
        <w:ind w:left="63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F132F8"/>
    <w:multiLevelType w:val="multilevel"/>
    <w:tmpl w:val="B55C2DCA"/>
    <w:lvl w:ilvl="0">
      <w:start w:val="1"/>
      <w:numFmt w:val="lowerLetter"/>
      <w:lvlText w:val="(%1)"/>
      <w:lvlJc w:val="left"/>
      <w:pPr>
        <w:tabs>
          <w:tab w:val="left" w:pos="36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6234274"/>
    <w:multiLevelType w:val="hybridMultilevel"/>
    <w:tmpl w:val="C5C812B4"/>
    <w:lvl w:ilvl="0" w:tplc="F0768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F7E85"/>
    <w:multiLevelType w:val="hybridMultilevel"/>
    <w:tmpl w:val="F7483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F637D2"/>
    <w:multiLevelType w:val="hybridMultilevel"/>
    <w:tmpl w:val="AD5AED88"/>
    <w:lvl w:ilvl="0" w:tplc="185CE5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C4F05"/>
    <w:multiLevelType w:val="hybridMultilevel"/>
    <w:tmpl w:val="541C14CC"/>
    <w:lvl w:ilvl="0" w:tplc="192E52FA">
      <w:start w:val="1"/>
      <w:numFmt w:val="bullet"/>
      <w:lvlText w:val=""/>
      <w:lvlJc w:val="left"/>
      <w:pPr>
        <w:ind w:left="1440" w:hanging="360"/>
      </w:pPr>
      <w:rPr>
        <w:rFonts w:ascii="Symbol" w:hAnsi="Symbol"/>
      </w:rPr>
    </w:lvl>
    <w:lvl w:ilvl="1" w:tplc="AA482BF0">
      <w:start w:val="1"/>
      <w:numFmt w:val="bullet"/>
      <w:lvlText w:val=""/>
      <w:lvlJc w:val="left"/>
      <w:pPr>
        <w:ind w:left="1440" w:hanging="360"/>
      </w:pPr>
      <w:rPr>
        <w:rFonts w:ascii="Symbol" w:hAnsi="Symbol"/>
      </w:rPr>
    </w:lvl>
    <w:lvl w:ilvl="2" w:tplc="E2B6DEB2">
      <w:start w:val="1"/>
      <w:numFmt w:val="bullet"/>
      <w:lvlText w:val=""/>
      <w:lvlJc w:val="left"/>
      <w:pPr>
        <w:ind w:left="1440" w:hanging="360"/>
      </w:pPr>
      <w:rPr>
        <w:rFonts w:ascii="Symbol" w:hAnsi="Symbol"/>
      </w:rPr>
    </w:lvl>
    <w:lvl w:ilvl="3" w:tplc="CBF4DF60">
      <w:start w:val="1"/>
      <w:numFmt w:val="bullet"/>
      <w:lvlText w:val=""/>
      <w:lvlJc w:val="left"/>
      <w:pPr>
        <w:ind w:left="1440" w:hanging="360"/>
      </w:pPr>
      <w:rPr>
        <w:rFonts w:ascii="Symbol" w:hAnsi="Symbol"/>
      </w:rPr>
    </w:lvl>
    <w:lvl w:ilvl="4" w:tplc="EB88419A">
      <w:start w:val="1"/>
      <w:numFmt w:val="bullet"/>
      <w:lvlText w:val=""/>
      <w:lvlJc w:val="left"/>
      <w:pPr>
        <w:ind w:left="1440" w:hanging="360"/>
      </w:pPr>
      <w:rPr>
        <w:rFonts w:ascii="Symbol" w:hAnsi="Symbol"/>
      </w:rPr>
    </w:lvl>
    <w:lvl w:ilvl="5" w:tplc="46140012">
      <w:start w:val="1"/>
      <w:numFmt w:val="bullet"/>
      <w:lvlText w:val=""/>
      <w:lvlJc w:val="left"/>
      <w:pPr>
        <w:ind w:left="1440" w:hanging="360"/>
      </w:pPr>
      <w:rPr>
        <w:rFonts w:ascii="Symbol" w:hAnsi="Symbol"/>
      </w:rPr>
    </w:lvl>
    <w:lvl w:ilvl="6" w:tplc="EA3452F2">
      <w:start w:val="1"/>
      <w:numFmt w:val="bullet"/>
      <w:lvlText w:val=""/>
      <w:lvlJc w:val="left"/>
      <w:pPr>
        <w:ind w:left="1440" w:hanging="360"/>
      </w:pPr>
      <w:rPr>
        <w:rFonts w:ascii="Symbol" w:hAnsi="Symbol"/>
      </w:rPr>
    </w:lvl>
    <w:lvl w:ilvl="7" w:tplc="8662F0BA">
      <w:start w:val="1"/>
      <w:numFmt w:val="bullet"/>
      <w:lvlText w:val=""/>
      <w:lvlJc w:val="left"/>
      <w:pPr>
        <w:ind w:left="1440" w:hanging="360"/>
      </w:pPr>
      <w:rPr>
        <w:rFonts w:ascii="Symbol" w:hAnsi="Symbol"/>
      </w:rPr>
    </w:lvl>
    <w:lvl w:ilvl="8" w:tplc="A0F66D9E">
      <w:start w:val="1"/>
      <w:numFmt w:val="bullet"/>
      <w:lvlText w:val=""/>
      <w:lvlJc w:val="left"/>
      <w:pPr>
        <w:ind w:left="1440" w:hanging="360"/>
      </w:pPr>
      <w:rPr>
        <w:rFonts w:ascii="Symbol" w:hAnsi="Symbol"/>
      </w:rPr>
    </w:lvl>
  </w:abstractNum>
  <w:abstractNum w:abstractNumId="31" w15:restartNumberingAfterBreak="0">
    <w:nsid w:val="59AB3753"/>
    <w:multiLevelType w:val="multilevel"/>
    <w:tmpl w:val="40C88E1A"/>
    <w:lvl w:ilvl="0">
      <w:start w:val="1"/>
      <w:numFmt w:val="lowerRoman"/>
      <w:lvlText w:val="(%1)"/>
      <w:lvlJc w:val="left"/>
      <w:pPr>
        <w:tabs>
          <w:tab w:val="left" w:pos="792"/>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5DDD38E9"/>
    <w:multiLevelType w:val="multilevel"/>
    <w:tmpl w:val="33D4DB52"/>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F6C74A7"/>
    <w:multiLevelType w:val="multilevel"/>
    <w:tmpl w:val="5F0E2AF8"/>
    <w:name w:val="Intro"/>
    <w:styleLink w:val="Parties"/>
    <w:lvl w:ilvl="0">
      <w:start w:val="1"/>
      <w:numFmt w:val="none"/>
      <w:pStyle w:val="IntroHeading"/>
      <w:suff w:val="nothing"/>
      <w:lvlText w:val=""/>
      <w:lvlJc w:val="left"/>
      <w:pPr>
        <w:ind w:left="0" w:firstLine="0"/>
      </w:pPr>
      <w:rPr>
        <w:rFonts w:hint="default"/>
      </w:rPr>
    </w:lvl>
    <w:lvl w:ilvl="1">
      <w:start w:val="1"/>
      <w:numFmt w:val="decimal"/>
      <w:pStyle w:val="Parties1"/>
      <w:lvlText w:val="(%2)"/>
      <w:lvlJc w:val="left"/>
      <w:pPr>
        <w:ind w:left="720" w:hanging="720"/>
      </w:pPr>
      <w:rPr>
        <w:rFonts w:hint="default"/>
      </w:rPr>
    </w:lvl>
    <w:lvl w:ilvl="2">
      <w:start w:val="1"/>
      <w:numFmt w:val="lowerLetter"/>
      <w:pStyle w:val="Parties2"/>
      <w:lvlText w:val="(%3)"/>
      <w:lvlJc w:val="left"/>
      <w:pPr>
        <w:ind w:left="1440" w:hanging="720"/>
      </w:pPr>
      <w:rPr>
        <w:rFonts w:hint="default"/>
      </w:rPr>
    </w:lvl>
    <w:lvl w:ilvl="3">
      <w:start w:val="1"/>
      <w:numFmt w:val="upperLetter"/>
      <w:lvlRestart w:val="1"/>
      <w:pStyle w:val="Background1"/>
      <w:lvlText w:val="%4"/>
      <w:lvlJc w:val="left"/>
      <w:pPr>
        <w:ind w:left="720" w:hanging="720"/>
      </w:pPr>
      <w:rPr>
        <w:rFonts w:hint="default"/>
      </w:rPr>
    </w:lvl>
    <w:lvl w:ilvl="4">
      <w:start w:val="1"/>
      <w:numFmt w:val="lowerLetter"/>
      <w:pStyle w:val="Background2"/>
      <w:lvlText w:val="(%5)"/>
      <w:lvlJc w:val="left"/>
      <w:pPr>
        <w:ind w:left="1440" w:hanging="720"/>
      </w:pPr>
      <w:rPr>
        <w:rFonts w:hint="default"/>
      </w:rPr>
    </w:lvl>
    <w:lvl w:ilvl="5">
      <w:start w:val="1"/>
      <w:numFmt w:val="none"/>
      <w:lvlRestart w:val="0"/>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4" w15:restartNumberingAfterBreak="0">
    <w:nsid w:val="675E5B60"/>
    <w:multiLevelType w:val="multilevel"/>
    <w:tmpl w:val="67A0BA9A"/>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8572D04"/>
    <w:multiLevelType w:val="hybridMultilevel"/>
    <w:tmpl w:val="6AA84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2A2F7E"/>
    <w:multiLevelType w:val="hybridMultilevel"/>
    <w:tmpl w:val="3E0E1A40"/>
    <w:lvl w:ilvl="0" w:tplc="2432FBD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7A79CC"/>
    <w:multiLevelType w:val="hybridMultilevel"/>
    <w:tmpl w:val="8638904C"/>
    <w:lvl w:ilvl="0" w:tplc="F6129B9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EE2384"/>
    <w:multiLevelType w:val="multilevel"/>
    <w:tmpl w:val="415843E2"/>
    <w:lvl w:ilvl="0">
      <w:start w:val="1"/>
      <w:numFmt w:val="lowerRoman"/>
      <w:lvlText w:val="(%1)"/>
      <w:lvlJc w:val="left"/>
      <w:pPr>
        <w:tabs>
          <w:tab w:val="left" w:pos="72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8E7559"/>
    <w:multiLevelType w:val="multilevel"/>
    <w:tmpl w:val="6D167AC6"/>
    <w:styleLink w:val="Appendices"/>
    <w:lvl w:ilvl="0">
      <w:start w:val="1"/>
      <w:numFmt w:val="upperLetter"/>
      <w:pStyle w:val="Appendix"/>
      <w:suff w:val="nothing"/>
      <w:lvlText w:val="Appendix %1"/>
      <w:lvlJc w:val="left"/>
      <w:pPr>
        <w:ind w:left="0" w:firstLine="0"/>
      </w:pPr>
      <w:rPr>
        <w:rFonts w:hint="default"/>
      </w:rPr>
    </w:lvl>
    <w:lvl w:ilvl="1">
      <w:start w:val="1"/>
      <w:numFmt w:val="decimal"/>
      <w:pStyle w:val="AppPart"/>
      <w:suff w:val="nothing"/>
      <w:lvlText w:val="Part %2"/>
      <w:lvlJc w:val="left"/>
      <w:pPr>
        <w:ind w:left="0" w:firstLine="0"/>
      </w:pPr>
      <w:rPr>
        <w:rFonts w:hint="default"/>
      </w:rPr>
    </w:lvl>
    <w:lvl w:ilvl="2">
      <w:start w:val="1"/>
      <w:numFmt w:val="decimal"/>
      <w:pStyle w:val="App1Number"/>
      <w:lvlText w:val="%3"/>
      <w:lvlJc w:val="left"/>
      <w:pPr>
        <w:ind w:left="720" w:hanging="720"/>
      </w:pPr>
      <w:rPr>
        <w:rFonts w:hint="default"/>
      </w:rPr>
    </w:lvl>
    <w:lvl w:ilvl="3">
      <w:start w:val="1"/>
      <w:numFmt w:val="decimal"/>
      <w:pStyle w:val="App2Number"/>
      <w:lvlText w:val="%3.%4"/>
      <w:lvlJc w:val="left"/>
      <w:pPr>
        <w:ind w:left="720" w:hanging="720"/>
      </w:pPr>
      <w:rPr>
        <w:rFonts w:hint="default"/>
      </w:rPr>
    </w:lvl>
    <w:lvl w:ilvl="4">
      <w:start w:val="1"/>
      <w:numFmt w:val="decimal"/>
      <w:pStyle w:val="App3Number"/>
      <w:lvlText w:val="%3.%4.%5"/>
      <w:lvlJc w:val="left"/>
      <w:pPr>
        <w:ind w:left="720" w:hanging="720"/>
      </w:pPr>
      <w:rPr>
        <w:rFonts w:hint="default"/>
      </w:rPr>
    </w:lvl>
    <w:lvl w:ilvl="5">
      <w:start w:val="1"/>
      <w:numFmt w:val="lowerLetter"/>
      <w:pStyle w:val="App4Number"/>
      <w:lvlText w:val="(%6)"/>
      <w:lvlJc w:val="left"/>
      <w:pPr>
        <w:ind w:left="1440" w:hanging="720"/>
      </w:pPr>
      <w:rPr>
        <w:rFonts w:hint="default"/>
      </w:rPr>
    </w:lvl>
    <w:lvl w:ilvl="6">
      <w:start w:val="1"/>
      <w:numFmt w:val="lowerRoman"/>
      <w:pStyle w:val="App5Number"/>
      <w:lvlText w:val="(%7)"/>
      <w:lvlJc w:val="left"/>
      <w:pPr>
        <w:ind w:left="2160" w:hanging="720"/>
      </w:pPr>
      <w:rPr>
        <w:rFonts w:hint="default"/>
      </w:rPr>
    </w:lvl>
    <w:lvl w:ilvl="7">
      <w:start w:val="1"/>
      <w:numFmt w:val="upperLetter"/>
      <w:pStyle w:val="App6Number"/>
      <w:lvlText w:val="(%8)"/>
      <w:lvlJc w:val="left"/>
      <w:pPr>
        <w:ind w:left="2880" w:hanging="1287"/>
      </w:pPr>
      <w:rPr>
        <w:rFonts w:hint="default"/>
      </w:rPr>
    </w:lvl>
    <w:lvl w:ilvl="8">
      <w:start w:val="1"/>
      <w:numFmt w:val="none"/>
      <w:lvlText w:val=""/>
      <w:lvlJc w:val="left"/>
      <w:pPr>
        <w:ind w:left="3601" w:hanging="721"/>
      </w:pPr>
      <w:rPr>
        <w:rFonts w:hint="default"/>
      </w:rPr>
    </w:lvl>
  </w:abstractNum>
  <w:abstractNum w:abstractNumId="40" w15:restartNumberingAfterBreak="0">
    <w:nsid w:val="76AB49EE"/>
    <w:multiLevelType w:val="hybridMultilevel"/>
    <w:tmpl w:val="D522FD46"/>
    <w:lvl w:ilvl="0" w:tplc="4B1491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9442631">
    <w:abstractNumId w:val="22"/>
    <w:lvlOverride w:ilvl="1">
      <w:lvl w:ilvl="1">
        <w:start w:val="1"/>
        <w:numFmt w:val="decimal"/>
        <w:pStyle w:val="Level2Number"/>
        <w:lvlText w:val="%1.%2"/>
        <w:lvlJc w:val="left"/>
        <w:pPr>
          <w:ind w:left="720" w:hanging="720"/>
        </w:pPr>
        <w:rPr>
          <w:rFonts w:hint="default"/>
          <w:b w:val="0"/>
        </w:rPr>
      </w:lvl>
    </w:lvlOverride>
    <w:lvlOverride w:ilvl="4">
      <w:lvl w:ilvl="4">
        <w:start w:val="1"/>
        <w:numFmt w:val="lowerRoman"/>
        <w:pStyle w:val="Level5Number"/>
        <w:lvlText w:val="(%5)"/>
        <w:lvlJc w:val="left"/>
        <w:pPr>
          <w:ind w:left="2160" w:hanging="720"/>
        </w:pPr>
        <w:rPr>
          <w:rFonts w:hint="default"/>
          <w:b w:val="0"/>
          <w:bCs w:val="0"/>
          <w:i w:val="0"/>
          <w:iCs w:val="0"/>
        </w:rPr>
      </w:lvl>
    </w:lvlOverride>
  </w:num>
  <w:num w:numId="2" w16cid:durableId="1593466907">
    <w:abstractNumId w:val="21"/>
  </w:num>
  <w:num w:numId="3" w16cid:durableId="1149322461">
    <w:abstractNumId w:val="13"/>
  </w:num>
  <w:num w:numId="4" w16cid:durableId="565268124">
    <w:abstractNumId w:val="33"/>
  </w:num>
  <w:num w:numId="5" w16cid:durableId="843781392">
    <w:abstractNumId w:val="2"/>
  </w:num>
  <w:num w:numId="6" w16cid:durableId="2095935134">
    <w:abstractNumId w:val="7"/>
  </w:num>
  <w:num w:numId="7" w16cid:durableId="2008091331">
    <w:abstractNumId w:val="39"/>
  </w:num>
  <w:num w:numId="8" w16cid:durableId="1045108273">
    <w:abstractNumId w:val="15"/>
  </w:num>
  <w:num w:numId="9" w16cid:durableId="913315476">
    <w:abstractNumId w:val="22"/>
  </w:num>
  <w:num w:numId="10" w16cid:durableId="613294871">
    <w:abstractNumId w:val="28"/>
  </w:num>
  <w:num w:numId="11" w16cid:durableId="1247501202">
    <w:abstractNumId w:val="35"/>
  </w:num>
  <w:num w:numId="12" w16cid:durableId="416444058">
    <w:abstractNumId w:val="1"/>
  </w:num>
  <w:num w:numId="13" w16cid:durableId="1292711519">
    <w:abstractNumId w:val="25"/>
  </w:num>
  <w:num w:numId="14" w16cid:durableId="1750468897">
    <w:abstractNumId w:val="14"/>
  </w:num>
  <w:num w:numId="15" w16cid:durableId="2058116776">
    <w:abstractNumId w:val="23"/>
  </w:num>
  <w:num w:numId="16" w16cid:durableId="1727338678">
    <w:abstractNumId w:val="32"/>
  </w:num>
  <w:num w:numId="17" w16cid:durableId="667946200">
    <w:abstractNumId w:val="24"/>
  </w:num>
  <w:num w:numId="18" w16cid:durableId="1656491681">
    <w:abstractNumId w:val="26"/>
  </w:num>
  <w:num w:numId="19" w16cid:durableId="1216544981">
    <w:abstractNumId w:val="38"/>
  </w:num>
  <w:num w:numId="20" w16cid:durableId="531192099">
    <w:abstractNumId w:val="17"/>
  </w:num>
  <w:num w:numId="21" w16cid:durableId="1499735317">
    <w:abstractNumId w:val="5"/>
  </w:num>
  <w:num w:numId="22" w16cid:durableId="1644967935">
    <w:abstractNumId w:val="34"/>
  </w:num>
  <w:num w:numId="23" w16cid:durableId="1389109605">
    <w:abstractNumId w:val="31"/>
  </w:num>
  <w:num w:numId="24" w16cid:durableId="1853837766">
    <w:abstractNumId w:val="8"/>
  </w:num>
  <w:num w:numId="25" w16cid:durableId="1487821021">
    <w:abstractNumId w:val="6"/>
  </w:num>
  <w:num w:numId="26" w16cid:durableId="1553611721">
    <w:abstractNumId w:val="37"/>
  </w:num>
  <w:num w:numId="27" w16cid:durableId="1559047591">
    <w:abstractNumId w:val="30"/>
  </w:num>
  <w:num w:numId="28" w16cid:durableId="756285732">
    <w:abstractNumId w:val="19"/>
  </w:num>
  <w:num w:numId="29" w16cid:durableId="25762808">
    <w:abstractNumId w:val="16"/>
  </w:num>
  <w:num w:numId="30" w16cid:durableId="2024430810">
    <w:abstractNumId w:val="11"/>
  </w:num>
  <w:num w:numId="31" w16cid:durableId="1917544965">
    <w:abstractNumId w:val="36"/>
  </w:num>
  <w:num w:numId="32" w16cid:durableId="1998918632">
    <w:abstractNumId w:val="20"/>
  </w:num>
  <w:num w:numId="33" w16cid:durableId="881330496">
    <w:abstractNumId w:val="18"/>
  </w:num>
  <w:num w:numId="34" w16cid:durableId="1323319154">
    <w:abstractNumId w:val="0"/>
  </w:num>
  <w:num w:numId="35" w16cid:durableId="898399895">
    <w:abstractNumId w:val="9"/>
  </w:num>
  <w:num w:numId="36" w16cid:durableId="955480453">
    <w:abstractNumId w:val="10"/>
  </w:num>
  <w:num w:numId="37" w16cid:durableId="1059550656">
    <w:abstractNumId w:val="4"/>
  </w:num>
  <w:num w:numId="38" w16cid:durableId="922833542">
    <w:abstractNumId w:val="40"/>
  </w:num>
  <w:num w:numId="39" w16cid:durableId="1101485393">
    <w:abstractNumId w:val="12"/>
  </w:num>
  <w:num w:numId="40" w16cid:durableId="830800026">
    <w:abstractNumId w:val="3"/>
  </w:num>
  <w:num w:numId="41" w16cid:durableId="719474909">
    <w:abstractNumId w:val="27"/>
  </w:num>
  <w:num w:numId="42" w16cid:durableId="196549951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en-SG" w:vendorID="64" w:dllVersion="0" w:nlCheck="1" w:checkStyle="0"/>
  <w:proofState w:spelling="clean" w:grammar="clean"/>
  <w:styleLockTheme/>
  <w:styleLockQFSet/>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8AE"/>
    <w:rsid w:val="00001F99"/>
    <w:rsid w:val="00003DD8"/>
    <w:rsid w:val="00005D85"/>
    <w:rsid w:val="000102D6"/>
    <w:rsid w:val="00010EF9"/>
    <w:rsid w:val="000177FB"/>
    <w:rsid w:val="00024671"/>
    <w:rsid w:val="00027F01"/>
    <w:rsid w:val="000318AE"/>
    <w:rsid w:val="000337E2"/>
    <w:rsid w:val="00033A56"/>
    <w:rsid w:val="000367E1"/>
    <w:rsid w:val="0003682D"/>
    <w:rsid w:val="000402C2"/>
    <w:rsid w:val="00044B8A"/>
    <w:rsid w:val="0004504C"/>
    <w:rsid w:val="00046850"/>
    <w:rsid w:val="00055E75"/>
    <w:rsid w:val="0005648A"/>
    <w:rsid w:val="000568E9"/>
    <w:rsid w:val="00067423"/>
    <w:rsid w:val="000719DC"/>
    <w:rsid w:val="00071C60"/>
    <w:rsid w:val="00071DC1"/>
    <w:rsid w:val="000744B1"/>
    <w:rsid w:val="00080265"/>
    <w:rsid w:val="00084951"/>
    <w:rsid w:val="00086997"/>
    <w:rsid w:val="000924B6"/>
    <w:rsid w:val="00095A1E"/>
    <w:rsid w:val="00097705"/>
    <w:rsid w:val="000A12AD"/>
    <w:rsid w:val="000A1F06"/>
    <w:rsid w:val="000A3FA5"/>
    <w:rsid w:val="000A4FB7"/>
    <w:rsid w:val="000C0B1D"/>
    <w:rsid w:val="000C13DD"/>
    <w:rsid w:val="000C51EC"/>
    <w:rsid w:val="000D6E0F"/>
    <w:rsid w:val="000D791F"/>
    <w:rsid w:val="000E21C5"/>
    <w:rsid w:val="000E3E60"/>
    <w:rsid w:val="000E5B85"/>
    <w:rsid w:val="000E67E4"/>
    <w:rsid w:val="000F155C"/>
    <w:rsid w:val="000F490E"/>
    <w:rsid w:val="00103FB2"/>
    <w:rsid w:val="00106012"/>
    <w:rsid w:val="00111788"/>
    <w:rsid w:val="00112099"/>
    <w:rsid w:val="00116ED6"/>
    <w:rsid w:val="00122A16"/>
    <w:rsid w:val="00124225"/>
    <w:rsid w:val="00130BB8"/>
    <w:rsid w:val="00130D79"/>
    <w:rsid w:val="00132B10"/>
    <w:rsid w:val="00135F05"/>
    <w:rsid w:val="001372C9"/>
    <w:rsid w:val="0014151A"/>
    <w:rsid w:val="00145D35"/>
    <w:rsid w:val="001465BB"/>
    <w:rsid w:val="00146A91"/>
    <w:rsid w:val="00147E55"/>
    <w:rsid w:val="0015018D"/>
    <w:rsid w:val="0015312D"/>
    <w:rsid w:val="0015364C"/>
    <w:rsid w:val="00155A92"/>
    <w:rsid w:val="001601FD"/>
    <w:rsid w:val="001629DD"/>
    <w:rsid w:val="0016502B"/>
    <w:rsid w:val="001658BF"/>
    <w:rsid w:val="00166457"/>
    <w:rsid w:val="00166620"/>
    <w:rsid w:val="00167588"/>
    <w:rsid w:val="00173B1B"/>
    <w:rsid w:val="0017664F"/>
    <w:rsid w:val="001805DB"/>
    <w:rsid w:val="0018112D"/>
    <w:rsid w:val="00181992"/>
    <w:rsid w:val="00183774"/>
    <w:rsid w:val="0018403B"/>
    <w:rsid w:val="001910D5"/>
    <w:rsid w:val="001A1125"/>
    <w:rsid w:val="001A18B5"/>
    <w:rsid w:val="001A1B62"/>
    <w:rsid w:val="001A6D59"/>
    <w:rsid w:val="001B55DA"/>
    <w:rsid w:val="001B60DD"/>
    <w:rsid w:val="001C2DB5"/>
    <w:rsid w:val="001C77F8"/>
    <w:rsid w:val="001D1645"/>
    <w:rsid w:val="001D5618"/>
    <w:rsid w:val="001D564D"/>
    <w:rsid w:val="001D5747"/>
    <w:rsid w:val="001D624F"/>
    <w:rsid w:val="001D67BA"/>
    <w:rsid w:val="001E07F6"/>
    <w:rsid w:val="001E1C78"/>
    <w:rsid w:val="001E4804"/>
    <w:rsid w:val="001E55B5"/>
    <w:rsid w:val="001F08A0"/>
    <w:rsid w:val="001F11EF"/>
    <w:rsid w:val="001F6BD1"/>
    <w:rsid w:val="00203261"/>
    <w:rsid w:val="00205888"/>
    <w:rsid w:val="00211A72"/>
    <w:rsid w:val="0021496F"/>
    <w:rsid w:val="00215BA1"/>
    <w:rsid w:val="002206C8"/>
    <w:rsid w:val="00220F18"/>
    <w:rsid w:val="002267AC"/>
    <w:rsid w:val="00231109"/>
    <w:rsid w:val="00244691"/>
    <w:rsid w:val="00245359"/>
    <w:rsid w:val="00246BD1"/>
    <w:rsid w:val="002473E9"/>
    <w:rsid w:val="00250715"/>
    <w:rsid w:val="00250725"/>
    <w:rsid w:val="002535D9"/>
    <w:rsid w:val="00255B9A"/>
    <w:rsid w:val="00256760"/>
    <w:rsid w:val="00260B9C"/>
    <w:rsid w:val="00263B0C"/>
    <w:rsid w:val="00263EA0"/>
    <w:rsid w:val="00267192"/>
    <w:rsid w:val="002677BC"/>
    <w:rsid w:val="002736A7"/>
    <w:rsid w:val="00274537"/>
    <w:rsid w:val="0027520A"/>
    <w:rsid w:val="0028180C"/>
    <w:rsid w:val="00285DAC"/>
    <w:rsid w:val="002A397E"/>
    <w:rsid w:val="002A6F55"/>
    <w:rsid w:val="002A751E"/>
    <w:rsid w:val="002B0AC6"/>
    <w:rsid w:val="002B539C"/>
    <w:rsid w:val="002B5BF3"/>
    <w:rsid w:val="002B7735"/>
    <w:rsid w:val="002C05E2"/>
    <w:rsid w:val="002D25D9"/>
    <w:rsid w:val="002D3A06"/>
    <w:rsid w:val="002E119F"/>
    <w:rsid w:val="002E162E"/>
    <w:rsid w:val="002E25EE"/>
    <w:rsid w:val="002E7484"/>
    <w:rsid w:val="002F385C"/>
    <w:rsid w:val="002F4CC0"/>
    <w:rsid w:val="003026FE"/>
    <w:rsid w:val="003071EE"/>
    <w:rsid w:val="00307654"/>
    <w:rsid w:val="003079D7"/>
    <w:rsid w:val="00310126"/>
    <w:rsid w:val="003130A0"/>
    <w:rsid w:val="00314177"/>
    <w:rsid w:val="003278FA"/>
    <w:rsid w:val="003326F6"/>
    <w:rsid w:val="00333C70"/>
    <w:rsid w:val="00336DA1"/>
    <w:rsid w:val="00340BB6"/>
    <w:rsid w:val="00340EF8"/>
    <w:rsid w:val="003427CE"/>
    <w:rsid w:val="00356052"/>
    <w:rsid w:val="003635B5"/>
    <w:rsid w:val="0037007D"/>
    <w:rsid w:val="00370D45"/>
    <w:rsid w:val="003815F6"/>
    <w:rsid w:val="00386861"/>
    <w:rsid w:val="0039729D"/>
    <w:rsid w:val="0039757D"/>
    <w:rsid w:val="003A387B"/>
    <w:rsid w:val="003C06B0"/>
    <w:rsid w:val="003C2913"/>
    <w:rsid w:val="003C3D66"/>
    <w:rsid w:val="003C5259"/>
    <w:rsid w:val="003C592B"/>
    <w:rsid w:val="003C67DD"/>
    <w:rsid w:val="003E1910"/>
    <w:rsid w:val="003E1BA7"/>
    <w:rsid w:val="003E1D55"/>
    <w:rsid w:val="003E456D"/>
    <w:rsid w:val="003E609B"/>
    <w:rsid w:val="003E63EF"/>
    <w:rsid w:val="003F3B9B"/>
    <w:rsid w:val="003F4675"/>
    <w:rsid w:val="003F4A1B"/>
    <w:rsid w:val="003F7085"/>
    <w:rsid w:val="004000F1"/>
    <w:rsid w:val="00400E4E"/>
    <w:rsid w:val="0040376B"/>
    <w:rsid w:val="0041150A"/>
    <w:rsid w:val="00416CDA"/>
    <w:rsid w:val="00420756"/>
    <w:rsid w:val="00422BE9"/>
    <w:rsid w:val="00422DDF"/>
    <w:rsid w:val="00422DFC"/>
    <w:rsid w:val="0043168F"/>
    <w:rsid w:val="00431DDF"/>
    <w:rsid w:val="004377F4"/>
    <w:rsid w:val="00441C92"/>
    <w:rsid w:val="004435BA"/>
    <w:rsid w:val="00445E0F"/>
    <w:rsid w:val="004460F4"/>
    <w:rsid w:val="00447C07"/>
    <w:rsid w:val="00451B52"/>
    <w:rsid w:val="00454EB3"/>
    <w:rsid w:val="00461B53"/>
    <w:rsid w:val="00474247"/>
    <w:rsid w:val="0048532E"/>
    <w:rsid w:val="00491250"/>
    <w:rsid w:val="00491412"/>
    <w:rsid w:val="0049553F"/>
    <w:rsid w:val="004A2EE3"/>
    <w:rsid w:val="004B3491"/>
    <w:rsid w:val="004B7B93"/>
    <w:rsid w:val="004C059D"/>
    <w:rsid w:val="004C61A2"/>
    <w:rsid w:val="004D324F"/>
    <w:rsid w:val="004E3650"/>
    <w:rsid w:val="004E7C87"/>
    <w:rsid w:val="004F1574"/>
    <w:rsid w:val="004F3ECA"/>
    <w:rsid w:val="004F6066"/>
    <w:rsid w:val="004F6840"/>
    <w:rsid w:val="004F70AB"/>
    <w:rsid w:val="004F79C9"/>
    <w:rsid w:val="005001CD"/>
    <w:rsid w:val="00503CC5"/>
    <w:rsid w:val="00504AA0"/>
    <w:rsid w:val="00513910"/>
    <w:rsid w:val="00513F83"/>
    <w:rsid w:val="00514674"/>
    <w:rsid w:val="00516F40"/>
    <w:rsid w:val="005214F4"/>
    <w:rsid w:val="0053199F"/>
    <w:rsid w:val="00531B6E"/>
    <w:rsid w:val="005324AF"/>
    <w:rsid w:val="00536A25"/>
    <w:rsid w:val="00543118"/>
    <w:rsid w:val="00545815"/>
    <w:rsid w:val="0054728D"/>
    <w:rsid w:val="0055559C"/>
    <w:rsid w:val="00556619"/>
    <w:rsid w:val="00563CDE"/>
    <w:rsid w:val="005663A6"/>
    <w:rsid w:val="00567823"/>
    <w:rsid w:val="005716A0"/>
    <w:rsid w:val="00571E63"/>
    <w:rsid w:val="0057345A"/>
    <w:rsid w:val="00573E4A"/>
    <w:rsid w:val="005759B8"/>
    <w:rsid w:val="00576827"/>
    <w:rsid w:val="005771AD"/>
    <w:rsid w:val="005824B6"/>
    <w:rsid w:val="005848B2"/>
    <w:rsid w:val="0058687A"/>
    <w:rsid w:val="00587399"/>
    <w:rsid w:val="005A0299"/>
    <w:rsid w:val="005A0764"/>
    <w:rsid w:val="005A56FF"/>
    <w:rsid w:val="005B2BD8"/>
    <w:rsid w:val="005B4596"/>
    <w:rsid w:val="005B5D94"/>
    <w:rsid w:val="005B7D9F"/>
    <w:rsid w:val="005C0338"/>
    <w:rsid w:val="005C40E0"/>
    <w:rsid w:val="005C482B"/>
    <w:rsid w:val="005C621B"/>
    <w:rsid w:val="005C6F46"/>
    <w:rsid w:val="005D1207"/>
    <w:rsid w:val="005D2D65"/>
    <w:rsid w:val="005D414D"/>
    <w:rsid w:val="005D7AFF"/>
    <w:rsid w:val="005F17F4"/>
    <w:rsid w:val="005F32C5"/>
    <w:rsid w:val="005F3C27"/>
    <w:rsid w:val="005F7383"/>
    <w:rsid w:val="00601DFE"/>
    <w:rsid w:val="006058D5"/>
    <w:rsid w:val="00606A1A"/>
    <w:rsid w:val="0060745F"/>
    <w:rsid w:val="00610030"/>
    <w:rsid w:val="006107DA"/>
    <w:rsid w:val="00614E10"/>
    <w:rsid w:val="0062759F"/>
    <w:rsid w:val="00634399"/>
    <w:rsid w:val="00635152"/>
    <w:rsid w:val="0063571D"/>
    <w:rsid w:val="0064018F"/>
    <w:rsid w:val="00652033"/>
    <w:rsid w:val="0065785F"/>
    <w:rsid w:val="006648C6"/>
    <w:rsid w:val="00665254"/>
    <w:rsid w:val="006661B5"/>
    <w:rsid w:val="0066710F"/>
    <w:rsid w:val="0067097B"/>
    <w:rsid w:val="0068057D"/>
    <w:rsid w:val="0068272D"/>
    <w:rsid w:val="00683C5F"/>
    <w:rsid w:val="00687011"/>
    <w:rsid w:val="00687519"/>
    <w:rsid w:val="00690E5E"/>
    <w:rsid w:val="00692579"/>
    <w:rsid w:val="00692871"/>
    <w:rsid w:val="00692DFD"/>
    <w:rsid w:val="006937DF"/>
    <w:rsid w:val="006947DE"/>
    <w:rsid w:val="006972FD"/>
    <w:rsid w:val="006A34B7"/>
    <w:rsid w:val="006B3CA1"/>
    <w:rsid w:val="006C06A1"/>
    <w:rsid w:val="006C400B"/>
    <w:rsid w:val="006C50D2"/>
    <w:rsid w:val="006C561D"/>
    <w:rsid w:val="006C580D"/>
    <w:rsid w:val="006D00C8"/>
    <w:rsid w:val="006D13F7"/>
    <w:rsid w:val="006D3075"/>
    <w:rsid w:val="006D5A55"/>
    <w:rsid w:val="006D76B6"/>
    <w:rsid w:val="006D7C84"/>
    <w:rsid w:val="006E0C87"/>
    <w:rsid w:val="006E1F5B"/>
    <w:rsid w:val="006E2ED4"/>
    <w:rsid w:val="006F0A63"/>
    <w:rsid w:val="006F16E9"/>
    <w:rsid w:val="006F7EB8"/>
    <w:rsid w:val="007003A5"/>
    <w:rsid w:val="007004EE"/>
    <w:rsid w:val="007026A7"/>
    <w:rsid w:val="00702EAF"/>
    <w:rsid w:val="00705E2B"/>
    <w:rsid w:val="00706624"/>
    <w:rsid w:val="007109BF"/>
    <w:rsid w:val="0071344C"/>
    <w:rsid w:val="00714E40"/>
    <w:rsid w:val="007155AF"/>
    <w:rsid w:val="007164A5"/>
    <w:rsid w:val="00726D34"/>
    <w:rsid w:val="00727555"/>
    <w:rsid w:val="007278AB"/>
    <w:rsid w:val="0073324B"/>
    <w:rsid w:val="0073508C"/>
    <w:rsid w:val="007375BD"/>
    <w:rsid w:val="00737FE0"/>
    <w:rsid w:val="00744F09"/>
    <w:rsid w:val="00746DDD"/>
    <w:rsid w:val="0075253C"/>
    <w:rsid w:val="007603F8"/>
    <w:rsid w:val="00764F36"/>
    <w:rsid w:val="00766B8E"/>
    <w:rsid w:val="00780064"/>
    <w:rsid w:val="00790148"/>
    <w:rsid w:val="007A168E"/>
    <w:rsid w:val="007A7C69"/>
    <w:rsid w:val="007A7DB4"/>
    <w:rsid w:val="007B1AC9"/>
    <w:rsid w:val="007B3382"/>
    <w:rsid w:val="007C7D36"/>
    <w:rsid w:val="007D0594"/>
    <w:rsid w:val="007D5A4A"/>
    <w:rsid w:val="007E0D6A"/>
    <w:rsid w:val="007F1C30"/>
    <w:rsid w:val="007F4DCA"/>
    <w:rsid w:val="007F6E14"/>
    <w:rsid w:val="007F6F58"/>
    <w:rsid w:val="007F7E15"/>
    <w:rsid w:val="008075E0"/>
    <w:rsid w:val="00807B2C"/>
    <w:rsid w:val="00813AC9"/>
    <w:rsid w:val="00820AE7"/>
    <w:rsid w:val="00830CCD"/>
    <w:rsid w:val="0083401C"/>
    <w:rsid w:val="008370B3"/>
    <w:rsid w:val="008479D4"/>
    <w:rsid w:val="008665DD"/>
    <w:rsid w:val="0087406B"/>
    <w:rsid w:val="00874343"/>
    <w:rsid w:val="00875977"/>
    <w:rsid w:val="008777D6"/>
    <w:rsid w:val="00877DBE"/>
    <w:rsid w:val="0088056E"/>
    <w:rsid w:val="00880ADD"/>
    <w:rsid w:val="008813AA"/>
    <w:rsid w:val="00883B8D"/>
    <w:rsid w:val="00895CEF"/>
    <w:rsid w:val="00896CF6"/>
    <w:rsid w:val="008A1B90"/>
    <w:rsid w:val="008A5CCF"/>
    <w:rsid w:val="008B03C9"/>
    <w:rsid w:val="008B044D"/>
    <w:rsid w:val="008B2F6E"/>
    <w:rsid w:val="008B44E5"/>
    <w:rsid w:val="008B4B7B"/>
    <w:rsid w:val="008B7231"/>
    <w:rsid w:val="008C4186"/>
    <w:rsid w:val="008C5408"/>
    <w:rsid w:val="008D0451"/>
    <w:rsid w:val="008D06BB"/>
    <w:rsid w:val="008D237A"/>
    <w:rsid w:val="008D39A2"/>
    <w:rsid w:val="008D3C13"/>
    <w:rsid w:val="008D68AF"/>
    <w:rsid w:val="008D754F"/>
    <w:rsid w:val="008E000C"/>
    <w:rsid w:val="008E1390"/>
    <w:rsid w:val="008E1596"/>
    <w:rsid w:val="008E26B1"/>
    <w:rsid w:val="008E6545"/>
    <w:rsid w:val="008E7EB5"/>
    <w:rsid w:val="008F28F5"/>
    <w:rsid w:val="008F63A5"/>
    <w:rsid w:val="008F7D50"/>
    <w:rsid w:val="008F7EC9"/>
    <w:rsid w:val="00900487"/>
    <w:rsid w:val="00901D31"/>
    <w:rsid w:val="00902F03"/>
    <w:rsid w:val="009067A8"/>
    <w:rsid w:val="00913E06"/>
    <w:rsid w:val="00913ED5"/>
    <w:rsid w:val="00914F2A"/>
    <w:rsid w:val="00915ADE"/>
    <w:rsid w:val="00916F85"/>
    <w:rsid w:val="00920776"/>
    <w:rsid w:val="009257E9"/>
    <w:rsid w:val="0092673C"/>
    <w:rsid w:val="00933EED"/>
    <w:rsid w:val="00935A7A"/>
    <w:rsid w:val="009366AE"/>
    <w:rsid w:val="00936935"/>
    <w:rsid w:val="009404AC"/>
    <w:rsid w:val="009407DC"/>
    <w:rsid w:val="0094203F"/>
    <w:rsid w:val="009439AF"/>
    <w:rsid w:val="00946E10"/>
    <w:rsid w:val="0095024A"/>
    <w:rsid w:val="00950A46"/>
    <w:rsid w:val="00952F73"/>
    <w:rsid w:val="009535EE"/>
    <w:rsid w:val="0095788E"/>
    <w:rsid w:val="0095797A"/>
    <w:rsid w:val="00962A63"/>
    <w:rsid w:val="00964A3C"/>
    <w:rsid w:val="009653CF"/>
    <w:rsid w:val="00975EFA"/>
    <w:rsid w:val="00980420"/>
    <w:rsid w:val="009818E8"/>
    <w:rsid w:val="009829F5"/>
    <w:rsid w:val="0098701D"/>
    <w:rsid w:val="009903F0"/>
    <w:rsid w:val="00996484"/>
    <w:rsid w:val="00996B04"/>
    <w:rsid w:val="009A4023"/>
    <w:rsid w:val="009A62C6"/>
    <w:rsid w:val="009C070E"/>
    <w:rsid w:val="009C1F37"/>
    <w:rsid w:val="009C5F8F"/>
    <w:rsid w:val="009D28B6"/>
    <w:rsid w:val="009E0CC0"/>
    <w:rsid w:val="009E6017"/>
    <w:rsid w:val="009F1962"/>
    <w:rsid w:val="009F3A4B"/>
    <w:rsid w:val="009F4851"/>
    <w:rsid w:val="009F48B7"/>
    <w:rsid w:val="009F4FCE"/>
    <w:rsid w:val="00A014B1"/>
    <w:rsid w:val="00A01A92"/>
    <w:rsid w:val="00A04E5B"/>
    <w:rsid w:val="00A12B9E"/>
    <w:rsid w:val="00A13399"/>
    <w:rsid w:val="00A26785"/>
    <w:rsid w:val="00A30F98"/>
    <w:rsid w:val="00A32D90"/>
    <w:rsid w:val="00A3605C"/>
    <w:rsid w:val="00A37DFE"/>
    <w:rsid w:val="00A524C4"/>
    <w:rsid w:val="00A5256A"/>
    <w:rsid w:val="00A53F11"/>
    <w:rsid w:val="00A56171"/>
    <w:rsid w:val="00A600C7"/>
    <w:rsid w:val="00A659E2"/>
    <w:rsid w:val="00A67D3A"/>
    <w:rsid w:val="00A70E64"/>
    <w:rsid w:val="00A73FEF"/>
    <w:rsid w:val="00A74F8C"/>
    <w:rsid w:val="00A96A4A"/>
    <w:rsid w:val="00AA48AF"/>
    <w:rsid w:val="00AB0164"/>
    <w:rsid w:val="00AB24E7"/>
    <w:rsid w:val="00AB55E3"/>
    <w:rsid w:val="00AB7C78"/>
    <w:rsid w:val="00AC2B73"/>
    <w:rsid w:val="00AD2EED"/>
    <w:rsid w:val="00AD63CD"/>
    <w:rsid w:val="00AD77B4"/>
    <w:rsid w:val="00AE2674"/>
    <w:rsid w:val="00AE4142"/>
    <w:rsid w:val="00AF4A19"/>
    <w:rsid w:val="00AF4C83"/>
    <w:rsid w:val="00AF5C75"/>
    <w:rsid w:val="00AF6CC6"/>
    <w:rsid w:val="00B02EB9"/>
    <w:rsid w:val="00B0741B"/>
    <w:rsid w:val="00B118A8"/>
    <w:rsid w:val="00B1636A"/>
    <w:rsid w:val="00B17CD2"/>
    <w:rsid w:val="00B20B42"/>
    <w:rsid w:val="00B21CB1"/>
    <w:rsid w:val="00B262CC"/>
    <w:rsid w:val="00B340FA"/>
    <w:rsid w:val="00B40855"/>
    <w:rsid w:val="00B41973"/>
    <w:rsid w:val="00B4251F"/>
    <w:rsid w:val="00B451CD"/>
    <w:rsid w:val="00B460E3"/>
    <w:rsid w:val="00B502A0"/>
    <w:rsid w:val="00B52D69"/>
    <w:rsid w:val="00B55844"/>
    <w:rsid w:val="00B57FA1"/>
    <w:rsid w:val="00B606BA"/>
    <w:rsid w:val="00B64EDE"/>
    <w:rsid w:val="00B70E4B"/>
    <w:rsid w:val="00B7184B"/>
    <w:rsid w:val="00B71D3E"/>
    <w:rsid w:val="00B759EA"/>
    <w:rsid w:val="00B8380C"/>
    <w:rsid w:val="00B87383"/>
    <w:rsid w:val="00B90CC3"/>
    <w:rsid w:val="00B9263A"/>
    <w:rsid w:val="00B92729"/>
    <w:rsid w:val="00BA00BF"/>
    <w:rsid w:val="00BA122E"/>
    <w:rsid w:val="00BA65FD"/>
    <w:rsid w:val="00BB0163"/>
    <w:rsid w:val="00BB0E6D"/>
    <w:rsid w:val="00BB5FB1"/>
    <w:rsid w:val="00BC418A"/>
    <w:rsid w:val="00BC71D0"/>
    <w:rsid w:val="00BD0CD1"/>
    <w:rsid w:val="00BD2440"/>
    <w:rsid w:val="00BD3DF4"/>
    <w:rsid w:val="00BD6A34"/>
    <w:rsid w:val="00BE4C6A"/>
    <w:rsid w:val="00BE6A61"/>
    <w:rsid w:val="00BE6C81"/>
    <w:rsid w:val="00BE70AE"/>
    <w:rsid w:val="00BE7B12"/>
    <w:rsid w:val="00BF1233"/>
    <w:rsid w:val="00BF155D"/>
    <w:rsid w:val="00BF17F3"/>
    <w:rsid w:val="00BF4746"/>
    <w:rsid w:val="00BF52D8"/>
    <w:rsid w:val="00BF542F"/>
    <w:rsid w:val="00C0230B"/>
    <w:rsid w:val="00C02D6B"/>
    <w:rsid w:val="00C0369E"/>
    <w:rsid w:val="00C0410D"/>
    <w:rsid w:val="00C148DF"/>
    <w:rsid w:val="00C1566B"/>
    <w:rsid w:val="00C16624"/>
    <w:rsid w:val="00C34CF2"/>
    <w:rsid w:val="00C36DDD"/>
    <w:rsid w:val="00C52FF9"/>
    <w:rsid w:val="00C6046F"/>
    <w:rsid w:val="00C6267F"/>
    <w:rsid w:val="00C665E8"/>
    <w:rsid w:val="00C72E93"/>
    <w:rsid w:val="00C73382"/>
    <w:rsid w:val="00C80994"/>
    <w:rsid w:val="00C815E4"/>
    <w:rsid w:val="00C8166F"/>
    <w:rsid w:val="00C83CD6"/>
    <w:rsid w:val="00C9118C"/>
    <w:rsid w:val="00C9609A"/>
    <w:rsid w:val="00C97A4A"/>
    <w:rsid w:val="00CA45AA"/>
    <w:rsid w:val="00CA467C"/>
    <w:rsid w:val="00CA6532"/>
    <w:rsid w:val="00CA6E91"/>
    <w:rsid w:val="00CB4796"/>
    <w:rsid w:val="00CC2425"/>
    <w:rsid w:val="00CC3A5C"/>
    <w:rsid w:val="00CC439E"/>
    <w:rsid w:val="00CD038B"/>
    <w:rsid w:val="00CD76F1"/>
    <w:rsid w:val="00CE0A9B"/>
    <w:rsid w:val="00CE1107"/>
    <w:rsid w:val="00CE65A2"/>
    <w:rsid w:val="00CF3B0E"/>
    <w:rsid w:val="00CF3D4B"/>
    <w:rsid w:val="00D0273D"/>
    <w:rsid w:val="00D07151"/>
    <w:rsid w:val="00D075D9"/>
    <w:rsid w:val="00D101BB"/>
    <w:rsid w:val="00D128EE"/>
    <w:rsid w:val="00D152A5"/>
    <w:rsid w:val="00D1611A"/>
    <w:rsid w:val="00D17B30"/>
    <w:rsid w:val="00D2074A"/>
    <w:rsid w:val="00D23C01"/>
    <w:rsid w:val="00D3033F"/>
    <w:rsid w:val="00D32A3B"/>
    <w:rsid w:val="00D53595"/>
    <w:rsid w:val="00D65399"/>
    <w:rsid w:val="00D66210"/>
    <w:rsid w:val="00D665D1"/>
    <w:rsid w:val="00D70E80"/>
    <w:rsid w:val="00D71A0A"/>
    <w:rsid w:val="00D758B8"/>
    <w:rsid w:val="00D76067"/>
    <w:rsid w:val="00D7746F"/>
    <w:rsid w:val="00D83BB6"/>
    <w:rsid w:val="00D91C3C"/>
    <w:rsid w:val="00D92F7C"/>
    <w:rsid w:val="00D95EAE"/>
    <w:rsid w:val="00DA1065"/>
    <w:rsid w:val="00DA255C"/>
    <w:rsid w:val="00DB411A"/>
    <w:rsid w:val="00DB413F"/>
    <w:rsid w:val="00DC76C5"/>
    <w:rsid w:val="00DC7DDC"/>
    <w:rsid w:val="00DD19F6"/>
    <w:rsid w:val="00DD537D"/>
    <w:rsid w:val="00DD5E78"/>
    <w:rsid w:val="00DD6A2D"/>
    <w:rsid w:val="00DE080F"/>
    <w:rsid w:val="00DE1021"/>
    <w:rsid w:val="00DE60DC"/>
    <w:rsid w:val="00DE6704"/>
    <w:rsid w:val="00DF52A2"/>
    <w:rsid w:val="00DF6702"/>
    <w:rsid w:val="00E0177B"/>
    <w:rsid w:val="00E022A4"/>
    <w:rsid w:val="00E02FEB"/>
    <w:rsid w:val="00E03E50"/>
    <w:rsid w:val="00E07824"/>
    <w:rsid w:val="00E10BB5"/>
    <w:rsid w:val="00E11923"/>
    <w:rsid w:val="00E12843"/>
    <w:rsid w:val="00E149CE"/>
    <w:rsid w:val="00E1603B"/>
    <w:rsid w:val="00E21752"/>
    <w:rsid w:val="00E23D42"/>
    <w:rsid w:val="00E34C79"/>
    <w:rsid w:val="00E37E86"/>
    <w:rsid w:val="00E460D1"/>
    <w:rsid w:val="00E514F9"/>
    <w:rsid w:val="00E549B9"/>
    <w:rsid w:val="00E54A03"/>
    <w:rsid w:val="00E5698D"/>
    <w:rsid w:val="00E617D3"/>
    <w:rsid w:val="00E62B6A"/>
    <w:rsid w:val="00E7296E"/>
    <w:rsid w:val="00E7505E"/>
    <w:rsid w:val="00E830FA"/>
    <w:rsid w:val="00E83A23"/>
    <w:rsid w:val="00E84036"/>
    <w:rsid w:val="00E9049B"/>
    <w:rsid w:val="00E917A8"/>
    <w:rsid w:val="00E9183F"/>
    <w:rsid w:val="00E935B0"/>
    <w:rsid w:val="00EA09F4"/>
    <w:rsid w:val="00EA4E11"/>
    <w:rsid w:val="00EA5568"/>
    <w:rsid w:val="00EB1B79"/>
    <w:rsid w:val="00EB4200"/>
    <w:rsid w:val="00EB4975"/>
    <w:rsid w:val="00EB578F"/>
    <w:rsid w:val="00EC17DC"/>
    <w:rsid w:val="00EC17EB"/>
    <w:rsid w:val="00EC1EFD"/>
    <w:rsid w:val="00EC566E"/>
    <w:rsid w:val="00EC7CA4"/>
    <w:rsid w:val="00ED708E"/>
    <w:rsid w:val="00EE0899"/>
    <w:rsid w:val="00EE0F57"/>
    <w:rsid w:val="00EE58C3"/>
    <w:rsid w:val="00EE7F73"/>
    <w:rsid w:val="00EF063E"/>
    <w:rsid w:val="00EF335C"/>
    <w:rsid w:val="00EF4745"/>
    <w:rsid w:val="00EF7952"/>
    <w:rsid w:val="00F036D2"/>
    <w:rsid w:val="00F057D5"/>
    <w:rsid w:val="00F0604B"/>
    <w:rsid w:val="00F250CC"/>
    <w:rsid w:val="00F2534C"/>
    <w:rsid w:val="00F25725"/>
    <w:rsid w:val="00F35EEC"/>
    <w:rsid w:val="00F40135"/>
    <w:rsid w:val="00F44779"/>
    <w:rsid w:val="00F5502D"/>
    <w:rsid w:val="00F5563E"/>
    <w:rsid w:val="00F60CC9"/>
    <w:rsid w:val="00F62015"/>
    <w:rsid w:val="00F62096"/>
    <w:rsid w:val="00F64CA2"/>
    <w:rsid w:val="00F65A13"/>
    <w:rsid w:val="00F72ACA"/>
    <w:rsid w:val="00F757C1"/>
    <w:rsid w:val="00F76851"/>
    <w:rsid w:val="00F77A0A"/>
    <w:rsid w:val="00F9215F"/>
    <w:rsid w:val="00F94E77"/>
    <w:rsid w:val="00F9543C"/>
    <w:rsid w:val="00FB0BD1"/>
    <w:rsid w:val="00FB5B0D"/>
    <w:rsid w:val="00FB78B1"/>
    <w:rsid w:val="00FB7E1C"/>
    <w:rsid w:val="00FC2BA7"/>
    <w:rsid w:val="00FC5A2D"/>
    <w:rsid w:val="00FD019D"/>
    <w:rsid w:val="00FD550E"/>
    <w:rsid w:val="00FE1930"/>
    <w:rsid w:val="00FE2A62"/>
    <w:rsid w:val="00FF01D4"/>
    <w:rsid w:val="00FF0F02"/>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25DF3"/>
  <w15:docId w15:val="{1583371B-2EAA-436F-A2AC-AEBA743D7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40" w:line="276" w:lineRule="auto"/>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59" w:unhideWhenUsed="1" w:qFormat="1"/>
    <w:lsdException w:name="heading 8" w:semiHidden="1" w:uiPriority="59" w:unhideWhenUsed="1" w:qFormat="1"/>
    <w:lsdException w:name="heading 9" w:semiHidden="1" w:uiPriority="5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5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semiHidden="1" w:qFormat="1"/>
    <w:lsdException w:name="Book Title" w:semiHidden="1" w:qFormat="1"/>
    <w:lsdException w:name="Bibliography" w:semiHidden="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F2"/>
    <w:pPr>
      <w:spacing w:after="0" w:line="240" w:lineRule="auto"/>
    </w:pPr>
    <w:rPr>
      <w:rFonts w:ascii="Arial" w:eastAsia="Times New Roman" w:hAnsi="Arial" w:cs="Times New Roman"/>
    </w:rPr>
  </w:style>
  <w:style w:type="paragraph" w:styleId="Heading1">
    <w:name w:val="heading 1"/>
    <w:aliases w:val="(Alt+1),1,1st level,A MAJOR/BOLD,Attribute Heading 1,Ch,H1,Heading,Heading 1(Report Only),Roman 14 B Heading,Roman 14 B Heading1,Roman 14 B Heading11,Roman 14 B Heading2,Schedheading,Section Heading,ch,h1,h1 chapter heading,new page/chapter"/>
    <w:basedOn w:val="Normal"/>
    <w:next w:val="Normal"/>
    <w:link w:val="Heading1Char"/>
    <w:qFormat/>
    <w:pPr>
      <w:keepNext/>
      <w:keepLines/>
      <w:spacing w:before="480"/>
      <w:outlineLvl w:val="0"/>
    </w:pPr>
    <w:rPr>
      <w:rFonts w:asciiTheme="majorHAnsi" w:eastAsiaTheme="majorEastAsia" w:hAnsiTheme="majorHAnsi" w:cstheme="majorBidi"/>
      <w:b/>
      <w:bCs/>
      <w:color w:val="51216C" w:themeColor="accent1" w:themeShade="BF"/>
      <w:sz w:val="28"/>
      <w:szCs w:val="28"/>
    </w:rPr>
  </w:style>
  <w:style w:type="paragraph" w:styleId="Heading2">
    <w:name w:val="heading 2"/>
    <w:aliases w:val="(1.1,1.2,1.3 etc),2,21,22,23,24,25,2m,B,B Sub/Bold,B Sub/Bold1,Body Text (Reset numbering),H2,L2,Reset numbering,Subhead A,TF-Overskrit 2,h 2,h2,h2 main heading,m,section header,sub-sect,sub-sect1,sub-sect2,sub-sect3,sub-sect4,sub-sect5"/>
    <w:basedOn w:val="BodyText"/>
    <w:next w:val="BodyText2"/>
    <w:link w:val="Heading2Char"/>
    <w:qFormat/>
    <w:rsid w:val="00D128EE"/>
    <w:pPr>
      <w:tabs>
        <w:tab w:val="num" w:pos="709"/>
      </w:tabs>
      <w:spacing w:after="230"/>
      <w:ind w:left="709" w:hanging="709"/>
      <w:outlineLvl w:val="1"/>
    </w:pPr>
    <w:rPr>
      <w:b/>
    </w:rPr>
  </w:style>
  <w:style w:type="paragraph" w:styleId="Heading3">
    <w:name w:val="heading 3"/>
    <w:aliases w:val="(Alt+3),3,3m,3rd Level,C,C Sub-Sub/Italic,C Sub-Sub/Italic1,GPH Heading 3,H3,H31,Head 31,Head 32,HeadC,L3,Level 1 - 1,Level 1 - 2,Minor,Minor1,Numbered - 3,Para Heading 3,Para Heading 31,Sub-section,Sub2Para,h3,h3 sub heading,h3 sub heading1"/>
    <w:basedOn w:val="BodyText"/>
    <w:next w:val="BodyText3"/>
    <w:link w:val="Heading3Char"/>
    <w:qFormat/>
    <w:rsid w:val="00D128EE"/>
    <w:pPr>
      <w:tabs>
        <w:tab w:val="num" w:pos="709"/>
      </w:tabs>
      <w:spacing w:after="230"/>
      <w:ind w:left="709" w:hanging="709"/>
      <w:outlineLvl w:val="2"/>
    </w:pPr>
  </w:style>
  <w:style w:type="paragraph" w:styleId="Heading4">
    <w:name w:val="heading 4"/>
    <w:aliases w:val="14,141,1411,142,1421,143,4,41,411,42,43,D Sub-Sub/Plain,GPH Heading 4,H4,Level 2 - (a),Level 2 - a,Map Title,Second Level Heading HM,Subhead C,a.,h4,h4 sub sub heading,h41,h411,h42,h421,h43,h44,l4,l41,l411,l42,l421,l43,n,parapoint,¶,¶1"/>
    <w:basedOn w:val="BodyText"/>
    <w:link w:val="Heading4Char"/>
    <w:qFormat/>
    <w:rsid w:val="00D128EE"/>
    <w:pPr>
      <w:tabs>
        <w:tab w:val="num" w:pos="1418"/>
      </w:tabs>
      <w:spacing w:after="230"/>
      <w:ind w:left="1418" w:hanging="709"/>
      <w:outlineLvl w:val="3"/>
    </w:pPr>
  </w:style>
  <w:style w:type="paragraph" w:styleId="Heading5">
    <w:name w:val="heading 5"/>
    <w:aliases w:val="(A),Appendix A to X,FMH1,H5,Heading 5(unused),Heading 5*,Lev 5,Level 3 - (i),Level 3 - i,Response Type,Response Type1,Response Type2,Response Type3,Response Type4,Response Type5,Response Type6,Response Type7,Subheading,Third Level Heading,h5"/>
    <w:basedOn w:val="BodyText"/>
    <w:link w:val="Heading5Char"/>
    <w:qFormat/>
    <w:rsid w:val="00D128EE"/>
    <w:pPr>
      <w:tabs>
        <w:tab w:val="num" w:pos="2126"/>
      </w:tabs>
      <w:spacing w:after="230"/>
      <w:ind w:left="2126" w:hanging="708"/>
      <w:outlineLvl w:val="4"/>
    </w:pPr>
  </w:style>
  <w:style w:type="paragraph" w:styleId="Heading6">
    <w:name w:val="heading 6"/>
    <w:aliases w:val="(I),5,Blank 2,H6,H6 DO NOT USE,H61,H610,H611,H612,H613,H614,H615,H62,H63,H64,H65,H66,H67,H68,H69,Heading 6  Appendix Y &amp; Z,Heading 6(unused),ITT t6,L1 PIP,Legal Level 1.,Lev 6,Normal diagram,Numbered - 6,PA Appendix,PR14,bullet2,h6,sd,sub-dash"/>
    <w:basedOn w:val="BodyText"/>
    <w:link w:val="Heading6Char"/>
    <w:qFormat/>
    <w:rsid w:val="00D128EE"/>
    <w:pPr>
      <w:tabs>
        <w:tab w:val="num" w:pos="2835"/>
      </w:tabs>
      <w:spacing w:after="230"/>
      <w:ind w:left="2835" w:hanging="709"/>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1body,BT,BodText,Body Text - Level 2,Body Text 1.1,Body Text x,Body Txt,OC Body Text,OpinBody,Proposal Body,Report Body,T1,b,b-heading,bd,block,bo,body text,bt,bt wide,by,contents,full cell text,heading3,jfp_standard,memo body,sp,taten_body,tx"/>
    <w:basedOn w:val="Normal"/>
    <w:link w:val="BodyTextChar"/>
    <w:qFormat/>
    <w:pPr>
      <w:spacing w:after="240"/>
    </w:pPr>
  </w:style>
  <w:style w:type="character" w:customStyle="1" w:styleId="BodyTextChar">
    <w:name w:val="Body Text Char"/>
    <w:aliases w:val="1body Char,BT Char,BodText Char,Body Text - Level 2 Char,Body Text 1.1 Char,Body Text x Char,Body Txt Char,OC Body Text Char,OpinBody Char,Proposal Body Char,Report Body Char,T1 Char,b Char,b-heading Char,bd Char,block Char,bo Char"/>
    <w:basedOn w:val="DefaultParagraphFont"/>
    <w:link w:val="BodyText"/>
    <w:rPr>
      <w:sz w:val="20"/>
    </w:rPr>
  </w:style>
  <w:style w:type="paragraph" w:customStyle="1" w:styleId="BodyText1">
    <w:name w:val="Body Text 1"/>
    <w:basedOn w:val="BodyText"/>
    <w:link w:val="BodyText1Char"/>
    <w:qFormat/>
    <w:pPr>
      <w:ind w:left="720"/>
    </w:pPr>
  </w:style>
  <w:style w:type="paragraph" w:styleId="BodyText2">
    <w:name w:val="Body Text 2"/>
    <w:aliases w:val="bt2"/>
    <w:basedOn w:val="BodyText"/>
    <w:link w:val="BodyText2Char"/>
    <w:qFormat/>
    <w:pPr>
      <w:ind w:left="1440"/>
    </w:pPr>
  </w:style>
  <w:style w:type="character" w:customStyle="1" w:styleId="BodyText2Char">
    <w:name w:val="Body Text 2 Char"/>
    <w:aliases w:val="bt2 Char"/>
    <w:basedOn w:val="DefaultParagraphFont"/>
    <w:link w:val="BodyText2"/>
    <w:rPr>
      <w:sz w:val="20"/>
    </w:rPr>
  </w:style>
  <w:style w:type="paragraph" w:customStyle="1" w:styleId="CoverDocumentTitle">
    <w:name w:val="Cover Document Title"/>
    <w:basedOn w:val="BodyText"/>
    <w:next w:val="CoverDocumentDescription"/>
    <w:uiPriority w:val="3"/>
    <w:rPr>
      <w:rFonts w:cstheme="minorHAnsi"/>
      <w:sz w:val="32"/>
      <w:szCs w:val="36"/>
    </w:rPr>
  </w:style>
  <w:style w:type="paragraph" w:customStyle="1" w:styleId="CoverDate">
    <w:name w:val="Cover Date"/>
    <w:basedOn w:val="BodyText"/>
    <w:uiPriority w:val="5"/>
    <w:rPr>
      <w:b/>
      <w:bCs/>
      <w:sz w:val="28"/>
      <w:szCs w:val="28"/>
    </w:rPr>
  </w:style>
  <w:style w:type="paragraph" w:customStyle="1" w:styleId="CoverPartyName">
    <w:name w:val="Cover Party Name"/>
    <w:basedOn w:val="Normal"/>
    <w:next w:val="CoverPartyRole"/>
    <w:uiPriority w:val="5"/>
    <w:rPr>
      <w:b/>
      <w:bCs/>
      <w:sz w:val="22"/>
      <w:szCs w:val="24"/>
    </w:rPr>
  </w:style>
  <w:style w:type="paragraph" w:customStyle="1" w:styleId="CoverPartyRole">
    <w:name w:val="Cover Party Role"/>
    <w:basedOn w:val="BodyText"/>
    <w:next w:val="CoverPartyName"/>
    <w:uiPriority w:val="5"/>
    <w:rPr>
      <w:sz w:val="22"/>
      <w:szCs w:val="24"/>
    </w:rPr>
  </w:style>
  <w:style w:type="paragraph" w:customStyle="1" w:styleId="CoverText">
    <w:name w:val="Cover Text"/>
    <w:basedOn w:val="BodyText"/>
    <w:uiPriority w:val="5"/>
  </w:style>
  <w:style w:type="paragraph" w:customStyle="1" w:styleId="CoverDocumentDescription">
    <w:name w:val="Cover Document Description"/>
    <w:basedOn w:val="BodyText"/>
    <w:uiPriority w:val="4"/>
  </w:style>
  <w:style w:type="character" w:customStyle="1" w:styleId="Heading1Char">
    <w:name w:val="Heading 1 Char"/>
    <w:aliases w:val="(Alt+1) Char,1 Char,1st level Char,A MAJOR/BOLD Char,Attribute Heading 1 Char,Ch Char,H1 Char,Heading Char,Heading 1(Report Only) Char,Roman 14 B Heading Char,Roman 14 B Heading1 Char,Roman 14 B Heading11 Char,Roman 14 B Heading2 Char"/>
    <w:basedOn w:val="DefaultParagraphFont"/>
    <w:link w:val="Heading1"/>
    <w:rPr>
      <w:rFonts w:asciiTheme="majorHAnsi" w:eastAsiaTheme="majorEastAsia" w:hAnsiTheme="majorHAnsi" w:cstheme="majorBidi"/>
      <w:b/>
      <w:bCs/>
      <w:color w:val="51216C" w:themeColor="accent1" w:themeShade="BF"/>
      <w:sz w:val="28"/>
      <w:szCs w:val="28"/>
    </w:rPr>
  </w:style>
  <w:style w:type="paragraph" w:customStyle="1" w:styleId="TOCSubHeading">
    <w:name w:val="TOC Sub Heading"/>
    <w:basedOn w:val="BodyText"/>
    <w:uiPriority w:val="39"/>
    <w:pPr>
      <w:keepNext/>
    </w:pPr>
    <w:rPr>
      <w:b/>
      <w:bCs/>
    </w:rPr>
  </w:style>
  <w:style w:type="paragraph" w:customStyle="1" w:styleId="IntroHeading">
    <w:name w:val="Intro Heading"/>
    <w:basedOn w:val="BodyText"/>
    <w:next w:val="BodyText"/>
    <w:uiPriority w:val="9"/>
    <w:pPr>
      <w:keepNext/>
      <w:numPr>
        <w:numId w:val="4"/>
      </w:numPr>
    </w:pPr>
    <w:rPr>
      <w:b/>
      <w:bCs/>
      <w:sz w:val="22"/>
      <w:szCs w:val="24"/>
    </w:rPr>
  </w:style>
  <w:style w:type="paragraph" w:customStyle="1" w:styleId="Parties1">
    <w:name w:val="Parties 1"/>
    <w:basedOn w:val="BodyText"/>
    <w:uiPriority w:val="9"/>
    <w:pPr>
      <w:numPr>
        <w:ilvl w:val="1"/>
        <w:numId w:val="4"/>
      </w:numPr>
    </w:pPr>
  </w:style>
  <w:style w:type="paragraph" w:customStyle="1" w:styleId="Parties2">
    <w:name w:val="Parties 2"/>
    <w:basedOn w:val="BodyText"/>
    <w:uiPriority w:val="9"/>
    <w:pPr>
      <w:numPr>
        <w:ilvl w:val="2"/>
        <w:numId w:val="4"/>
      </w:numPr>
    </w:pPr>
  </w:style>
  <w:style w:type="paragraph" w:customStyle="1" w:styleId="Background1">
    <w:name w:val="Background 1"/>
    <w:basedOn w:val="BodyText"/>
    <w:uiPriority w:val="11"/>
    <w:pPr>
      <w:numPr>
        <w:ilvl w:val="3"/>
        <w:numId w:val="4"/>
      </w:numPr>
    </w:pPr>
  </w:style>
  <w:style w:type="paragraph" w:customStyle="1" w:styleId="Background2">
    <w:name w:val="Background 2"/>
    <w:basedOn w:val="BodyText"/>
    <w:uiPriority w:val="11"/>
    <w:pPr>
      <w:numPr>
        <w:ilvl w:val="4"/>
        <w:numId w:val="4"/>
      </w:numPr>
    </w:pPr>
  </w:style>
  <w:style w:type="paragraph" w:customStyle="1" w:styleId="Level1Heading">
    <w:name w:val="Level 1 Heading"/>
    <w:basedOn w:val="BodyText"/>
    <w:next w:val="BodyText1"/>
    <w:uiPriority w:val="69"/>
    <w:qFormat/>
    <w:pPr>
      <w:keepNext/>
      <w:numPr>
        <w:numId w:val="1"/>
      </w:numPr>
      <w:outlineLvl w:val="0"/>
    </w:pPr>
    <w:rPr>
      <w:b/>
      <w:bCs/>
      <w:sz w:val="22"/>
      <w:szCs w:val="24"/>
    </w:rPr>
  </w:style>
  <w:style w:type="paragraph" w:customStyle="1" w:styleId="Level2Number">
    <w:name w:val="Level 2 Number"/>
    <w:basedOn w:val="BodyText"/>
    <w:uiPriority w:val="69"/>
    <w:qFormat/>
    <w:pPr>
      <w:numPr>
        <w:ilvl w:val="1"/>
        <w:numId w:val="1"/>
      </w:numPr>
    </w:pPr>
  </w:style>
  <w:style w:type="paragraph" w:customStyle="1" w:styleId="Level3Number">
    <w:name w:val="Level 3 Number"/>
    <w:basedOn w:val="BodyText"/>
    <w:uiPriority w:val="69"/>
    <w:qFormat/>
    <w:pPr>
      <w:numPr>
        <w:ilvl w:val="2"/>
        <w:numId w:val="1"/>
      </w:numPr>
    </w:pPr>
  </w:style>
  <w:style w:type="paragraph" w:customStyle="1" w:styleId="Level4Number">
    <w:name w:val="Level 4 Number"/>
    <w:basedOn w:val="BodyText"/>
    <w:uiPriority w:val="69"/>
    <w:qFormat/>
    <w:pPr>
      <w:numPr>
        <w:ilvl w:val="3"/>
        <w:numId w:val="1"/>
      </w:numPr>
    </w:pPr>
  </w:style>
  <w:style w:type="paragraph" w:customStyle="1" w:styleId="Level5Number">
    <w:name w:val="Level 5 Number"/>
    <w:basedOn w:val="BodyText"/>
    <w:uiPriority w:val="69"/>
    <w:qFormat/>
    <w:pPr>
      <w:numPr>
        <w:ilvl w:val="4"/>
        <w:numId w:val="1"/>
      </w:numPr>
    </w:pPr>
  </w:style>
  <w:style w:type="paragraph" w:customStyle="1" w:styleId="Level6Number">
    <w:name w:val="Level 6 Number"/>
    <w:basedOn w:val="BodyText"/>
    <w:uiPriority w:val="69"/>
    <w:qFormat/>
    <w:pPr>
      <w:numPr>
        <w:ilvl w:val="5"/>
        <w:numId w:val="1"/>
      </w:numPr>
    </w:pPr>
  </w:style>
  <w:style w:type="paragraph" w:customStyle="1" w:styleId="Level7Number">
    <w:name w:val="Level 7 Number"/>
    <w:basedOn w:val="BodyText"/>
    <w:uiPriority w:val="69"/>
    <w:qFormat/>
    <w:pPr>
      <w:numPr>
        <w:ilvl w:val="6"/>
        <w:numId w:val="1"/>
      </w:numPr>
    </w:pPr>
  </w:style>
  <w:style w:type="paragraph" w:customStyle="1" w:styleId="Level8Number">
    <w:name w:val="Level 8 Number"/>
    <w:basedOn w:val="BodyText"/>
    <w:uiPriority w:val="69"/>
    <w:qFormat/>
    <w:pPr>
      <w:numPr>
        <w:ilvl w:val="7"/>
        <w:numId w:val="1"/>
      </w:numPr>
    </w:pPr>
  </w:style>
  <w:style w:type="paragraph" w:styleId="BodyText3">
    <w:name w:val="Body Text 3"/>
    <w:basedOn w:val="BodyText"/>
    <w:link w:val="BodyText3Char"/>
    <w:uiPriority w:val="19"/>
    <w:pPr>
      <w:ind w:left="2160"/>
    </w:pPr>
  </w:style>
  <w:style w:type="character" w:customStyle="1" w:styleId="BodyText3Char">
    <w:name w:val="Body Text 3 Char"/>
    <w:basedOn w:val="DefaultParagraphFont"/>
    <w:link w:val="BodyText3"/>
    <w:uiPriority w:val="19"/>
    <w:rPr>
      <w:sz w:val="20"/>
    </w:rPr>
  </w:style>
  <w:style w:type="paragraph" w:customStyle="1" w:styleId="BodyText4">
    <w:name w:val="Body Text 4"/>
    <w:basedOn w:val="BodyText"/>
    <w:uiPriority w:val="19"/>
    <w:pPr>
      <w:ind w:left="2880"/>
    </w:pPr>
  </w:style>
  <w:style w:type="paragraph" w:customStyle="1" w:styleId="BodyText5">
    <w:name w:val="Body Text 5"/>
    <w:basedOn w:val="BodyText"/>
    <w:uiPriority w:val="19"/>
    <w:pPr>
      <w:ind w:left="3600"/>
    </w:pPr>
  </w:style>
  <w:style w:type="paragraph" w:customStyle="1" w:styleId="BodyText6">
    <w:name w:val="Body Text 6"/>
    <w:basedOn w:val="BodyText"/>
    <w:uiPriority w:val="19"/>
    <w:pPr>
      <w:ind w:left="4320"/>
    </w:pPr>
  </w:style>
  <w:style w:type="paragraph" w:customStyle="1" w:styleId="Definition">
    <w:name w:val="Definition"/>
    <w:basedOn w:val="BodyText"/>
    <w:uiPriority w:val="21"/>
    <w:qFormat/>
    <w:pPr>
      <w:numPr>
        <w:numId w:val="3"/>
      </w:numPr>
      <w:outlineLvl w:val="4"/>
    </w:pPr>
  </w:style>
  <w:style w:type="paragraph" w:customStyle="1" w:styleId="Definition1">
    <w:name w:val="Definition 1"/>
    <w:basedOn w:val="BodyText"/>
    <w:uiPriority w:val="21"/>
    <w:pPr>
      <w:numPr>
        <w:ilvl w:val="1"/>
        <w:numId w:val="3"/>
      </w:numPr>
    </w:pPr>
  </w:style>
  <w:style w:type="paragraph" w:customStyle="1" w:styleId="Definition2">
    <w:name w:val="Definition 2"/>
    <w:basedOn w:val="BodyText"/>
    <w:uiPriority w:val="21"/>
    <w:pPr>
      <w:numPr>
        <w:ilvl w:val="2"/>
        <w:numId w:val="3"/>
      </w:numPr>
    </w:pPr>
  </w:style>
  <w:style w:type="paragraph" w:customStyle="1" w:styleId="Definition3">
    <w:name w:val="Definition 3"/>
    <w:basedOn w:val="BodyText"/>
    <w:uiPriority w:val="21"/>
    <w:pPr>
      <w:numPr>
        <w:ilvl w:val="3"/>
        <w:numId w:val="3"/>
      </w:numPr>
    </w:pPr>
  </w:style>
  <w:style w:type="paragraph" w:customStyle="1" w:styleId="Definition4">
    <w:name w:val="Definition 4"/>
    <w:basedOn w:val="BodyText"/>
    <w:uiPriority w:val="21"/>
    <w:pPr>
      <w:numPr>
        <w:ilvl w:val="4"/>
        <w:numId w:val="3"/>
      </w:numPr>
    </w:pPr>
  </w:style>
  <w:style w:type="paragraph" w:customStyle="1" w:styleId="Section">
    <w:name w:val="Section"/>
    <w:basedOn w:val="BodyText"/>
    <w:uiPriority w:val="24"/>
    <w:pPr>
      <w:keepNext/>
      <w:outlineLvl w:val="0"/>
    </w:pPr>
    <w:rPr>
      <w:b/>
      <w:bCs/>
      <w:sz w:val="22"/>
      <w:szCs w:val="24"/>
    </w:rPr>
  </w:style>
  <w:style w:type="paragraph" w:customStyle="1" w:styleId="Note">
    <w:name w:val="Note"/>
    <w:basedOn w:val="BodyText"/>
    <w:link w:val="NoteChar"/>
    <w:uiPriority w:val="19"/>
    <w:pPr>
      <w:shd w:val="clear" w:color="auto" w:fill="C5F0FF" w:themeFill="accent2" w:themeFillTint="33"/>
      <w:ind w:left="720"/>
    </w:pPr>
    <w:rPr>
      <w:rFonts w:cs="Arabic Transparent"/>
      <w:sz w:val="17"/>
      <w:szCs w:val="17"/>
    </w:rPr>
  </w:style>
  <w:style w:type="paragraph" w:customStyle="1" w:styleId="Schedule">
    <w:name w:val="Schedule"/>
    <w:basedOn w:val="BodyText"/>
    <w:next w:val="BodyText"/>
    <w:qFormat/>
    <w:pPr>
      <w:keepNext/>
      <w:numPr>
        <w:numId w:val="2"/>
      </w:numPr>
      <w:outlineLvl w:val="0"/>
    </w:pPr>
    <w:rPr>
      <w:b/>
      <w:bCs/>
      <w:sz w:val="28"/>
      <w:szCs w:val="32"/>
    </w:rPr>
  </w:style>
  <w:style w:type="paragraph" w:customStyle="1" w:styleId="Part">
    <w:name w:val="Part"/>
    <w:basedOn w:val="BodyText"/>
    <w:next w:val="BodyText"/>
    <w:uiPriority w:val="31"/>
    <w:qFormat/>
    <w:pPr>
      <w:keepNext/>
      <w:numPr>
        <w:ilvl w:val="2"/>
        <w:numId w:val="2"/>
      </w:numPr>
      <w:outlineLvl w:val="1"/>
    </w:pPr>
    <w:rPr>
      <w:b/>
      <w:bCs/>
      <w:sz w:val="24"/>
      <w:szCs w:val="28"/>
    </w:rPr>
  </w:style>
  <w:style w:type="paragraph" w:customStyle="1" w:styleId="Sch1Number">
    <w:name w:val="Sch 1 Number"/>
    <w:basedOn w:val="BodyText"/>
    <w:uiPriority w:val="31"/>
    <w:qFormat/>
    <w:pPr>
      <w:numPr>
        <w:ilvl w:val="3"/>
        <w:numId w:val="2"/>
      </w:numPr>
    </w:pPr>
  </w:style>
  <w:style w:type="paragraph" w:customStyle="1" w:styleId="Sch2Number">
    <w:name w:val="Sch 2 Number"/>
    <w:basedOn w:val="BodyText"/>
    <w:uiPriority w:val="31"/>
    <w:qFormat/>
    <w:pPr>
      <w:numPr>
        <w:ilvl w:val="4"/>
        <w:numId w:val="2"/>
      </w:numPr>
    </w:pPr>
  </w:style>
  <w:style w:type="paragraph" w:customStyle="1" w:styleId="Sch3Number">
    <w:name w:val="Sch 3 Number"/>
    <w:basedOn w:val="BodyText"/>
    <w:uiPriority w:val="31"/>
    <w:pPr>
      <w:numPr>
        <w:ilvl w:val="5"/>
        <w:numId w:val="2"/>
      </w:numPr>
    </w:pPr>
  </w:style>
  <w:style w:type="paragraph" w:customStyle="1" w:styleId="Sch4Number">
    <w:name w:val="Sch 4 Number"/>
    <w:basedOn w:val="BodyText"/>
    <w:uiPriority w:val="31"/>
    <w:qFormat/>
    <w:pPr>
      <w:numPr>
        <w:ilvl w:val="6"/>
        <w:numId w:val="2"/>
      </w:numPr>
    </w:pPr>
  </w:style>
  <w:style w:type="paragraph" w:customStyle="1" w:styleId="Sch5Number">
    <w:name w:val="Sch 5 Number"/>
    <w:basedOn w:val="BodyText"/>
    <w:uiPriority w:val="31"/>
    <w:pPr>
      <w:numPr>
        <w:ilvl w:val="7"/>
        <w:numId w:val="2"/>
      </w:numPr>
    </w:pPr>
  </w:style>
  <w:style w:type="paragraph" w:customStyle="1" w:styleId="Sch6Number">
    <w:name w:val="Sch 6 Number"/>
    <w:basedOn w:val="BodyText"/>
    <w:uiPriority w:val="31"/>
    <w:pPr>
      <w:numPr>
        <w:ilvl w:val="8"/>
        <w:numId w:val="2"/>
      </w:numPr>
    </w:pPr>
  </w:style>
  <w:style w:type="paragraph" w:customStyle="1" w:styleId="SubSchedule">
    <w:name w:val="Sub Schedule"/>
    <w:basedOn w:val="BodyText"/>
    <w:next w:val="BodyText"/>
    <w:uiPriority w:val="31"/>
    <w:pPr>
      <w:keepNext/>
      <w:numPr>
        <w:ilvl w:val="1"/>
        <w:numId w:val="2"/>
      </w:numPr>
      <w:outlineLvl w:val="1"/>
    </w:pPr>
    <w:rPr>
      <w:b/>
      <w:bCs/>
      <w:sz w:val="24"/>
      <w:szCs w:val="28"/>
    </w:rPr>
  </w:style>
  <w:style w:type="paragraph" w:customStyle="1" w:styleId="Appendix">
    <w:name w:val="Appendix"/>
    <w:basedOn w:val="BodyText"/>
    <w:next w:val="BodyText"/>
    <w:uiPriority w:val="37"/>
    <w:qFormat/>
    <w:pPr>
      <w:keepNext/>
      <w:numPr>
        <w:numId w:val="7"/>
      </w:numPr>
      <w:outlineLvl w:val="0"/>
    </w:pPr>
    <w:rPr>
      <w:b/>
      <w:bCs/>
      <w:sz w:val="28"/>
      <w:szCs w:val="32"/>
    </w:rPr>
  </w:style>
  <w:style w:type="paragraph" w:customStyle="1" w:styleId="Execution">
    <w:name w:val="Execution"/>
    <w:basedOn w:val="BodyText"/>
    <w:uiPriority w:val="39"/>
  </w:style>
  <w:style w:type="numbering" w:customStyle="1" w:styleId="MainNumbering">
    <w:name w:val="Main Numbering"/>
    <w:uiPriority w:val="99"/>
    <w:pPr>
      <w:numPr>
        <w:numId w:val="9"/>
      </w:numPr>
    </w:pPr>
  </w:style>
  <w:style w:type="numbering" w:customStyle="1" w:styleId="Schedules">
    <w:name w:val="Schedules"/>
    <w:uiPriority w:val="99"/>
    <w:pPr>
      <w:numPr>
        <w:numId w:val="2"/>
      </w:numPr>
    </w:pPr>
  </w:style>
  <w:style w:type="paragraph" w:customStyle="1" w:styleId="BodyTextBold">
    <w:name w:val="Body Text Bold"/>
    <w:basedOn w:val="BodyText"/>
    <w:uiPriority w:val="19"/>
    <w:pPr>
      <w:keepNext/>
    </w:pPr>
    <w:rPr>
      <w:b/>
      <w:bCs/>
    </w:rPr>
  </w:style>
  <w:style w:type="paragraph" w:customStyle="1" w:styleId="BodyText1Bold">
    <w:name w:val="Body Text 1 Bold"/>
    <w:basedOn w:val="BodyText1"/>
    <w:uiPriority w:val="19"/>
    <w:pPr>
      <w:keepNext/>
    </w:pPr>
    <w:rPr>
      <w:b/>
      <w:bCs/>
    </w:rPr>
  </w:style>
  <w:style w:type="numbering" w:customStyle="1" w:styleId="Definitions">
    <w:name w:val="Definitions"/>
    <w:uiPriority w:val="99"/>
    <w:pPr>
      <w:numPr>
        <w:numId w:val="3"/>
      </w:numPr>
    </w:pPr>
  </w:style>
  <w:style w:type="numbering" w:customStyle="1" w:styleId="Parties">
    <w:name w:val="Parties"/>
    <w:uiPriority w:val="99"/>
    <w:pPr>
      <w:numPr>
        <w:numId w:val="4"/>
      </w:numPr>
    </w:pPr>
  </w:style>
  <w:style w:type="paragraph" w:customStyle="1" w:styleId="Level3Heading">
    <w:name w:val="Level 3 Heading"/>
    <w:basedOn w:val="Level3Number"/>
    <w:next w:val="BodyText1"/>
    <w:uiPriority w:val="19"/>
    <w:pPr>
      <w:keepNext/>
      <w:outlineLvl w:val="2"/>
    </w:pPr>
    <w:rPr>
      <w:b/>
      <w:bCs/>
    </w:rPr>
  </w:style>
  <w:style w:type="paragraph" w:customStyle="1" w:styleId="Level2Heading">
    <w:name w:val="Level 2 Heading"/>
    <w:basedOn w:val="Level2Number"/>
    <w:next w:val="BodyText1"/>
    <w:uiPriority w:val="19"/>
    <w:qFormat/>
    <w:pPr>
      <w:keepNext/>
      <w:outlineLvl w:val="1"/>
    </w:pPr>
    <w:rPr>
      <w:b/>
      <w:bCs/>
    </w:rPr>
  </w:style>
  <w:style w:type="paragraph" w:customStyle="1" w:styleId="Level1Number">
    <w:name w:val="Level 1 Number"/>
    <w:basedOn w:val="Level1Heading"/>
    <w:uiPriority w:val="19"/>
    <w:pPr>
      <w:keepNext w:val="0"/>
      <w:outlineLvl w:val="9"/>
    </w:pPr>
    <w:rPr>
      <w:b w:val="0"/>
      <w:bCs w:val="0"/>
      <w:sz w:val="20"/>
      <w:szCs w:val="22"/>
    </w:rPr>
  </w:style>
  <w:style w:type="paragraph" w:customStyle="1" w:styleId="Level4Heading">
    <w:name w:val="Level 4 Heading"/>
    <w:basedOn w:val="Level4Number"/>
    <w:next w:val="BodyText2"/>
    <w:uiPriority w:val="19"/>
    <w:pPr>
      <w:keepNext/>
    </w:pPr>
    <w:rPr>
      <w:b/>
    </w:rPr>
  </w:style>
  <w:style w:type="paragraph" w:customStyle="1" w:styleId="Sch1Heading">
    <w:name w:val="Sch 1 Heading"/>
    <w:basedOn w:val="Sch1Number"/>
    <w:next w:val="BodyText1"/>
    <w:uiPriority w:val="79"/>
    <w:qFormat/>
    <w:pPr>
      <w:keepNext/>
      <w:outlineLvl w:val="2"/>
    </w:pPr>
    <w:rPr>
      <w:b/>
      <w:bCs/>
      <w:sz w:val="22"/>
      <w:szCs w:val="24"/>
    </w:rPr>
  </w:style>
  <w:style w:type="paragraph" w:customStyle="1" w:styleId="Sch2Heading">
    <w:name w:val="Sch 2 Heading"/>
    <w:basedOn w:val="Sch2Number"/>
    <w:next w:val="BodyText1"/>
    <w:uiPriority w:val="31"/>
    <w:pPr>
      <w:keepNext/>
    </w:pPr>
    <w:rPr>
      <w:b/>
      <w:bCs/>
    </w:rPr>
  </w:style>
  <w:style w:type="paragraph" w:customStyle="1" w:styleId="Sch3Heading">
    <w:name w:val="Sch 3 Heading"/>
    <w:basedOn w:val="Sch3Number"/>
    <w:next w:val="BodyText1"/>
    <w:uiPriority w:val="31"/>
    <w:pPr>
      <w:keepNext/>
    </w:pPr>
    <w:rPr>
      <w:b/>
    </w:rPr>
  </w:style>
  <w:style w:type="paragraph" w:customStyle="1" w:styleId="Sch4Heading">
    <w:name w:val="Sch 4 Heading"/>
    <w:basedOn w:val="Sch4Number"/>
    <w:next w:val="BodyText2"/>
    <w:uiPriority w:val="31"/>
    <w:pPr>
      <w:keepNext/>
    </w:pPr>
    <w:rPr>
      <w:b/>
    </w:rPr>
  </w:style>
  <w:style w:type="character" w:customStyle="1" w:styleId="DefinitionTerm">
    <w:name w:val="Definition Term"/>
    <w:basedOn w:val="DefaultParagraphFont"/>
    <w:uiPriority w:val="21"/>
    <w:rPr>
      <w:b/>
      <w:bC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DocumentName">
    <w:name w:val="Document Name"/>
    <w:basedOn w:val="BodyText"/>
    <w:next w:val="IntroHeading"/>
    <w:uiPriority w:val="9"/>
    <w:pPr>
      <w:outlineLvl w:val="0"/>
    </w:pPr>
    <w:rPr>
      <w:b/>
      <w:bCs/>
      <w:sz w:val="28"/>
      <w:szCs w:val="32"/>
    </w:rPr>
  </w:style>
  <w:style w:type="paragraph" w:customStyle="1" w:styleId="BodyTextSmall">
    <w:name w:val="Body Text Small"/>
    <w:basedOn w:val="BodyText"/>
    <w:uiPriority w:val="19"/>
    <w:rPr>
      <w:sz w:val="18"/>
    </w:rPr>
  </w:style>
  <w:style w:type="paragraph" w:customStyle="1" w:styleId="Bullet">
    <w:name w:val="Bullet"/>
    <w:basedOn w:val="BodyText"/>
    <w:uiPriority w:val="21"/>
    <w:qFormat/>
    <w:pPr>
      <w:numPr>
        <w:numId w:val="5"/>
      </w:numPr>
    </w:pPr>
  </w:style>
  <w:style w:type="paragraph" w:customStyle="1" w:styleId="Bullet1">
    <w:name w:val="Bullet 1"/>
    <w:basedOn w:val="BodyText"/>
    <w:uiPriority w:val="21"/>
    <w:pPr>
      <w:numPr>
        <w:ilvl w:val="1"/>
        <w:numId w:val="5"/>
      </w:numPr>
    </w:pPr>
  </w:style>
  <w:style w:type="paragraph" w:customStyle="1" w:styleId="Bullet2">
    <w:name w:val="Bullet 2"/>
    <w:basedOn w:val="BodyText"/>
    <w:uiPriority w:val="21"/>
    <w:pPr>
      <w:numPr>
        <w:ilvl w:val="2"/>
        <w:numId w:val="5"/>
      </w:numPr>
    </w:pPr>
  </w:style>
  <w:style w:type="paragraph" w:customStyle="1" w:styleId="Bullet3">
    <w:name w:val="Bullet 3"/>
    <w:basedOn w:val="BodyText"/>
    <w:uiPriority w:val="21"/>
    <w:pPr>
      <w:numPr>
        <w:ilvl w:val="3"/>
        <w:numId w:val="5"/>
      </w:numPr>
    </w:pPr>
  </w:style>
  <w:style w:type="paragraph" w:customStyle="1" w:styleId="Bullet4">
    <w:name w:val="Bullet 4"/>
    <w:basedOn w:val="BodyText"/>
    <w:uiPriority w:val="21"/>
    <w:pPr>
      <w:numPr>
        <w:ilvl w:val="4"/>
        <w:numId w:val="5"/>
      </w:numPr>
    </w:pPr>
  </w:style>
  <w:style w:type="numbering" w:customStyle="1" w:styleId="Bullets">
    <w:name w:val="Bullets"/>
    <w:uiPriority w:val="99"/>
    <w:pPr>
      <w:numPr>
        <w:numId w:val="5"/>
      </w:numPr>
    </w:pPr>
  </w:style>
  <w:style w:type="paragraph" w:styleId="TOCHeading">
    <w:name w:val="TOC Heading"/>
    <w:basedOn w:val="BodyText"/>
    <w:next w:val="Normal"/>
    <w:uiPriority w:val="39"/>
    <w:pPr>
      <w:keepNext/>
      <w:pageBreakBefore/>
      <w:outlineLvl w:val="0"/>
    </w:pPr>
    <w:rPr>
      <w:b/>
      <w:bCs/>
      <w:sz w:val="28"/>
      <w:szCs w:val="32"/>
    </w:rPr>
  </w:style>
  <w:style w:type="paragraph" w:customStyle="1" w:styleId="PrecTitle">
    <w:name w:val="PrecTitle"/>
    <w:basedOn w:val="BodyText"/>
    <w:uiPriority w:val="34"/>
    <w:semiHidden/>
    <w:pPr>
      <w:spacing w:before="120" w:after="120"/>
    </w:pPr>
    <w:rPr>
      <w:b/>
      <w:bCs/>
      <w:sz w:val="32"/>
      <w:szCs w:val="34"/>
    </w:rPr>
  </w:style>
  <w:style w:type="paragraph" w:styleId="Footer">
    <w:name w:val="footer"/>
    <w:basedOn w:val="Normal"/>
    <w:link w:val="FooterChar"/>
    <w:pPr>
      <w:tabs>
        <w:tab w:val="center" w:pos="4513"/>
        <w:tab w:val="right" w:pos="9026"/>
      </w:tabs>
    </w:pPr>
    <w:rPr>
      <w:sz w:val="16"/>
      <w:szCs w:val="18"/>
    </w:rPr>
  </w:style>
  <w:style w:type="character" w:customStyle="1" w:styleId="FooterChar">
    <w:name w:val="Footer Char"/>
    <w:basedOn w:val="DefaultParagraphFont"/>
    <w:link w:val="Footer"/>
    <w:rPr>
      <w:sz w:val="16"/>
      <w:szCs w:val="18"/>
    </w:rPr>
  </w:style>
  <w:style w:type="paragraph" w:customStyle="1" w:styleId="Address">
    <w:name w:val="Address"/>
    <w:basedOn w:val="Normal"/>
    <w:uiPriority w:val="39"/>
    <w:rPr>
      <w:rFonts w:cs="Arial"/>
      <w:sz w:val="14"/>
      <w:szCs w:val="16"/>
    </w:rPr>
  </w:style>
  <w:style w:type="paragraph" w:styleId="TOC1">
    <w:name w:val="toc 1"/>
    <w:basedOn w:val="Normal"/>
    <w:next w:val="Normal"/>
    <w:autoRedefine/>
    <w:uiPriority w:val="39"/>
    <w:pPr>
      <w:tabs>
        <w:tab w:val="left" w:pos="720"/>
        <w:tab w:val="right" w:pos="9016"/>
      </w:tabs>
      <w:spacing w:before="160"/>
    </w:pPr>
    <w:rPr>
      <w:b/>
    </w:rPr>
  </w:style>
  <w:style w:type="paragraph" w:styleId="TOC2">
    <w:name w:val="toc 2"/>
    <w:basedOn w:val="Normal"/>
    <w:next w:val="Normal"/>
    <w:autoRedefine/>
    <w:uiPriority w:val="39"/>
    <w:pPr>
      <w:tabs>
        <w:tab w:val="left" w:pos="720"/>
        <w:tab w:val="right" w:pos="9016"/>
      </w:tabs>
      <w:spacing w:after="100"/>
      <w:contextualSpacing/>
    </w:pPr>
  </w:style>
  <w:style w:type="paragraph" w:styleId="TOC3">
    <w:name w:val="toc 3"/>
    <w:basedOn w:val="Normal"/>
    <w:next w:val="Normal"/>
    <w:autoRedefine/>
    <w:uiPriority w:val="39"/>
    <w:unhideWhenUsed/>
    <w:pPr>
      <w:spacing w:after="100"/>
      <w:ind w:left="400"/>
    </w:pPr>
  </w:style>
  <w:style w:type="character" w:styleId="Hyperlink">
    <w:name w:val="Hyperlink"/>
    <w:basedOn w:val="DefaultParagraphFont"/>
    <w:uiPriority w:val="99"/>
    <w:unhideWhenUsed/>
    <w:rPr>
      <w:color w:val="6E2D91" w:themeColor="hyperlink"/>
      <w:u w:val="single"/>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style>
  <w:style w:type="character" w:styleId="PageNumber">
    <w:name w:val="page number"/>
    <w:basedOn w:val="DefaultParagraphFont"/>
    <w:semiHidden/>
  </w:style>
  <w:style w:type="table" w:styleId="TableGrid">
    <w:name w:val="Table Grid"/>
    <w:basedOn w:val="TableNormal"/>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1Char">
    <w:name w:val="Body Text 1 Char"/>
    <w:basedOn w:val="BodyTextChar"/>
    <w:link w:val="BodyText1"/>
    <w:uiPriority w:val="54"/>
    <w:rPr>
      <w:sz w:val="20"/>
    </w:rPr>
  </w:style>
  <w:style w:type="character" w:customStyle="1" w:styleId="NoteChar">
    <w:name w:val="Note Char"/>
    <w:basedOn w:val="BodyTextChar"/>
    <w:link w:val="Note"/>
    <w:uiPriority w:val="19"/>
    <w:rPr>
      <w:rFonts w:ascii="Arial" w:eastAsia="Times New Roman" w:hAnsi="Arial" w:cs="Arabic Transparent"/>
      <w:sz w:val="17"/>
      <w:szCs w:val="17"/>
      <w:shd w:val="clear" w:color="auto" w:fill="C5F0FF" w:themeFill="accent2" w:themeFillTint="33"/>
    </w:rPr>
  </w:style>
  <w:style w:type="table" w:customStyle="1" w:styleId="PrecedentNotes">
    <w:name w:val="Precedent Notes"/>
    <w:basedOn w:val="TableNormal"/>
    <w:uiPriority w:val="99"/>
    <w:pPr>
      <w:spacing w:before="40" w:after="40" w:line="240" w:lineRule="auto"/>
    </w:pPr>
    <w:rPr>
      <w:sz w:val="18"/>
    </w:rPr>
    <w:tblPr>
      <w:tblBorders>
        <w:top w:val="single" w:sz="4" w:space="0" w:color="CECFCB" w:themeColor="background2"/>
        <w:left w:val="single" w:sz="4" w:space="0" w:color="CECFCB" w:themeColor="background2"/>
        <w:bottom w:val="single" w:sz="4" w:space="0" w:color="CECFCB" w:themeColor="background2"/>
        <w:right w:val="single" w:sz="4" w:space="0" w:color="CECFCB" w:themeColor="background2"/>
        <w:insideH w:val="single" w:sz="4" w:space="0" w:color="CECFCB" w:themeColor="background2"/>
        <w:insideV w:val="single" w:sz="4" w:space="0" w:color="CECFCB" w:themeColor="background2"/>
      </w:tblBorders>
    </w:tblPr>
    <w:tblStylePr w:type="firstRow">
      <w:rPr>
        <w:b/>
      </w:rPr>
    </w:tblStylePr>
    <w:tblStylePr w:type="firstCol">
      <w:rPr>
        <w:b/>
      </w:rPr>
    </w:tblStylePr>
  </w:style>
  <w:style w:type="paragraph" w:customStyle="1" w:styleId="Prec1Heading">
    <w:name w:val="Prec 1 Heading"/>
    <w:basedOn w:val="BodyText"/>
    <w:next w:val="BodyText1"/>
    <w:uiPriority w:val="39"/>
    <w:semiHidden/>
    <w:pPr>
      <w:keepNext/>
      <w:numPr>
        <w:numId w:val="6"/>
      </w:numPr>
    </w:pPr>
    <w:rPr>
      <w:b/>
      <w:bCs/>
      <w:sz w:val="22"/>
      <w:szCs w:val="24"/>
    </w:rPr>
  </w:style>
  <w:style w:type="paragraph" w:customStyle="1" w:styleId="Prec2Number">
    <w:name w:val="Prec 2 Number"/>
    <w:basedOn w:val="BodyText"/>
    <w:uiPriority w:val="39"/>
    <w:semiHidden/>
    <w:pPr>
      <w:numPr>
        <w:ilvl w:val="1"/>
        <w:numId w:val="6"/>
      </w:numPr>
    </w:pPr>
  </w:style>
  <w:style w:type="paragraph" w:customStyle="1" w:styleId="Prec3Number">
    <w:name w:val="Prec 3 Number"/>
    <w:basedOn w:val="Prec2Number"/>
    <w:uiPriority w:val="39"/>
    <w:semiHidden/>
    <w:pPr>
      <w:numPr>
        <w:ilvl w:val="2"/>
      </w:numPr>
    </w:pPr>
  </w:style>
  <w:style w:type="numbering" w:customStyle="1" w:styleId="PrecNotes">
    <w:name w:val="Prec Notes"/>
    <w:uiPriority w:val="99"/>
    <w:pPr>
      <w:numPr>
        <w:numId w:val="6"/>
      </w:numPr>
    </w:pPr>
  </w:style>
  <w:style w:type="paragraph" w:customStyle="1" w:styleId="Prec4Number">
    <w:name w:val="Prec 4 Number"/>
    <w:basedOn w:val="BodyText"/>
    <w:uiPriority w:val="39"/>
    <w:semiHidden/>
    <w:pPr>
      <w:numPr>
        <w:ilvl w:val="3"/>
        <w:numId w:val="6"/>
      </w:numPr>
    </w:pPr>
  </w:style>
  <w:style w:type="paragraph" w:customStyle="1" w:styleId="Prec1Number">
    <w:name w:val="Prec 1 Number"/>
    <w:basedOn w:val="Prec1Heading"/>
    <w:uiPriority w:val="39"/>
    <w:semiHidden/>
    <w:pPr>
      <w:keepNext w:val="0"/>
    </w:pPr>
    <w:rPr>
      <w:b w:val="0"/>
      <w:sz w:val="20"/>
    </w:rPr>
  </w:style>
  <w:style w:type="paragraph" w:customStyle="1" w:styleId="Prec2Heading">
    <w:name w:val="Prec 2 Heading"/>
    <w:basedOn w:val="Prec2Number"/>
    <w:next w:val="BodyText1"/>
    <w:uiPriority w:val="39"/>
    <w:semiHidden/>
    <w:pPr>
      <w:keepNext/>
    </w:pPr>
    <w:rPr>
      <w:b/>
      <w:bCs/>
    </w:rPr>
  </w:style>
  <w:style w:type="paragraph" w:customStyle="1" w:styleId="Prec5Number">
    <w:name w:val="Prec 5 Number"/>
    <w:basedOn w:val="BodyText"/>
    <w:uiPriority w:val="39"/>
    <w:semiHidden/>
    <w:pPr>
      <w:numPr>
        <w:ilvl w:val="4"/>
        <w:numId w:val="6"/>
      </w:numPr>
    </w:pPr>
  </w:style>
  <w:style w:type="paragraph" w:customStyle="1" w:styleId="AppPart">
    <w:name w:val="App Part"/>
    <w:basedOn w:val="BodyText"/>
    <w:next w:val="BodyText"/>
    <w:uiPriority w:val="38"/>
    <w:pPr>
      <w:numPr>
        <w:ilvl w:val="1"/>
        <w:numId w:val="7"/>
      </w:numPr>
      <w:outlineLvl w:val="1"/>
    </w:pPr>
    <w:rPr>
      <w:b/>
      <w:sz w:val="22"/>
    </w:rPr>
  </w:style>
  <w:style w:type="paragraph" w:customStyle="1" w:styleId="App1Number">
    <w:name w:val="App 1 Number"/>
    <w:basedOn w:val="BodyText"/>
    <w:uiPriority w:val="39"/>
    <w:pPr>
      <w:numPr>
        <w:ilvl w:val="2"/>
        <w:numId w:val="7"/>
      </w:numPr>
    </w:pPr>
  </w:style>
  <w:style w:type="paragraph" w:customStyle="1" w:styleId="App2Number">
    <w:name w:val="App 2 Number"/>
    <w:basedOn w:val="BodyText"/>
    <w:uiPriority w:val="39"/>
    <w:pPr>
      <w:numPr>
        <w:ilvl w:val="3"/>
        <w:numId w:val="7"/>
      </w:numPr>
    </w:pPr>
  </w:style>
  <w:style w:type="paragraph" w:customStyle="1" w:styleId="App3Number">
    <w:name w:val="App 3 Number"/>
    <w:basedOn w:val="BodyText"/>
    <w:uiPriority w:val="39"/>
    <w:pPr>
      <w:numPr>
        <w:ilvl w:val="4"/>
        <w:numId w:val="7"/>
      </w:numPr>
    </w:pPr>
  </w:style>
  <w:style w:type="paragraph" w:customStyle="1" w:styleId="App4Number">
    <w:name w:val="App 4 Number"/>
    <w:basedOn w:val="BodyText"/>
    <w:uiPriority w:val="39"/>
    <w:pPr>
      <w:numPr>
        <w:ilvl w:val="5"/>
        <w:numId w:val="7"/>
      </w:numPr>
    </w:pPr>
  </w:style>
  <w:style w:type="paragraph" w:customStyle="1" w:styleId="App5Number">
    <w:name w:val="App 5 Number"/>
    <w:basedOn w:val="BodyText"/>
    <w:uiPriority w:val="39"/>
    <w:pPr>
      <w:numPr>
        <w:ilvl w:val="6"/>
        <w:numId w:val="7"/>
      </w:numPr>
    </w:pPr>
  </w:style>
  <w:style w:type="paragraph" w:customStyle="1" w:styleId="App6Number">
    <w:name w:val="App 6 Number"/>
    <w:basedOn w:val="BodyText"/>
    <w:uiPriority w:val="39"/>
    <w:pPr>
      <w:numPr>
        <w:ilvl w:val="7"/>
        <w:numId w:val="7"/>
      </w:numPr>
    </w:pPr>
  </w:style>
  <w:style w:type="paragraph" w:customStyle="1" w:styleId="App1Heading">
    <w:name w:val="App 1 Heading"/>
    <w:basedOn w:val="App1Number"/>
    <w:next w:val="BodyText1"/>
    <w:uiPriority w:val="39"/>
    <w:pPr>
      <w:keepNext/>
    </w:pPr>
    <w:rPr>
      <w:b/>
      <w:bCs/>
    </w:rPr>
  </w:style>
  <w:style w:type="paragraph" w:customStyle="1" w:styleId="App2Heading">
    <w:name w:val="App 2 Heading"/>
    <w:basedOn w:val="App2Number"/>
    <w:next w:val="BodyText1"/>
    <w:uiPriority w:val="39"/>
    <w:pPr>
      <w:keepNext/>
    </w:pPr>
    <w:rPr>
      <w:b/>
      <w:bCs/>
    </w:rPr>
  </w:style>
  <w:style w:type="paragraph" w:customStyle="1" w:styleId="App3Heading">
    <w:name w:val="App 3 Heading"/>
    <w:basedOn w:val="App3Number"/>
    <w:next w:val="BodyText1"/>
    <w:uiPriority w:val="39"/>
    <w:pPr>
      <w:keepNext/>
    </w:pPr>
    <w:rPr>
      <w:b/>
      <w:bCs/>
    </w:rPr>
  </w:style>
  <w:style w:type="numbering" w:customStyle="1" w:styleId="Appendices">
    <w:name w:val="Appendices"/>
    <w:uiPriority w:val="99"/>
    <w:pPr>
      <w:numPr>
        <w:numId w:val="7"/>
      </w:numPr>
    </w:pPr>
  </w:style>
  <w:style w:type="paragraph" w:styleId="TOC9">
    <w:name w:val="toc 9"/>
    <w:basedOn w:val="Normal"/>
    <w:next w:val="Normal"/>
    <w:autoRedefine/>
    <w:uiPriority w:val="39"/>
    <w:semiHidden/>
    <w:pPr>
      <w:spacing w:after="100"/>
      <w:ind w:left="1600"/>
    </w:pPr>
  </w:style>
  <w:style w:type="character" w:styleId="PlaceholderText">
    <w:name w:val="Placeholder Text"/>
    <w:basedOn w:val="DefaultParagraphFont"/>
    <w:uiPriority w:val="99"/>
    <w:semiHidden/>
    <w:rsid w:val="00E54A03"/>
    <w:rPr>
      <w:color w:val="808080"/>
    </w:rPr>
  </w:style>
  <w:style w:type="character" w:customStyle="1" w:styleId="Heading2Char">
    <w:name w:val="Heading 2 Char"/>
    <w:aliases w:val="(1.1 Char,1.2 Char,1.3 etc) Char,2 Char,21 Char,22 Char,23 Char,24 Char,25 Char,2m Char,B Char,B Sub/Bold Char,B Sub/Bold1 Char,Body Text (Reset numbering) Char,H2 Char,L2 Char,Reset numbering Char,Subhead A Char,TF-Overskrit 2 Char"/>
    <w:basedOn w:val="DefaultParagraphFont"/>
    <w:link w:val="Heading2"/>
    <w:rsid w:val="00D128EE"/>
    <w:rPr>
      <w:rFonts w:ascii="Arial" w:eastAsia="Times New Roman" w:hAnsi="Arial" w:cs="Times New Roman"/>
      <w:b/>
    </w:rPr>
  </w:style>
  <w:style w:type="character" w:customStyle="1" w:styleId="Heading3Char">
    <w:name w:val="Heading 3 Char"/>
    <w:aliases w:val="(Alt+3) Char,3 Char,3m Char,3rd Level Char,C Char,C Sub-Sub/Italic Char,C Sub-Sub/Italic1 Char,GPH Heading 3 Char,H3 Char,H31 Char,Head 31 Char,Head 32 Char,HeadC Char,L3 Char,Level 1 - 1 Char,Level 1 - 2 Char,Minor Char,Minor1 Char"/>
    <w:basedOn w:val="DefaultParagraphFont"/>
    <w:link w:val="Heading3"/>
    <w:rsid w:val="00D128EE"/>
    <w:rPr>
      <w:rFonts w:ascii="Arial" w:eastAsia="Times New Roman" w:hAnsi="Arial" w:cs="Times New Roman"/>
    </w:rPr>
  </w:style>
  <w:style w:type="character" w:customStyle="1" w:styleId="Heading4Char">
    <w:name w:val="Heading 4 Char"/>
    <w:aliases w:val="14 Char,141 Char,1411 Char,142 Char,1421 Char,143 Char,4 Char,41 Char,411 Char,42 Char,43 Char,D Sub-Sub/Plain Char,GPH Heading 4 Char,H4 Char,Level 2 - (a) Char,Level 2 - a Char,Map Title Char,Second Level Heading HM Char,Subhead C Char"/>
    <w:basedOn w:val="DefaultParagraphFont"/>
    <w:link w:val="Heading4"/>
    <w:rsid w:val="00D128EE"/>
    <w:rPr>
      <w:rFonts w:ascii="Arial" w:eastAsia="Times New Roman" w:hAnsi="Arial" w:cs="Times New Roman"/>
    </w:rPr>
  </w:style>
  <w:style w:type="character" w:customStyle="1" w:styleId="Heading5Char">
    <w:name w:val="Heading 5 Char"/>
    <w:aliases w:val="(A) Char,Appendix A to X Char,FMH1 Char,H5 Char,Heading 5(unused) Char,Heading 5* Char,Lev 5 Char,Level 3 - (i) Char,Level 3 - i Char,Response Type Char,Response Type1 Char,Response Type2 Char,Response Type3 Char,Response Type4 Char"/>
    <w:basedOn w:val="DefaultParagraphFont"/>
    <w:link w:val="Heading5"/>
    <w:rsid w:val="00D128EE"/>
    <w:rPr>
      <w:rFonts w:ascii="Arial" w:eastAsia="Times New Roman" w:hAnsi="Arial" w:cs="Times New Roman"/>
    </w:rPr>
  </w:style>
  <w:style w:type="character" w:customStyle="1" w:styleId="Heading6Char">
    <w:name w:val="Heading 6 Char"/>
    <w:aliases w:val="(I) Char,5 Char,Blank 2 Char,H6 Char,H6 DO NOT USE Char,H61 Char,H610 Char,H611 Char,H612 Char,H613 Char,H614 Char,H615 Char,H62 Char,H63 Char,H64 Char,H65 Char,H66 Char,H67 Char,H68 Char,H69 Char,Heading 6  Appendix Y &amp; Z Char,Lev 6 Char"/>
    <w:basedOn w:val="DefaultParagraphFont"/>
    <w:link w:val="Heading6"/>
    <w:rsid w:val="00D128EE"/>
    <w:rPr>
      <w:rFonts w:ascii="Arial" w:eastAsia="Times New Roman" w:hAnsi="Arial" w:cs="Times New Roman"/>
    </w:rPr>
  </w:style>
  <w:style w:type="character" w:styleId="FootnoteReference">
    <w:name w:val="footnote reference"/>
    <w:semiHidden/>
    <w:rsid w:val="00D128EE"/>
    <w:rPr>
      <w:vertAlign w:val="superscript"/>
    </w:rPr>
  </w:style>
  <w:style w:type="paragraph" w:styleId="FootnoteText">
    <w:name w:val="footnote text"/>
    <w:aliases w:val="Car"/>
    <w:basedOn w:val="Normal"/>
    <w:link w:val="FootnoteTextChar"/>
    <w:semiHidden/>
    <w:rsid w:val="00D128EE"/>
    <w:rPr>
      <w:sz w:val="18"/>
    </w:rPr>
  </w:style>
  <w:style w:type="character" w:customStyle="1" w:styleId="FootnoteTextChar">
    <w:name w:val="Footnote Text Char"/>
    <w:aliases w:val="Car Char"/>
    <w:basedOn w:val="DefaultParagraphFont"/>
    <w:link w:val="FootnoteText"/>
    <w:semiHidden/>
    <w:rsid w:val="00D128EE"/>
    <w:rPr>
      <w:rFonts w:ascii="Arial" w:eastAsia="Times New Roman" w:hAnsi="Arial" w:cs="Times New Roman"/>
      <w:sz w:val="18"/>
    </w:rPr>
  </w:style>
  <w:style w:type="paragraph" w:customStyle="1" w:styleId="Level1">
    <w:name w:val="Level 1"/>
    <w:basedOn w:val="Normal"/>
    <w:next w:val="Normal"/>
    <w:rsid w:val="00D128EE"/>
    <w:pPr>
      <w:numPr>
        <w:numId w:val="8"/>
      </w:numPr>
      <w:spacing w:after="220"/>
      <w:outlineLvl w:val="0"/>
    </w:pPr>
    <w:rPr>
      <w:b/>
    </w:rPr>
  </w:style>
  <w:style w:type="paragraph" w:customStyle="1" w:styleId="Level2">
    <w:name w:val="Level 2"/>
    <w:aliases w:val="l2"/>
    <w:basedOn w:val="Normal"/>
    <w:qFormat/>
    <w:rsid w:val="00D128EE"/>
    <w:pPr>
      <w:numPr>
        <w:ilvl w:val="1"/>
        <w:numId w:val="8"/>
      </w:numPr>
      <w:tabs>
        <w:tab w:val="left" w:pos="1440"/>
      </w:tabs>
      <w:spacing w:after="220"/>
      <w:outlineLvl w:val="1"/>
    </w:pPr>
  </w:style>
  <w:style w:type="paragraph" w:customStyle="1" w:styleId="Level3">
    <w:name w:val="Level 3"/>
    <w:basedOn w:val="Normal"/>
    <w:qFormat/>
    <w:rsid w:val="00D128EE"/>
    <w:pPr>
      <w:numPr>
        <w:ilvl w:val="2"/>
        <w:numId w:val="8"/>
      </w:numPr>
      <w:spacing w:after="220"/>
      <w:outlineLvl w:val="2"/>
    </w:pPr>
  </w:style>
  <w:style w:type="paragraph" w:customStyle="1" w:styleId="Level4">
    <w:name w:val="Level 4"/>
    <w:basedOn w:val="Normal"/>
    <w:rsid w:val="00D128EE"/>
    <w:pPr>
      <w:numPr>
        <w:ilvl w:val="3"/>
        <w:numId w:val="8"/>
      </w:numPr>
      <w:spacing w:after="220"/>
      <w:outlineLvl w:val="3"/>
    </w:pPr>
  </w:style>
  <w:style w:type="paragraph" w:customStyle="1" w:styleId="annex">
    <w:name w:val="annex"/>
    <w:basedOn w:val="BodyText2"/>
    <w:rsid w:val="00D128EE"/>
    <w:pPr>
      <w:spacing w:after="230"/>
      <w:ind w:left="709"/>
      <w:jc w:val="center"/>
    </w:pPr>
    <w:rPr>
      <w:b/>
      <w:bCs/>
      <w:sz w:val="24"/>
    </w:rPr>
  </w:style>
  <w:style w:type="paragraph" w:customStyle="1" w:styleId="DocID">
    <w:name w:val="DocID"/>
    <w:basedOn w:val="Normal"/>
    <w:next w:val="Normal"/>
    <w:link w:val="DocIDChar"/>
    <w:rsid w:val="00D128EE"/>
    <w:pPr>
      <w:keepNext/>
    </w:pPr>
    <w:rPr>
      <w:rFonts w:cs="Arial"/>
      <w:color w:val="000000"/>
      <w:sz w:val="15"/>
    </w:rPr>
  </w:style>
  <w:style w:type="character" w:customStyle="1" w:styleId="DocIDChar">
    <w:name w:val="DocID Char"/>
    <w:link w:val="DocID"/>
    <w:rsid w:val="00D128EE"/>
    <w:rPr>
      <w:rFonts w:ascii="Arial" w:eastAsia="Times New Roman" w:hAnsi="Arial" w:cs="Arial"/>
      <w:color w:val="000000"/>
      <w:sz w:val="15"/>
    </w:rPr>
  </w:style>
  <w:style w:type="paragraph" w:customStyle="1" w:styleId="MacPacTrailer">
    <w:name w:val="MacPac Trailer"/>
    <w:rsid w:val="00D128EE"/>
    <w:pPr>
      <w:widowControl w:val="0"/>
      <w:spacing w:after="0" w:line="200" w:lineRule="exact"/>
    </w:pPr>
    <w:rPr>
      <w:rFonts w:ascii="Arial" w:eastAsia="Times New Roman" w:hAnsi="Arial" w:cs="Arial"/>
      <w:sz w:val="16"/>
      <w:szCs w:val="22"/>
    </w:rPr>
  </w:style>
  <w:style w:type="character" w:styleId="CommentReference">
    <w:name w:val="annotation reference"/>
    <w:uiPriority w:val="99"/>
    <w:rsid w:val="00E10BB5"/>
    <w:rPr>
      <w:sz w:val="16"/>
      <w:szCs w:val="16"/>
    </w:rPr>
  </w:style>
  <w:style w:type="paragraph" w:styleId="ListParagraph">
    <w:name w:val="List Paragraph"/>
    <w:aliases w:val="Page title"/>
    <w:basedOn w:val="Normal"/>
    <w:link w:val="ListParagraphChar"/>
    <w:uiPriority w:val="34"/>
    <w:qFormat/>
    <w:rsid w:val="00E10BB5"/>
    <w:pPr>
      <w:suppressAutoHyphens/>
      <w:contextualSpacing/>
    </w:pPr>
    <w:rPr>
      <w:rFonts w:ascii="VAG Rounded LT Pro Light" w:hAnsi="VAG Rounded LT Pro Light"/>
      <w:sz w:val="48"/>
      <w:lang w:eastAsia="ja-JP"/>
    </w:rPr>
  </w:style>
  <w:style w:type="paragraph" w:customStyle="1" w:styleId="Sched3L1">
    <w:name w:val="Sched3L1"/>
    <w:basedOn w:val="Heading1"/>
    <w:rsid w:val="00E10BB5"/>
    <w:pPr>
      <w:keepLines w:val="0"/>
      <w:tabs>
        <w:tab w:val="left" w:pos="851"/>
        <w:tab w:val="num" w:pos="1440"/>
      </w:tabs>
      <w:spacing w:before="240"/>
      <w:ind w:left="1440" w:hanging="1080"/>
    </w:pPr>
    <w:rPr>
      <w:rFonts w:ascii="SimSun" w:eastAsia="SimSun" w:hAnsi="SimSun" w:cs="SimSun"/>
      <w:caps/>
      <w:color w:val="auto"/>
      <w:sz w:val="24"/>
      <w:szCs w:val="20"/>
    </w:rPr>
  </w:style>
  <w:style w:type="character" w:styleId="Strong">
    <w:name w:val="Strong"/>
    <w:basedOn w:val="DefaultParagraphFont"/>
    <w:uiPriority w:val="99"/>
    <w:qFormat/>
    <w:rsid w:val="00E10BB5"/>
    <w:rPr>
      <w:b/>
      <w:bCs/>
    </w:rPr>
  </w:style>
  <w:style w:type="character" w:customStyle="1" w:styleId="Bodytext0">
    <w:name w:val="Body text_"/>
    <w:basedOn w:val="DefaultParagraphFont"/>
    <w:link w:val="BodyText30"/>
    <w:rsid w:val="00933EED"/>
    <w:rPr>
      <w:sz w:val="16"/>
      <w:szCs w:val="16"/>
      <w:shd w:val="clear" w:color="auto" w:fill="FFFFFF"/>
    </w:rPr>
  </w:style>
  <w:style w:type="paragraph" w:customStyle="1" w:styleId="BodyText30">
    <w:name w:val="Body Text3"/>
    <w:basedOn w:val="Normal"/>
    <w:link w:val="Bodytext0"/>
    <w:rsid w:val="00933EED"/>
    <w:pPr>
      <w:widowControl w:val="0"/>
      <w:shd w:val="clear" w:color="auto" w:fill="FFFFFF"/>
      <w:spacing w:line="235" w:lineRule="exact"/>
      <w:ind w:hanging="420"/>
      <w:jc w:val="both"/>
    </w:pPr>
    <w:rPr>
      <w:rFonts w:asciiTheme="minorHAnsi" w:eastAsiaTheme="minorHAnsi" w:hAnsiTheme="minorHAnsi" w:cstheme="minorBidi"/>
      <w:sz w:val="16"/>
      <w:szCs w:val="16"/>
    </w:rPr>
  </w:style>
  <w:style w:type="character" w:customStyle="1" w:styleId="wacimagecontainer">
    <w:name w:val="wacimagecontainer"/>
    <w:basedOn w:val="DefaultParagraphFont"/>
    <w:rsid w:val="000568E9"/>
  </w:style>
  <w:style w:type="character" w:customStyle="1" w:styleId="ListParagraphChar">
    <w:name w:val="List Paragraph Char"/>
    <w:aliases w:val="Page title Char"/>
    <w:basedOn w:val="DefaultParagraphFont"/>
    <w:link w:val="ListParagraph"/>
    <w:uiPriority w:val="34"/>
    <w:locked/>
    <w:rsid w:val="00E0177B"/>
    <w:rPr>
      <w:rFonts w:ascii="VAG Rounded LT Pro Light" w:eastAsia="Times New Roman" w:hAnsi="VAG Rounded LT Pro Light" w:cs="Times New Roman"/>
      <w:sz w:val="48"/>
      <w:lang w:eastAsia="ja-JP"/>
    </w:rPr>
  </w:style>
  <w:style w:type="character" w:styleId="UnresolvedMention">
    <w:name w:val="Unresolved Mention"/>
    <w:basedOn w:val="DefaultParagraphFont"/>
    <w:uiPriority w:val="99"/>
    <w:semiHidden/>
    <w:unhideWhenUsed/>
    <w:rsid w:val="00CC3A5C"/>
    <w:rPr>
      <w:color w:val="605E5C"/>
      <w:shd w:val="clear" w:color="auto" w:fill="E1DFDD"/>
    </w:rPr>
  </w:style>
  <w:style w:type="character" w:styleId="FollowedHyperlink">
    <w:name w:val="FollowedHyperlink"/>
    <w:basedOn w:val="DefaultParagraphFont"/>
    <w:uiPriority w:val="99"/>
    <w:semiHidden/>
    <w:unhideWhenUsed/>
    <w:rsid w:val="00220F18"/>
    <w:rPr>
      <w:color w:val="52216C" w:themeColor="followedHyperlink"/>
      <w:u w:val="single"/>
    </w:rPr>
  </w:style>
  <w:style w:type="paragraph" w:styleId="CommentText">
    <w:name w:val="annotation text"/>
    <w:basedOn w:val="Normal"/>
    <w:link w:val="CommentTextChar"/>
    <w:uiPriority w:val="99"/>
    <w:unhideWhenUsed/>
    <w:rsid w:val="00211A72"/>
  </w:style>
  <w:style w:type="character" w:customStyle="1" w:styleId="CommentTextChar">
    <w:name w:val="Comment Text Char"/>
    <w:basedOn w:val="DefaultParagraphFont"/>
    <w:link w:val="CommentText"/>
    <w:uiPriority w:val="99"/>
    <w:rsid w:val="00211A72"/>
    <w:rPr>
      <w:rFonts w:ascii="Arial" w:eastAsia="Times New Roman" w:hAnsi="Arial" w:cs="Times New Roman"/>
    </w:rPr>
  </w:style>
  <w:style w:type="paragraph" w:styleId="CommentSubject">
    <w:name w:val="annotation subject"/>
    <w:basedOn w:val="CommentText"/>
    <w:next w:val="CommentText"/>
    <w:link w:val="CommentSubjectChar"/>
    <w:uiPriority w:val="99"/>
    <w:semiHidden/>
    <w:unhideWhenUsed/>
    <w:rsid w:val="00211A72"/>
    <w:rPr>
      <w:b/>
      <w:bCs/>
    </w:rPr>
  </w:style>
  <w:style w:type="character" w:customStyle="1" w:styleId="CommentSubjectChar">
    <w:name w:val="Comment Subject Char"/>
    <w:basedOn w:val="CommentTextChar"/>
    <w:link w:val="CommentSubject"/>
    <w:uiPriority w:val="99"/>
    <w:semiHidden/>
    <w:rsid w:val="00211A72"/>
    <w:rPr>
      <w:rFonts w:ascii="Arial" w:eastAsia="Times New Roman" w:hAnsi="Arial" w:cs="Times New Roman"/>
      <w:b/>
      <w:bCs/>
    </w:rPr>
  </w:style>
  <w:style w:type="paragraph" w:styleId="Revision">
    <w:name w:val="Revision"/>
    <w:hidden/>
    <w:uiPriority w:val="99"/>
    <w:semiHidden/>
    <w:rsid w:val="008D3C13"/>
    <w:pPr>
      <w:spacing w:after="0" w:line="240" w:lineRule="auto"/>
    </w:pPr>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05098">
      <w:bodyDiv w:val="1"/>
      <w:marLeft w:val="0"/>
      <w:marRight w:val="0"/>
      <w:marTop w:val="0"/>
      <w:marBottom w:val="0"/>
      <w:divBdr>
        <w:top w:val="none" w:sz="0" w:space="0" w:color="auto"/>
        <w:left w:val="none" w:sz="0" w:space="0" w:color="auto"/>
        <w:bottom w:val="none" w:sz="0" w:space="0" w:color="auto"/>
        <w:right w:val="none" w:sz="0" w:space="0" w:color="auto"/>
      </w:divBdr>
    </w:div>
    <w:div w:id="1036924700">
      <w:bodyDiv w:val="1"/>
      <w:marLeft w:val="0"/>
      <w:marRight w:val="0"/>
      <w:marTop w:val="0"/>
      <w:marBottom w:val="0"/>
      <w:divBdr>
        <w:top w:val="none" w:sz="0" w:space="0" w:color="auto"/>
        <w:left w:val="none" w:sz="0" w:space="0" w:color="auto"/>
        <w:bottom w:val="none" w:sz="0" w:space="0" w:color="auto"/>
        <w:right w:val="none" w:sz="0" w:space="0" w:color="auto"/>
      </w:divBdr>
    </w:div>
    <w:div w:id="1279801684">
      <w:bodyDiv w:val="1"/>
      <w:marLeft w:val="0"/>
      <w:marRight w:val="0"/>
      <w:marTop w:val="0"/>
      <w:marBottom w:val="0"/>
      <w:divBdr>
        <w:top w:val="none" w:sz="0" w:space="0" w:color="auto"/>
        <w:left w:val="none" w:sz="0" w:space="0" w:color="auto"/>
        <w:bottom w:val="none" w:sz="0" w:space="0" w:color="auto"/>
        <w:right w:val="none" w:sz="0" w:space="0" w:color="auto"/>
      </w:divBdr>
    </w:div>
    <w:div w:id="1407335657">
      <w:bodyDiv w:val="1"/>
      <w:marLeft w:val="0"/>
      <w:marRight w:val="0"/>
      <w:marTop w:val="0"/>
      <w:marBottom w:val="0"/>
      <w:divBdr>
        <w:top w:val="none" w:sz="0" w:space="0" w:color="auto"/>
        <w:left w:val="none" w:sz="0" w:space="0" w:color="auto"/>
        <w:bottom w:val="none" w:sz="0" w:space="0" w:color="auto"/>
        <w:right w:val="none" w:sz="0" w:space="0" w:color="auto"/>
      </w:divBdr>
    </w:div>
    <w:div w:id="1580098805">
      <w:bodyDiv w:val="1"/>
      <w:marLeft w:val="0"/>
      <w:marRight w:val="0"/>
      <w:marTop w:val="0"/>
      <w:marBottom w:val="0"/>
      <w:divBdr>
        <w:top w:val="none" w:sz="0" w:space="0" w:color="auto"/>
        <w:left w:val="none" w:sz="0" w:space="0" w:color="auto"/>
        <w:bottom w:val="none" w:sz="0" w:space="0" w:color="auto"/>
        <w:right w:val="none" w:sz="0" w:space="0" w:color="auto"/>
      </w:divBdr>
    </w:div>
    <w:div w:id="1731227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mas.gov.sg/regulation/guidelines/guidelines-on-outsourcing-ban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DEBFA2C9E431A8CA8D437203CC909"/>
        <w:category>
          <w:name w:val="General"/>
          <w:gallery w:val="placeholder"/>
        </w:category>
        <w:types>
          <w:type w:val="bbPlcHdr"/>
        </w:types>
        <w:behaviors>
          <w:behavior w:val="content"/>
        </w:behaviors>
        <w:guid w:val="{D9597BEC-BF48-4C3A-9AD8-B475B464977C}"/>
      </w:docPartPr>
      <w:docPartBody>
        <w:p w:rsidR="00B46C0F" w:rsidRDefault="00B46C0F"/>
      </w:docPartBody>
    </w:docPart>
    <w:docPart>
      <w:docPartPr>
        <w:name w:val="8D5562405C4047B68A57B81B283E3E5D"/>
        <w:category>
          <w:name w:val="General"/>
          <w:gallery w:val="placeholder"/>
        </w:category>
        <w:types>
          <w:type w:val="bbPlcHdr"/>
        </w:types>
        <w:behaviors>
          <w:behavior w:val="content"/>
        </w:behaviors>
        <w:guid w:val="{C4E1D415-A245-4898-9959-5A9BBFA88C33}"/>
      </w:docPartPr>
      <w:docPartBody>
        <w:p w:rsidR="00EC443F" w:rsidRDefault="00EC443F"/>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C0F"/>
    <w:rsid w:val="00033899"/>
    <w:rsid w:val="00043B73"/>
    <w:rsid w:val="000F3AD1"/>
    <w:rsid w:val="00103A35"/>
    <w:rsid w:val="00104ADF"/>
    <w:rsid w:val="001172E9"/>
    <w:rsid w:val="002132E1"/>
    <w:rsid w:val="00253A4B"/>
    <w:rsid w:val="00262B71"/>
    <w:rsid w:val="00263DEB"/>
    <w:rsid w:val="002971F1"/>
    <w:rsid w:val="002974AC"/>
    <w:rsid w:val="00354E32"/>
    <w:rsid w:val="003C2913"/>
    <w:rsid w:val="003C3224"/>
    <w:rsid w:val="004258AB"/>
    <w:rsid w:val="0043253F"/>
    <w:rsid w:val="00491412"/>
    <w:rsid w:val="004B6DD3"/>
    <w:rsid w:val="004D07A3"/>
    <w:rsid w:val="00674EA1"/>
    <w:rsid w:val="00692DFD"/>
    <w:rsid w:val="006A2421"/>
    <w:rsid w:val="00727555"/>
    <w:rsid w:val="007603F8"/>
    <w:rsid w:val="0077086C"/>
    <w:rsid w:val="007D1040"/>
    <w:rsid w:val="00804157"/>
    <w:rsid w:val="0082599E"/>
    <w:rsid w:val="00830FA3"/>
    <w:rsid w:val="008C4366"/>
    <w:rsid w:val="008F63A5"/>
    <w:rsid w:val="009079F4"/>
    <w:rsid w:val="00921997"/>
    <w:rsid w:val="009E0DEC"/>
    <w:rsid w:val="00A62377"/>
    <w:rsid w:val="00AE11F0"/>
    <w:rsid w:val="00B12506"/>
    <w:rsid w:val="00B46C0F"/>
    <w:rsid w:val="00B57643"/>
    <w:rsid w:val="00C14181"/>
    <w:rsid w:val="00C15749"/>
    <w:rsid w:val="00C34C4C"/>
    <w:rsid w:val="00C36DDD"/>
    <w:rsid w:val="00D32A3B"/>
    <w:rsid w:val="00E56B54"/>
    <w:rsid w:val="00EC443F"/>
    <w:rsid w:val="00ED1A08"/>
    <w:rsid w:val="00EF063E"/>
    <w:rsid w:val="00F60CC9"/>
    <w:rsid w:val="00F81DB8"/>
    <w:rsid w:val="00F920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Dentons">
  <a:themeElements>
    <a:clrScheme name="Dentons">
      <a:dk1>
        <a:sysClr val="windowText" lastClr="000000"/>
      </a:dk1>
      <a:lt1>
        <a:sysClr val="window" lastClr="FFFFFF"/>
      </a:lt1>
      <a:dk2>
        <a:srgbClr val="6C6F70"/>
      </a:dk2>
      <a:lt2>
        <a:srgbClr val="CECFCB"/>
      </a:lt2>
      <a:accent1>
        <a:srgbClr val="6E2D91"/>
      </a:accent1>
      <a:accent2>
        <a:srgbClr val="00A9E0"/>
      </a:accent2>
      <a:accent3>
        <a:srgbClr val="EEAF30"/>
      </a:accent3>
      <a:accent4>
        <a:srgbClr val="D52B1E"/>
      </a:accent4>
      <a:accent5>
        <a:srgbClr val="00A599"/>
      </a:accent5>
      <a:accent6>
        <a:srgbClr val="34B233"/>
      </a:accent6>
      <a:hlink>
        <a:srgbClr val="6E2D91"/>
      </a:hlink>
      <a:folHlink>
        <a:srgbClr val="52216C"/>
      </a:folHlink>
    </a:clrScheme>
    <a:fontScheme name="Denton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37557620417545AA8E6E7DE5AC6899" ma:contentTypeVersion="7" ma:contentTypeDescription="Create a new document." ma:contentTypeScope="" ma:versionID="7fa7156d575938c28964a133a6d6431c">
  <xsd:schema xmlns:xsd="http://www.w3.org/2001/XMLSchema" xmlns:xs="http://www.w3.org/2001/XMLSchema" xmlns:p="http://schemas.microsoft.com/office/2006/metadata/properties" xmlns:ns2="52297a38-db6f-48f1-95ec-151eb145400e" targetNamespace="http://schemas.microsoft.com/office/2006/metadata/properties" ma:root="true" ma:fieldsID="1dcefe9a6327a5e82571a40d31734a11" ns2:_="">
    <xsd:import namespace="52297a38-db6f-48f1-95ec-151eb14540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97a38-db6f-48f1-95ec-151eb14540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roperties xmlns="http://www.imanage.com/work/xmlschema">
  <documentid>NATDOCS!80478483.1</documentid>
  <senderid>MATT.WANFORD</senderid>
  <senderemail>MATT.WANFORD@DENTONS.COM</senderemail>
  <lastmodified>2024-07-29T13:27:00.0000000-04:00</lastmodified>
  <database>NATDOCS</database>
</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3483AB-2A24-4882-A63C-EE3DD38D6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97a38-db6f-48f1-95ec-151eb1454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AD41E-6EEB-4F58-82C4-7918C73D027E}">
  <ds:schemaRefs>
    <ds:schemaRef ds:uri="http://www.imanage.com/work/xmlschema"/>
  </ds:schemaRefs>
</ds:datastoreItem>
</file>

<file path=customXml/itemProps3.xml><?xml version="1.0" encoding="utf-8"?>
<ds:datastoreItem xmlns:ds="http://schemas.openxmlformats.org/officeDocument/2006/customXml" ds:itemID="{760E3E3A-A980-45FF-BA6D-0993C136BB1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1BED9D-55C1-4F7C-A74C-3FB593ED4C81}">
  <ds:schemaRefs>
    <ds:schemaRef ds:uri="http://schemas.microsoft.com/sharepoint/v3/contenttype/forms"/>
  </ds:schemaRefs>
</ds:datastoreItem>
</file>

<file path=customXml/itemProps5.xml><?xml version="1.0" encoding="utf-8"?>
<ds:datastoreItem xmlns:ds="http://schemas.openxmlformats.org/officeDocument/2006/customXml" ds:itemID="{84B23774-D215-483E-90A5-95024BAB4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3676</Words>
  <Characters>20957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77092266.3</vt:lpstr>
    </vt:vector>
  </TitlesOfParts>
  <Company>Dentons</Company>
  <LinksUpToDate>false</LinksUpToDate>
  <CharactersWithSpaces>24584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77092266.3</dc:title>
  <dc:creator>Dentons</dc:creator>
  <dc:description>MXTG/SJXS/77092266.3</dc:description>
  <cp:lastModifiedBy>Lok, Wen Bin</cp:lastModifiedBy>
  <cp:revision>3</cp:revision>
  <dcterms:created xsi:type="dcterms:W3CDTF">2026-07-23T07:05:00Z</dcterms:created>
  <dcterms:modified xsi:type="dcterms:W3CDTF">2026-07-23T07:22:00Z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0x0101005237557620417545AA8E6E7DE5AC6899</vt:lpwstr>
  </property>
  <property fmtid="{D5CDD505-2E9C-101B-9397-08002B2CF9AE}" pid="3" name="CUS_DocIDDisableNotifications">
    <vt:lpwstr/>
  </property>
  <property fmtid="{D5CDD505-2E9C-101B-9397-08002B2CF9AE}" pid="4" name="ClassificationContentMarkingFooterShapeIds">
    <vt:lpwstr>1,2,3</vt:lpwstr>
  </property>
  <property fmtid="{D5CDD505-2E9C-101B-9397-08002B2CF9AE}" pid="5" name="ClassificationContentMarkingFooterFontProps">
    <vt:lpwstr>#008000,10,Calibri</vt:lpwstr>
  </property>
  <property fmtid="{D5CDD505-2E9C-101B-9397-08002B2CF9AE}" pid="6" name="ClassificationContentMarkingFooterText">
    <vt:lpwstr>NTAC:3NS-20</vt:lpwstr>
  </property>
  <property fmtid="{D5CDD505-2E9C-101B-9397-08002B2CF9AE}" pid="7" name="MSIP_Label_da3ca9ef-1496-417f-9285-25b5037985b9_Enabled">
    <vt:lpwstr>true</vt:lpwstr>
  </property>
  <property fmtid="{D5CDD505-2E9C-101B-9397-08002B2CF9AE}" pid="8" name="MSIP_Label_da3ca9ef-1496-417f-9285-25b5037985b9_SetDate">
    <vt:lpwstr>2025-02-06T06:05:18Z</vt:lpwstr>
  </property>
  <property fmtid="{D5CDD505-2E9C-101B-9397-08002B2CF9AE}" pid="9" name="MSIP_Label_da3ca9ef-1496-417f-9285-25b5037985b9_Method">
    <vt:lpwstr>Standard</vt:lpwstr>
  </property>
  <property fmtid="{D5CDD505-2E9C-101B-9397-08002B2CF9AE}" pid="10" name="MSIP_Label_da3ca9ef-1496-417f-9285-25b5037985b9_Name">
    <vt:lpwstr>Non-Sensitive Business Use - Footer</vt:lpwstr>
  </property>
  <property fmtid="{D5CDD505-2E9C-101B-9397-08002B2CF9AE}" pid="11" name="MSIP_Label_da3ca9ef-1496-417f-9285-25b5037985b9_SiteId">
    <vt:lpwstr>2434528d-4270-4977-81dd-a6308c1761a3</vt:lpwstr>
  </property>
  <property fmtid="{D5CDD505-2E9C-101B-9397-08002B2CF9AE}" pid="12" name="MSIP_Label_da3ca9ef-1496-417f-9285-25b5037985b9_ActionId">
    <vt:lpwstr>18962f51-4b29-4a60-880b-44746956d5b3</vt:lpwstr>
  </property>
  <property fmtid="{D5CDD505-2E9C-101B-9397-08002B2CF9AE}" pid="13" name="MSIP_Label_da3ca9ef-1496-417f-9285-25b5037985b9_ContentBits">
    <vt:lpwstr>2</vt:lpwstr>
  </property>
</Properties>
</file>