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8F37" w14:textId="1E924C74" w:rsidR="00883B8D" w:rsidRDefault="003130A0" w:rsidP="00E84036">
      <w:pPr>
        <w:spacing w:after="120" w:line="276" w:lineRule="auto"/>
        <w:jc w:val="center"/>
        <w:rPr>
          <w:rFonts w:asciiTheme="minorBidi" w:hAnsiTheme="minorBidi"/>
          <w:b/>
          <w:sz w:val="24"/>
        </w:rPr>
      </w:pPr>
      <w:bookmarkStart w:id="0" w:name="_Hlk163031414"/>
      <w:r>
        <w:rPr>
          <w:rFonts w:asciiTheme="minorBidi" w:hAnsiTheme="minorBidi"/>
          <w:b/>
          <w:sz w:val="24"/>
        </w:rPr>
        <w:t xml:space="preserve">Comparative Research on Outsourcing Guidelines For Bank and Non-Bank Financial Institutions</w:t>
      </w:r>
    </w:p>
    <w:p w14:paraId="2B593EF8" w14:textId="6643A990" w:rsidR="00883B8D" w:rsidRDefault="003130A0" w:rsidP="00E84036">
      <w:pPr>
        <w:spacing w:after="120" w:line="276" w:lineRule="auto"/>
        <w:jc w:val="center"/>
        <w:rPr>
          <w:rFonts w:asciiTheme="minorBidi" w:hAnsiTheme="minorBidi"/>
          <w:b/>
        </w:rPr>
      </w:pPr>
      <w:r>
        <w:rPr>
          <w:rFonts w:asciiTheme="minorBidi" w:hAnsiTheme="minorBidi"/>
          <w:b/>
        </w:rPr>
        <w:t>Checklist of differences between MAS guidelines</w:t>
      </w:r>
    </w:p>
    <w:p w14:paraId="3A54B706" w14:textId="012E2FA6" w:rsidR="00E84036" w:rsidRPr="00546CAE" w:rsidRDefault="00901D31" w:rsidP="00E84036">
      <w:pPr>
        <w:spacing w:after="120" w:line="276" w:lineRule="auto"/>
        <w:jc w:val="center"/>
        <w:rPr>
          <w:rFonts w:asciiTheme="minorBidi" w:hAnsiTheme="minorBidi"/>
          <w:b/>
        </w:rPr>
      </w:pPr>
      <w:r>
        <w:rPr>
          <w:rFonts w:asciiTheme="minorBidi" w:hAnsiTheme="minorBidi"/>
          <w:b/>
        </w:rPr>
        <w:t xml:space="preserve">[July 2026]</w:t>
      </w:r>
    </w:p>
    <w:p w14:paraId="2ABA095D" w14:textId="77777777" w:rsidR="00220F18" w:rsidRDefault="00220F18" w:rsidP="00883B8D">
      <w:pPr>
        <w:pStyle w:val="BodyText"/>
        <w:rPr>
          <w:lang w:eastAsia="ja-JP" w:bidi="th-TH"/>
        </w:rPr>
      </w:pPr>
    </w:p>
    <w:p w14:paraId="5293C859" w14:textId="14681410" w:rsidR="00883B8D" w:rsidRPr="004A5781" w:rsidRDefault="00A37DFE" w:rsidP="00883B8D">
      <w:pPr>
        <w:pStyle w:val="BodyText"/>
        <w:rPr>
          <w:lang w:eastAsia="ja-JP" w:bidi="th-TH"/>
        </w:rPr>
      </w:pPr>
      <w:r>
        <w:rPr>
          <w:lang w:eastAsia="ja-JP" w:bidi="th-TH"/>
        </w:rPr>
        <w:t xml:space="preserve">The relevant guidelines are attached at the end as </w:t>
      </w:r>
      <w:r>
        <w:rPr>
          <w:b/>
          <w:bCs/>
          <w:lang w:eastAsia="ja-JP" w:bidi="th-TH"/>
        </w:rPr>
        <w:t xml:space="preserve">Annex A</w:t>
      </w:r>
      <w:r>
        <w:rPr>
          <w:lang w:eastAsia="ja-JP" w:bidi="th-TH"/>
        </w:rPr>
        <w:t xml:space="preserve"> and </w:t>
      </w:r>
      <w:r>
        <w:rPr>
          <w:b/>
          <w:bCs/>
          <w:lang w:eastAsia="ja-JP" w:bidi="th-TH"/>
        </w:rPr>
        <w:t xml:space="preserve">Annex B</w:t>
      </w:r>
      <w:r>
        <w:rPr>
          <w:lang w:eastAsia="ja-JP" w:bidi="th-TH"/>
        </w:rPr>
        <w:t xml:space="preserve">. Checklist of differences between the two guidelines for managing risks while outsourcing under the Banking Act:</w:t>
      </w:r>
    </w:p>
    <w:p w14:paraId="5ACE1415" w14:textId="2EC7EE70" w:rsidR="00EF7952" w:rsidRDefault="00EF7952" w:rsidP="00E11923">
      <w:pPr>
        <w:pStyle w:val="BodyText"/>
        <w:numPr>
          <w:ilvl w:val="0"/>
          <w:numId w:val="10"/>
        </w:numPr>
        <w:rPr>
          <w:iCs/>
        </w:rPr>
      </w:pPr>
      <w:r>
        <w:rPr>
          <w:iCs/>
        </w:rPr>
        <w:t>MAS’ Guidelines on Outsourcing (Banks) (</w:t>
      </w:r>
      <w:r>
        <w:rPr>
          <w:b/>
          <w:bCs/>
          <w:iCs/>
        </w:rPr>
        <w:t xml:space="preserve">Bank Guidelines</w:t>
      </w:r>
      <w:r>
        <w:rPr>
          <w:iCs/>
        </w:rPr>
        <w:t>),</w:t>
      </w:r>
    </w:p>
    <w:p w14:paraId="794716B9" w14:textId="1FC359C1" w:rsidR="00CA45AA" w:rsidRDefault="00CA45AA" w:rsidP="00E11923">
      <w:pPr>
        <w:pStyle w:val="BodyText"/>
        <w:numPr>
          <w:ilvl w:val="0"/>
          <w:numId w:val="10"/>
        </w:numPr>
        <w:rPr>
          <w:iCs/>
        </w:rPr>
      </w:pPr>
      <w:r>
        <w:rPr>
          <w:iCs/>
        </w:rPr>
        <w:t>MAS’ Guidelines on Outsourcing (Financial Institutions other than Banks) (</w:t>
      </w:r>
      <w:r>
        <w:rPr>
          <w:b/>
          <w:bCs/>
          <w:iCs/>
        </w:rPr>
        <w:t>FI Guidelines</w:t>
      </w:r>
      <w:r>
        <w:rPr>
          <w:iCs/>
        </w:rPr>
        <w:t>),</w:t>
      </w:r>
    </w:p>
    <w:p w14:paraId="5522D14A" w14:textId="69BBFA76" w:rsidR="00883B8D" w:rsidRPr="004A5781" w:rsidRDefault="00883B8D" w:rsidP="00FB0BD1">
      <w:pPr>
        <w:pStyle w:val="BodyText1"/>
        <w:ind w:left="360"/>
      </w:pPr>
      <w:r>
        <w:t xml:space="preserve">which are collectively referred to as the </w:t>
      </w:r>
      <w:r>
        <w:rPr>
          <w:b/>
        </w:rPr>
        <w:t>Outsourcing Regulations</w:t>
      </w:r>
      <w:r>
        <w:t xml:space="preserve">. </w:t>
      </w:r>
    </w:p>
    <w:p w14:paraId="04AED860" w14:textId="77777777" w:rsidR="00220F18" w:rsidRDefault="00220F18" w:rsidP="00883B8D">
      <w:pPr>
        <w:pStyle w:val="BodyText"/>
      </w:pPr>
    </w:p>
    <w:p w14:paraId="4F01EC3A" w14:textId="3FD94790" w:rsidR="000924B6" w:rsidRDefault="00901D31" w:rsidP="00431DDF">
      <w:pPr>
        <w:pStyle w:val="BodyText"/>
      </w:pPr>
      <w:r>
        <w:t xml:space="preserve">This checklist is separated into the following sections: </w:t>
      </w:r>
    </w:p>
    <w:p w14:paraId="789AD862" w14:textId="6088598E" w:rsidR="004F6066" w:rsidRDefault="004F6066" w:rsidP="000C51EC">
      <w:pPr>
        <w:pStyle w:val="BodyText"/>
        <w:numPr>
          <w:ilvl w:val="0"/>
          <w:numId w:val="42"/>
        </w:numPr>
      </w:pPr>
      <w:r>
        <w:t>A list of identical provisions;</w:t>
      </w:r>
    </w:p>
    <w:p w14:paraId="2A376FEC" w14:textId="2ADF385D" w:rsidR="004F6066" w:rsidRDefault="004F6066" w:rsidP="004F6066">
      <w:pPr>
        <w:pStyle w:val="BodyText"/>
        <w:numPr>
          <w:ilvl w:val="0"/>
          <w:numId w:val="42"/>
        </w:numPr>
      </w:pPr>
      <w:r>
        <w:t>A list of all differences between the two documents, and;</w:t>
      </w:r>
    </w:p>
    <w:p w14:paraId="037B498F" w14:textId="283D2C3C" w:rsidR="000C51EC" w:rsidRDefault="000C51EC" w:rsidP="000C51EC">
      <w:pPr>
        <w:pStyle w:val="BodyText"/>
        <w:numPr>
          <w:ilvl w:val="0"/>
          <w:numId w:val="42"/>
        </w:numPr>
      </w:pPr>
      <w:r>
        <w:t>A comparative table between the guidelines for banks and FIs.</w:t>
      </w:r>
    </w:p>
    <w:p w14:paraId="1688913D" w14:textId="77777777" w:rsidR="000C51EC" w:rsidRDefault="000C51EC" w:rsidP="000C51EC">
      <w:pPr>
        <w:pStyle w:val="BodyText"/>
      </w:pPr>
    </w:p>
    <w:p w14:paraId="297A9573" w14:textId="2FB597E1" w:rsidR="00431DDF" w:rsidRDefault="00431DDF" w:rsidP="00431DDF">
      <w:pPr>
        <w:pStyle w:val="BodyText"/>
      </w:pPr>
      <w:r>
        <w:t>In this document:</w:t>
        <w:br/>
      </w:r>
    </w:p>
    <w:p w14:paraId="13D3193E" w14:textId="3FF689D1" w:rsidR="000C51EC" w:rsidRPr="000C51EC" w:rsidRDefault="000C51EC" w:rsidP="00431DDF">
      <w:pPr>
        <w:pStyle w:val="BodyText"/>
        <w:rPr>
          <w:b/>
          <w:bCs/>
        </w:rPr>
      </w:pPr>
      <w:r>
        <w:rPr>
          <w:b/>
          <w:bCs/>
        </w:rPr>
        <w:t>Any highlighted phrases, paragraphs, or words have no similar comparable statement in the other relevant document.</w:t>
      </w:r>
    </w:p>
    <w:p w14:paraId="2C30F22D" w14:textId="266B225A" w:rsidR="00F036D2" w:rsidRPr="001301CD" w:rsidRDefault="00F036D2" w:rsidP="00F036D2">
      <w:pPr>
        <w:pStyle w:val="BodyText"/>
      </w:pPr>
    </w:p>
    <w:p w14:paraId="2318941A" w14:textId="091C2514" w:rsidR="00AF4A19" w:rsidRDefault="00AF4A19" w:rsidP="00883B8D">
      <w:pPr>
        <w:pStyle w:val="BodyText"/>
        <w:rPr>
          <w:rFonts w:asciiTheme="minorBidi" w:hAnsiTheme="minorBidi"/>
        </w:rPr>
      </w:pPr>
      <w:r>
        <w:rPr>
          <w:rFonts w:asciiTheme="minorBidi" w:hAnsiTheme="minorBidi"/>
        </w:rPr>
        <w:br w:type="page"/>
      </w:r>
    </w:p>
    <w:p w14:paraId="422F0C2B" w14:textId="5C45EF94" w:rsidR="004F6066" w:rsidRDefault="004F6066" w:rsidP="004F79C9">
      <w:pPr>
        <w:pStyle w:val="Level1Heading"/>
        <w:rPr>
          <w:rFonts w:asciiTheme="majorHAnsi" w:hAnsiTheme="majorHAnsi" w:cstheme="majorHAnsi"/>
          <w:iCs/>
          <w:sz w:val="18"/>
          <w:szCs w:val="18"/>
        </w:rPr>
      </w:pPr>
      <w:bookmarkStart w:id="1" w:name="MASNotice658"/>
      <w:bookmarkStart w:id="2" w:name="ExecSummary"/>
      <w:bookmarkEnd w:id="0"/>
      <w:bookmarkEnd w:id="2"/>
      <w:r>
        <w:rPr>
          <w:rFonts w:asciiTheme="majorHAnsi" w:hAnsiTheme="majorHAnsi" w:cstheme="majorHAnsi"/>
          <w:iCs/>
          <w:sz w:val="18"/>
          <w:szCs w:val="18"/>
        </w:rPr>
        <w:lastRenderedPageBreak/>
        <w:t>List of Identical Provisions</w:t>
      </w:r>
    </w:p>
    <w:p w14:paraId="1073F046" w14:textId="195A50D0" w:rsidR="004F6066" w:rsidRPr="004F6066" w:rsidRDefault="004F6066" w:rsidP="004F6066">
      <w:pPr>
        <w:pStyle w:val="BodyText1"/>
        <w:ind w:left="0"/>
      </w:pPr>
      <w:r>
        <w:t>The provisions in this section are identical apart from the terms “bank” and “institution”, “MOORS” and “material outsourcing arrangement”.</w:t>
      </w:r>
    </w:p>
    <w:tbl>
      <w:tblPr>
        <w:tblStyle w:val="TableGrid"/>
        <w:tblW w:w="6841" w:type="dxa"/>
        <w:tblLayout w:type="fixed"/>
        <w:tblLook w:val="04A0" w:firstRow="1" w:lastRow="0" w:firstColumn="1" w:lastColumn="0" w:noHBand="0" w:noVBand="1"/>
      </w:tblPr>
      <w:tblGrid>
        <w:gridCol w:w="2127"/>
        <w:gridCol w:w="2357"/>
        <w:gridCol w:w="2357"/>
      </w:tblGrid>
      <w:tr w:rsidR="004F6066" w:rsidRPr="00DD537D" w14:paraId="66BDA066" w14:textId="21E22F5C" w:rsidTr="004F6066">
        <w:trPr>
          <w:trHeight w:val="664"/>
          <w:tblHeader/>
        </w:trPr>
        <w:tc>
          <w:tcPr>
            <w:tcW w:w="2127" w:type="dxa"/>
            <w:shd w:val="clear" w:color="auto" w:fill="808080" w:themeFill="background1" w:themeFillShade="80"/>
          </w:tcPr>
          <w:p w14:paraId="48ED7F38" w14:textId="365DBA34" w:rsidR="004F6066" w:rsidRPr="00DD537D" w:rsidRDefault="004F6066" w:rsidP="00F23296">
            <w:pPr>
              <w:spacing w:before="60" w:after="60"/>
              <w:jc w:val="center"/>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Purpose of Provision</w:t>
            </w:r>
          </w:p>
        </w:tc>
        <w:tc>
          <w:tcPr>
            <w:tcW w:w="2357" w:type="dxa"/>
            <w:shd w:val="clear" w:color="auto" w:fill="808080" w:themeFill="background1" w:themeFillShade="80"/>
          </w:tcPr>
          <w:p w14:paraId="5A365F62" w14:textId="5107F2ED" w:rsidR="004F6066" w:rsidRPr="00DD537D" w:rsidRDefault="004F6066" w:rsidP="004F6066">
            <w:pPr>
              <w:spacing w:before="60" w:after="60"/>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Relevant Section in Bank Guideline</w:t>
            </w:r>
          </w:p>
        </w:tc>
        <w:tc>
          <w:tcPr>
            <w:tcW w:w="2357" w:type="dxa"/>
            <w:shd w:val="clear" w:color="auto" w:fill="808080" w:themeFill="background1" w:themeFillShade="80"/>
          </w:tcPr>
          <w:p w14:paraId="7D3F967D" w14:textId="30F70C75" w:rsidR="004F6066" w:rsidRDefault="004F6066" w:rsidP="004F6066">
            <w:pPr>
              <w:spacing w:before="60" w:after="60"/>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Relevant Section in FI Guideline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Purpose and risk rationale</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1.1</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1.1</w:t>
            </w:r>
          </w:p>
        </w:tc>
      </w:tr>
      <w:tr w:rsidR="004F6066" w:rsidRPr="004F79C9" w14:paraId="277B866E" w14:textId="77777777" w:rsidTr="004F6066">
        <w:trPr>
          <w:trHeight w:val="377"/>
        </w:trPr>
        <w:tc>
          <w:tcPr>
            <w:tcW w:w="2127" w:type="dxa"/>
          </w:tcPr>
          <w:p w14:paraId="0723A82C" w14:textId="6D79150F"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Proportionality and self-assessment</w:t>
            </w:r>
          </w:p>
        </w:tc>
        <w:tc>
          <w:tcPr>
            <w:tcW w:w="2357" w:type="dxa"/>
          </w:tcPr>
          <w:p w14:paraId="7DF75BD9" w14:textId="784EEB65"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 xml:space="preserve">1.2, 1.3 </w:t>
            </w:r>
          </w:p>
        </w:tc>
        <w:tc>
          <w:tcPr>
            <w:tcW w:w="2357" w:type="dxa"/>
          </w:tcPr>
          <w:p w14:paraId="158B990F" w14:textId="27F146B7"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1.2, 2.1</w:t>
            </w:r>
          </w:p>
        </w:tc>
      </w:tr>
      <w:tr w:rsidR="004F6066" w:rsidRPr="004F79C9" w14:paraId="41FD02E8" w14:textId="77777777" w:rsidTr="004F6066">
        <w:trPr>
          <w:trHeight w:val="377"/>
        </w:trPr>
        <w:tc>
          <w:tcPr>
            <w:tcW w:w="2127" w:type="dxa"/>
          </w:tcPr>
          <w:p w14:paraId="0D8A0BE8" w14:textId="75779FCD"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Non-outsourcing arrangements will still require adequate risk management</w:t>
            </w:r>
          </w:p>
        </w:tc>
        <w:tc>
          <w:tcPr>
            <w:tcW w:w="2357" w:type="dxa"/>
          </w:tcPr>
          <w:p w14:paraId="03F76A9F" w14:textId="3DED4D98"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1.4</w:t>
            </w:r>
          </w:p>
        </w:tc>
        <w:tc>
          <w:tcPr>
            <w:tcW w:w="2357" w:type="dxa"/>
          </w:tcPr>
          <w:p w14:paraId="45C21719" w14:textId="7F20F07B"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2.2</w:t>
            </w:r>
          </w:p>
        </w:tc>
      </w:tr>
      <w:tr w:rsidR="004F6066" w:rsidRPr="004F79C9" w14:paraId="4672DB8E" w14:textId="77777777" w:rsidTr="004F6066">
        <w:trPr>
          <w:trHeight w:val="377"/>
        </w:trPr>
        <w:tc>
          <w:tcPr>
            <w:tcW w:w="2127" w:type="dxa"/>
          </w:tcPr>
          <w:p w14:paraId="376DCECF" w14:textId="011489E4"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Notification of adverse developments to MAS</w:t>
            </w:r>
          </w:p>
        </w:tc>
        <w:tc>
          <w:tcPr>
            <w:tcW w:w="2357" w:type="dxa"/>
          </w:tcPr>
          <w:p w14:paraId="0AA39D4B" w14:textId="0D5D3D72"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2.2</w:t>
            </w:r>
          </w:p>
        </w:tc>
        <w:tc>
          <w:tcPr>
            <w:tcW w:w="2357" w:type="dxa"/>
          </w:tcPr>
          <w:p w14:paraId="41D5E9B0" w14:textId="55A3DBD4"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4.2.1</w:t>
            </w:r>
          </w:p>
        </w:tc>
      </w:tr>
      <w:tr w:rsidR="004F6066" w:rsidRPr="004F79C9" w14:paraId="231A134C" w14:textId="77777777" w:rsidTr="004F6066">
        <w:trPr>
          <w:trHeight w:val="377"/>
        </w:trPr>
        <w:tc>
          <w:tcPr>
            <w:tcW w:w="2127" w:type="dxa"/>
          </w:tcPr>
          <w:p w14:paraId="3F5DAF87" w14:textId="1522632D"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Board and senior management responsibilities</w:t>
            </w:r>
          </w:p>
        </w:tc>
        <w:tc>
          <w:tcPr>
            <w:tcW w:w="2357" w:type="dxa"/>
          </w:tcPr>
          <w:p w14:paraId="082398D3" w14:textId="6D361694"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3.1.1 – 3.1.4</w:t>
            </w:r>
          </w:p>
        </w:tc>
        <w:tc>
          <w:tcPr>
            <w:tcW w:w="2357" w:type="dxa"/>
          </w:tcPr>
          <w:p w14:paraId="58AA94C4" w14:textId="61B0EACA"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5.2.1 – 5.2.4</w:t>
            </w:r>
          </w:p>
        </w:tc>
      </w:tr>
      <w:tr w:rsidR="004F6066" w:rsidRPr="004F79C9" w14:paraId="1CD52E46" w14:textId="77777777" w:rsidTr="004F6066">
        <w:trPr>
          <w:trHeight w:val="377"/>
        </w:trPr>
        <w:tc>
          <w:tcPr>
            <w:tcW w:w="2127" w:type="dxa"/>
          </w:tcPr>
          <w:p w14:paraId="3A631A42" w14:textId="1839761D"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Risk evaluation framework and timing</w:t>
            </w:r>
          </w:p>
        </w:tc>
        <w:tc>
          <w:tcPr>
            <w:tcW w:w="2357" w:type="dxa"/>
          </w:tcPr>
          <w:p w14:paraId="06F3330B" w14:textId="74C8ECD9"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3.2.1 – 3.2.2</w:t>
            </w:r>
          </w:p>
        </w:tc>
        <w:tc>
          <w:tcPr>
            <w:tcW w:w="2357" w:type="dxa"/>
          </w:tcPr>
          <w:p w14:paraId="3AF9D10A" w14:textId="368C7969"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5.3.1 – 5.3.2</w:t>
            </w:r>
          </w:p>
        </w:tc>
      </w:tr>
      <w:tr w:rsidR="004F6066" w:rsidRPr="004F79C9" w14:paraId="70E729B5" w14:textId="77777777" w:rsidTr="004F6066">
        <w:trPr>
          <w:trHeight w:val="377"/>
        </w:trPr>
        <w:tc>
          <w:tcPr>
            <w:tcW w:w="2127" w:type="dxa"/>
          </w:tcPr>
          <w:p w14:paraId="007DCA4D" w14:textId="48719343"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Service provider due diligence</w:t>
            </w:r>
          </w:p>
        </w:tc>
        <w:tc>
          <w:tcPr>
            <w:tcW w:w="2357" w:type="dxa"/>
          </w:tcPr>
          <w:p w14:paraId="74C6A43E" w14:textId="2CC74A20"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3.3.1 – 3.3.5</w:t>
            </w:r>
          </w:p>
        </w:tc>
        <w:tc>
          <w:tcPr>
            <w:tcW w:w="2357" w:type="dxa"/>
          </w:tcPr>
          <w:p w14:paraId="0397C82D" w14:textId="369FCB84"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5.4.1 – 5.4.5</w:t>
            </w:r>
          </w:p>
        </w:tc>
      </w:tr>
      <w:tr w:rsidR="004F6066" w:rsidRPr="004F79C9" w14:paraId="0E0656D8" w14:textId="77777777" w:rsidTr="004F6066">
        <w:trPr>
          <w:trHeight w:val="377"/>
        </w:trPr>
        <w:tc>
          <w:tcPr>
            <w:tcW w:w="2127" w:type="dxa"/>
          </w:tcPr>
          <w:p w14:paraId="6F37E9E8" w14:textId="7CF7CAFE"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Written, vetted agreements</w:t>
            </w:r>
          </w:p>
        </w:tc>
        <w:tc>
          <w:tcPr>
            <w:tcW w:w="2357" w:type="dxa"/>
          </w:tcPr>
          <w:p w14:paraId="4F154B83" w14:textId="2CD40103"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3.4.4 and 5.5.2(i)</w:t>
            </w:r>
          </w:p>
        </w:tc>
        <w:tc>
          <w:tcPr>
            <w:tcW w:w="2357" w:type="dxa"/>
          </w:tcPr>
          <w:p w14:paraId="7EFEBF85" w14:textId="2D89BDE8"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3.4.8 and 5.5.3</w:t>
            </w:r>
          </w:p>
        </w:tc>
      </w:tr>
      <w:tr w:rsidR="004F6066" w:rsidRPr="004F79C9" w14:paraId="669DBAE2" w14:textId="77777777" w:rsidTr="004F6066">
        <w:trPr>
          <w:trHeight w:val="377"/>
        </w:trPr>
        <w:tc>
          <w:tcPr>
            <w:tcW w:w="2127" w:type="dxa"/>
          </w:tcPr>
          <w:p w14:paraId="243E43F5" w14:textId="43E2ECBF"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Confidentiality and security</w:t>
            </w:r>
          </w:p>
        </w:tc>
        <w:tc>
          <w:tcPr>
            <w:tcW w:w="2357" w:type="dxa"/>
          </w:tcPr>
          <w:p w14:paraId="03C1DD48" w14:textId="37E06A01"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3.6.1 – 3.6.2</w:t>
            </w:r>
          </w:p>
        </w:tc>
        <w:tc>
          <w:tcPr>
            <w:tcW w:w="2357" w:type="dxa"/>
          </w:tcPr>
          <w:p w14:paraId="3F52CD60" w14:textId="2C0AE68B"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5.6.1 – 5.6.2</w:t>
            </w:r>
          </w:p>
        </w:tc>
      </w:tr>
      <w:tr w:rsidR="004F6066" w:rsidRPr="004F79C9" w14:paraId="5EEC568F" w14:textId="77777777" w:rsidTr="004F6066">
        <w:trPr>
          <w:trHeight w:val="377"/>
        </w:trPr>
        <w:tc>
          <w:tcPr>
            <w:tcW w:w="2127" w:type="dxa"/>
          </w:tcPr>
          <w:p w14:paraId="4C17563A" w14:textId="55734033"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Business continuity management</w:t>
            </w:r>
          </w:p>
        </w:tc>
        <w:tc>
          <w:tcPr>
            <w:tcW w:w="2357" w:type="dxa"/>
          </w:tcPr>
          <w:p w14:paraId="3653DF04" w14:textId="73FA5A13"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3.7.1 – 3.7.4</w:t>
            </w:r>
          </w:p>
        </w:tc>
        <w:tc>
          <w:tcPr>
            <w:tcW w:w="2357" w:type="dxa"/>
          </w:tcPr>
          <w:p w14:paraId="4A9F5E2A" w14:textId="27A1BD7D"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5.7.1 – 5.7.4</w:t>
            </w:r>
          </w:p>
        </w:tc>
      </w:tr>
      <w:tr w:rsidR="004F6066" w:rsidRPr="004F79C9" w14:paraId="6F356490" w14:textId="77777777" w:rsidTr="004F6066">
        <w:trPr>
          <w:trHeight w:val="377"/>
        </w:trPr>
        <w:tc>
          <w:tcPr>
            <w:tcW w:w="2127" w:type="dxa"/>
          </w:tcPr>
          <w:p w14:paraId="2BC19BF8" w14:textId="35FDE050" w:rsidR="004F6066" w:rsidRDefault="004F6066" w:rsidP="00F23296">
            <w:pPr>
              <w:spacing w:line="276" w:lineRule="auto"/>
              <w:rPr>
                <w:rFonts w:asciiTheme="majorHAnsi" w:hAnsiTheme="majorHAnsi" w:cstheme="majorHAnsi"/>
                <w:sz w:val="18"/>
                <w:szCs w:val="18"/>
              </w:rPr>
            </w:pPr>
            <w:r>
              <w:rPr>
                <w:rFonts w:asciiTheme="majorHAnsi" w:hAnsiTheme="majorHAnsi" w:cstheme="majorHAnsi"/>
                <w:sz w:val="18"/>
                <w:szCs w:val="18"/>
              </w:rPr>
              <w:t>Control structure</w:t>
            </w:r>
          </w:p>
        </w:tc>
        <w:tc>
          <w:tcPr>
            <w:tcW w:w="2357" w:type="dxa"/>
          </w:tcPr>
          <w:p w14:paraId="3D8941C6" w14:textId="40E234E4"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3.8.1 – 3.8.2</w:t>
            </w:r>
          </w:p>
        </w:tc>
        <w:tc>
          <w:tcPr>
            <w:tcW w:w="2357" w:type="dxa"/>
          </w:tcPr>
          <w:p w14:paraId="55AD2A1C" w14:textId="5C717413"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5.8.1 – 5.8.2</w:t>
            </w:r>
          </w:p>
        </w:tc>
      </w:tr>
      <w:tr w:rsidR="004F6066" w:rsidRPr="004F79C9" w14:paraId="2082B80E" w14:textId="77777777" w:rsidTr="004F6066">
        <w:trPr>
          <w:trHeight w:val="377"/>
        </w:trPr>
        <w:tc>
          <w:tcPr>
            <w:tcW w:w="2127" w:type="dxa"/>
          </w:tcPr>
          <w:p w14:paraId="6E5FD3D5" w14:textId="0DAB3620" w:rsidR="004F6066" w:rsidRDefault="0095788E" w:rsidP="00F23296">
            <w:pPr>
              <w:spacing w:line="276" w:lineRule="auto"/>
              <w:rPr>
                <w:rFonts w:asciiTheme="majorHAnsi" w:hAnsiTheme="majorHAnsi" w:cstheme="majorHAnsi"/>
                <w:sz w:val="18"/>
                <w:szCs w:val="18"/>
              </w:rPr>
            </w:pPr>
            <w:r>
              <w:rPr>
                <w:rFonts w:asciiTheme="majorHAnsi" w:hAnsiTheme="majorHAnsi" w:cstheme="majorHAnsi"/>
                <w:sz w:val="18"/>
                <w:szCs w:val="18"/>
              </w:rPr>
              <w:t>Audit framework</w:t>
            </w:r>
          </w:p>
        </w:tc>
        <w:tc>
          <w:tcPr>
            <w:tcW w:w="2357" w:type="dxa"/>
          </w:tcPr>
          <w:p w14:paraId="6D4E8564" w14:textId="5BE413CE"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3.9.1 and 5.9.1</w:t>
            </w:r>
          </w:p>
        </w:tc>
        <w:tc>
          <w:tcPr>
            <w:tcW w:w="2357" w:type="dxa"/>
          </w:tcPr>
          <w:p w14:paraId="786046A2" w14:textId="7463E923" w:rsidR="004F6066"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3.9.4 – 3.9.6 and 5.9.5 – 5.9.8</w:t>
            </w:r>
          </w:p>
        </w:tc>
      </w:tr>
      <w:tr w:rsidR="0095788E" w:rsidRPr="004F79C9" w14:paraId="5EE54E90" w14:textId="77777777" w:rsidTr="004F6066">
        <w:trPr>
          <w:trHeight w:val="377"/>
        </w:trPr>
        <w:tc>
          <w:tcPr>
            <w:tcW w:w="2127" w:type="dxa"/>
          </w:tcPr>
          <w:p w14:paraId="3BC48C69" w14:textId="2019164D" w:rsidR="0095788E" w:rsidRDefault="0095788E" w:rsidP="00F23296">
            <w:pPr>
              <w:spacing w:line="276" w:lineRule="auto"/>
              <w:rPr>
                <w:rFonts w:asciiTheme="majorHAnsi" w:hAnsiTheme="majorHAnsi" w:cstheme="majorHAnsi"/>
                <w:sz w:val="18"/>
                <w:szCs w:val="18"/>
              </w:rPr>
            </w:pPr>
            <w:r>
              <w:rPr>
                <w:rFonts w:asciiTheme="majorHAnsi" w:hAnsiTheme="majorHAnsi" w:cstheme="majorHAnsi"/>
                <w:sz w:val="18"/>
                <w:szCs w:val="18"/>
              </w:rPr>
              <w:t>Due diligence for overseas outsourcing</w:t>
            </w:r>
          </w:p>
        </w:tc>
        <w:tc>
          <w:tcPr>
            <w:tcW w:w="2357" w:type="dxa"/>
          </w:tcPr>
          <w:p w14:paraId="7E4B5E46" w14:textId="52793D0C"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3.10.1</w:t>
            </w:r>
          </w:p>
        </w:tc>
        <w:tc>
          <w:tcPr>
            <w:tcW w:w="2357" w:type="dxa"/>
          </w:tcPr>
          <w:p w14:paraId="2C6CA43C" w14:textId="6ADAE9D6"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5.10.1</w:t>
            </w:r>
          </w:p>
        </w:tc>
      </w:tr>
      <w:tr w:rsidR="0095788E" w:rsidRPr="004F79C9" w14:paraId="6A095899" w14:textId="77777777" w:rsidTr="004F6066">
        <w:trPr>
          <w:trHeight w:val="377"/>
        </w:trPr>
        <w:tc>
          <w:tcPr>
            <w:tcW w:w="2127" w:type="dxa"/>
          </w:tcPr>
          <w:p w14:paraId="1E03D011" w14:textId="63457AF4" w:rsidR="0095788E" w:rsidRDefault="0095788E" w:rsidP="00F23296">
            <w:pPr>
              <w:spacing w:line="276" w:lineRule="auto"/>
              <w:rPr>
                <w:rFonts w:asciiTheme="majorHAnsi" w:hAnsiTheme="majorHAnsi" w:cstheme="majorHAnsi"/>
                <w:sz w:val="18"/>
                <w:szCs w:val="18"/>
              </w:rPr>
            </w:pPr>
            <w:r>
              <w:rPr>
                <w:rFonts w:asciiTheme="majorHAnsi" w:hAnsiTheme="majorHAnsi" w:cstheme="majorHAnsi"/>
                <w:sz w:val="18"/>
                <w:szCs w:val="18"/>
              </w:rPr>
              <w:lastRenderedPageBreak/>
              <w:t>Outsourcing within a group</w:t>
            </w:r>
          </w:p>
        </w:tc>
        <w:tc>
          <w:tcPr>
            <w:tcW w:w="2357" w:type="dxa"/>
          </w:tcPr>
          <w:p w14:paraId="1351E948" w14:textId="56D3E02C"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3.11.2 – 3.11.2</w:t>
            </w:r>
          </w:p>
        </w:tc>
        <w:tc>
          <w:tcPr>
            <w:tcW w:w="2357" w:type="dxa"/>
          </w:tcPr>
          <w:p w14:paraId="486F1F1C" w14:textId="2992CDBF"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5.11.2 – 5.11.2</w:t>
            </w:r>
          </w:p>
        </w:tc>
      </w:tr>
      <w:tr w:rsidR="0095788E" w:rsidRPr="004F79C9" w14:paraId="6B03B460" w14:textId="77777777" w:rsidTr="004F6066">
        <w:trPr>
          <w:trHeight w:val="377"/>
        </w:trPr>
        <w:tc>
          <w:tcPr>
            <w:tcW w:w="2127" w:type="dxa"/>
          </w:tcPr>
          <w:p w14:paraId="0398E736" w14:textId="55CF8340" w:rsidR="0095788E" w:rsidRDefault="0095788E" w:rsidP="00F23296">
            <w:pPr>
              <w:spacing w:line="276" w:lineRule="auto"/>
              <w:rPr>
                <w:rFonts w:asciiTheme="majorHAnsi" w:hAnsiTheme="majorHAnsi" w:cstheme="majorHAnsi"/>
                <w:sz w:val="18"/>
                <w:szCs w:val="18"/>
              </w:rPr>
            </w:pPr>
            <w:r>
              <w:rPr>
                <w:rFonts w:asciiTheme="majorHAnsi" w:hAnsiTheme="majorHAnsi" w:cstheme="majorHAnsi"/>
                <w:sz w:val="18"/>
                <w:szCs w:val="18"/>
              </w:rPr>
              <w:t>Outsourcing internal audits</w:t>
            </w:r>
          </w:p>
        </w:tc>
        <w:tc>
          <w:tcPr>
            <w:tcW w:w="2357" w:type="dxa"/>
          </w:tcPr>
          <w:p w14:paraId="1BEABF3D" w14:textId="0900E7CC"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3.12.1 – 3.12.3</w:t>
            </w:r>
          </w:p>
        </w:tc>
        <w:tc>
          <w:tcPr>
            <w:tcW w:w="2357" w:type="dxa"/>
          </w:tcPr>
          <w:p w14:paraId="17B7389E" w14:textId="4DC8A0B5"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5.12.1 – 5.12.3</w:t>
            </w:r>
          </w:p>
        </w:tc>
      </w:tr>
      <w:tr w:rsidR="0095788E" w:rsidRPr="004F79C9" w14:paraId="589AB737" w14:textId="77777777" w:rsidTr="004F6066">
        <w:trPr>
          <w:trHeight w:val="377"/>
        </w:trPr>
        <w:tc>
          <w:tcPr>
            <w:tcW w:w="2127" w:type="dxa"/>
          </w:tcPr>
          <w:p w14:paraId="082BC2CF" w14:textId="621CE773" w:rsidR="0095788E" w:rsidRDefault="0095788E" w:rsidP="00F23296">
            <w:pPr>
              <w:spacing w:line="276" w:lineRule="auto"/>
              <w:rPr>
                <w:rFonts w:asciiTheme="majorHAnsi" w:hAnsiTheme="majorHAnsi" w:cstheme="majorHAnsi"/>
                <w:sz w:val="18"/>
                <w:szCs w:val="18"/>
              </w:rPr>
            </w:pPr>
            <w:r>
              <w:rPr>
                <w:rFonts w:asciiTheme="majorHAnsi" w:hAnsiTheme="majorHAnsi" w:cstheme="majorHAnsi"/>
                <w:sz w:val="18"/>
                <w:szCs w:val="18"/>
              </w:rPr>
              <w:t>Material outsourcing assessment factors</w:t>
            </w:r>
          </w:p>
        </w:tc>
        <w:tc>
          <w:tcPr>
            <w:tcW w:w="2357" w:type="dxa"/>
          </w:tcPr>
          <w:p w14:paraId="11DD4376" w14:textId="08BF94F6"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Annex 1</w:t>
            </w:r>
          </w:p>
        </w:tc>
        <w:tc>
          <w:tcPr>
            <w:tcW w:w="2357" w:type="dxa"/>
          </w:tcPr>
          <w:p w14:paraId="7071CB8C" w14:textId="7308A85A"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Annex 3</w:t>
            </w:r>
          </w:p>
        </w:tc>
      </w:tr>
      <w:tr w:rsidR="0095788E" w:rsidRPr="004F79C9" w14:paraId="08EEFDF2" w14:textId="77777777" w:rsidTr="004F6066">
        <w:trPr>
          <w:trHeight w:val="377"/>
        </w:trPr>
        <w:tc>
          <w:tcPr>
            <w:tcW w:w="2127" w:type="dxa"/>
          </w:tcPr>
          <w:p w14:paraId="42738E79" w14:textId="7EB94A06" w:rsidR="0095788E" w:rsidRDefault="0095788E" w:rsidP="00F23296">
            <w:pPr>
              <w:spacing w:line="276" w:lineRule="auto"/>
              <w:rPr>
                <w:rFonts w:asciiTheme="majorHAnsi" w:hAnsiTheme="majorHAnsi" w:cstheme="majorHAnsi"/>
                <w:sz w:val="18"/>
                <w:szCs w:val="18"/>
              </w:rPr>
            </w:pPr>
            <w:r>
              <w:rPr>
                <w:rFonts w:asciiTheme="majorHAnsi" w:hAnsiTheme="majorHAnsi" w:cstheme="majorHAnsi"/>
                <w:sz w:val="18"/>
                <w:szCs w:val="18"/>
              </w:rPr>
              <w:t>Cloud Computing</w:t>
            </w:r>
          </w:p>
        </w:tc>
        <w:tc>
          <w:tcPr>
            <w:tcW w:w="2357" w:type="dxa"/>
          </w:tcPr>
          <w:p w14:paraId="662D9B76" w14:textId="4422B7B4"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Annex 2</w:t>
            </w:r>
          </w:p>
        </w:tc>
        <w:tc>
          <w:tcPr>
            <w:tcW w:w="2357" w:type="dxa"/>
          </w:tcPr>
          <w:p w14:paraId="7EB1E018" w14:textId="0B55EBB3" w:rsidR="0095788E" w:rsidRDefault="0095788E" w:rsidP="00F23296">
            <w:pPr>
              <w:pStyle w:val="BodyText"/>
              <w:rPr>
                <w:rFonts w:asciiTheme="majorHAnsi" w:hAnsiTheme="majorHAnsi" w:cstheme="majorHAnsi"/>
                <w:sz w:val="18"/>
                <w:szCs w:val="18"/>
              </w:rPr>
            </w:pPr>
            <w:r>
              <w:rPr>
                <w:rFonts w:asciiTheme="majorHAnsi" w:hAnsiTheme="majorHAnsi" w:cstheme="majorHAnsi"/>
                <w:sz w:val="18"/>
                <w:szCs w:val="18"/>
              </w:rPr>
              <w:t>Annex 5</w:t>
            </w:r>
          </w:p>
        </w:tc>
      </w:tr>
    </w:tbl>
    <w:p w14:paraId="0B88E8C0" w14:textId="397BD91B" w:rsidR="0095788E" w:rsidRDefault="0095788E" w:rsidP="004F6066">
      <w:pPr>
        <w:pStyle w:val="BodyText1"/>
        <w:ind w:left="0"/>
      </w:pPr>
    </w:p>
    <w:p w14:paraId="422F0C2B" w14:textId="5C45EF94" w:rsidR="004F6066" w:rsidRDefault="004F6066" w:rsidP="004F79C9">
      <w:pPr>
        <w:pStyle w:val="Level1Heading"/>
        <w:rPr>
          <w:rFonts w:asciiTheme="majorHAnsi" w:hAnsiTheme="majorHAnsi" w:cstheme="majorHAnsi"/>
          <w:iCs/>
          <w:sz w:val="18"/>
          <w:szCs w:val="18"/>
        </w:rPr>
      </w:pPr>
      <w:r>
        <w:rPr>
          <w:rFonts w:asciiTheme="majorHAnsi" w:hAnsiTheme="majorHAnsi" w:cstheme="majorHAnsi"/>
          <w:iCs/>
          <w:sz w:val="18"/>
          <w:szCs w:val="18"/>
        </w:rPr>
        <w:lastRenderedPageBreak/>
        <w:t xml:space="preserve">List of Non-Identical Provisions</w:t>
      </w:r>
    </w:p>
    <w:p w14:paraId="1073F046" w14:textId="195A50D0" w:rsidR="004F6066" w:rsidRPr="004F6066" w:rsidRDefault="004F6066" w:rsidP="004F6066">
      <w:pPr>
        <w:pStyle w:val="BodyText1"/>
        <w:ind w:left="0"/>
      </w:pPr>
      <w:r>
        <w:t xml:space="preserve">The provisions in this section differ in substance between the two documents, or appear in only one of them. The precise differences are set out in the comparative table below.</w:t>
      </w:r>
    </w:p>
    <w:tbl>
      <w:tblPr>
        <w:tblStyle w:val="TableGrid"/>
        <w:tblW w:w="6841" w:type="dxa"/>
        <w:tblLayout w:type="fixed"/>
        <w:tblLook w:val="04A0" w:firstRow="1" w:lastRow="0" w:firstColumn="1" w:lastColumn="0" w:noHBand="0" w:noVBand="1"/>
      </w:tblPr>
      <w:tblGrid>
        <w:gridCol w:w="2127"/>
        <w:gridCol w:w="2357"/>
        <w:gridCol w:w="2357"/>
      </w:tblGrid>
      <w:tr w:rsidR="004F6066" w:rsidRPr="00DD537D" w14:paraId="66BDA066" w14:textId="21E22F5C" w:rsidTr="004F6066">
        <w:trPr>
          <w:trHeight w:val="664"/>
          <w:tblHeader/>
        </w:trPr>
        <w:tc>
          <w:tcPr>
            <w:tcW w:w="2127" w:type="dxa"/>
            <w:shd w:val="clear" w:color="auto" w:fill="808080" w:themeFill="background1" w:themeFillShade="80"/>
          </w:tcPr>
          <w:p w14:paraId="48ED7F38" w14:textId="365DBA34" w:rsidR="004F6066" w:rsidRPr="00DD537D" w:rsidRDefault="004F6066" w:rsidP="00F23296">
            <w:pPr>
              <w:spacing w:before="60" w:after="60"/>
              <w:jc w:val="center"/>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Purpose of Provision</w:t>
            </w:r>
          </w:p>
        </w:tc>
        <w:tc>
          <w:tcPr>
            <w:tcW w:w="2357" w:type="dxa"/>
            <w:shd w:val="clear" w:color="auto" w:fill="808080" w:themeFill="background1" w:themeFillShade="80"/>
          </w:tcPr>
          <w:p w14:paraId="5A365F62" w14:textId="5107F2ED" w:rsidR="004F6066" w:rsidRPr="00DD537D" w:rsidRDefault="004F6066" w:rsidP="004F6066">
            <w:pPr>
              <w:spacing w:before="60" w:after="60"/>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Relevant Section in Bank Guideline</w:t>
            </w:r>
          </w:p>
        </w:tc>
        <w:tc>
          <w:tcPr>
            <w:tcW w:w="2357" w:type="dxa"/>
            <w:shd w:val="clear" w:color="auto" w:fill="808080" w:themeFill="background1" w:themeFillShade="80"/>
          </w:tcPr>
          <w:p w14:paraId="7D3F967D" w14:textId="30F70C75" w:rsidR="004F6066" w:rsidRDefault="004F6066" w:rsidP="004F6066">
            <w:pPr>
              <w:spacing w:before="60" w:after="60"/>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Relevant Section in FI Guideline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Scope – definition of “outsourcing arrangement”</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1.2 (via the Notices; disjunctive test with a more-than-12-month “ongoing” threshold)</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1.2 and Section 3 (conjunctive test; no duration threshold)</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Definitions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 (definitions are in the Notices)</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Section 3</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Group-wide observance duty</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2.3</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Reference to the MAS Information Paper on third-party arrangements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Footnote 3 to 1.5</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Register submission to MAS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Footnote 21 to 3.8.2(a) (template link; no stated frequency)</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4.1.1 and Annex 4 (at least annually or upon request)</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MAS powers over a live arrangement</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3.4.5 – 3.4.6 (MAS-directed termination)</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4.1.3 (modify, alternative arrangements or re-integration)</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Supervisory overview</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5.1.1</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Delegation of board functions for foreign-incorporated institutions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5.2.5 (opening sentence) and the Section 3 definition of “board”</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Legal advice on overseas disclosure of customer information</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3.2.3</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Policies on frequency of checks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3.3.6</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 (cf. 5.8.2(d))</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Outsourcing agreement checklist</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3.4.2 (ten items; Notices 7.1 requirements via footnotes 9 and 12)</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5.5.2 (eleven items, including (j) sub-contracting)</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Contractual termination triggers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3.4.3 (confidentiality-centred; termination by reasonable notice)</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5.5.2(i) (change of ownership, insolvency, receivership or judicial management, breach, performance deterioration)</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Deletion of information on termination</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3.4.7 (extends to non-customer information)</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5.7.2(c) only</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Customer consent before sub-contracting</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3.5.2</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Prescribed contents of the sub-contract</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3.5.3</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Notification of sub-contractor engagement (30 days)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3.5.4</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Annual review of material outsourcing arrangements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 (periodic-review obligations are in the Notices)</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5.8.2(d)</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MAS access to service providers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Statutory – section 47A(10) of the Banking Act (see 3.4.5(f))</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Contractual – 5.9.2(b)</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Service provider reports to MAS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5.9.3</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Sub-contractor audit coverage</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3.9.3 (“endeavour to subject”)</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5.9.4 (“ensure that these expectations are met”)</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Reliance on certifications and pooled audits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3.9.8</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Submission of audit reports to MAS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3.9.7 (“upon request”)</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5.9.8 (no “upon request” for audit reports)</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Overseas outsourcing – confirmation and notification to MAS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5.10.2(b) (written confirmation) and 5.10.2(c) (notification)</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Outsourcing within a group – wording</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3.11.1 (“including subsidiaries of Singapore-incorporated banks”)</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5.11.1 (without that phrase; see also 2.3)</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Outsourcing internal audit – permitted departures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Footnote 26 (no size limit)</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Footnote 20 (limited to small institutions)</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Exempted services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Annex D of the Notices</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Annex 1</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Examples of outsourcing arrangements</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 (Notice 658 Annexes A – C)</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Annex 2</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Applicability framework by category of service</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Annex 3</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None</w:t>
            </w:r>
          </w:p>
        </w:tc>
      </w:tr>
      <w:tr w:rsidR="004F6066" w:rsidRPr="004F79C9" w14:paraId="6CF0B94B" w14:textId="0B7D30D9" w:rsidTr="004F6066">
        <w:trPr>
          <w:trHeight w:val="377"/>
        </w:trPr>
        <w:tc>
          <w:tcPr>
            <w:tcW w:w="2127" w:type="dxa"/>
          </w:tcPr>
          <w:p w14:paraId="240C48A1" w14:textId="505E6FF6" w:rsidR="004F6066" w:rsidRPr="009F4FCE" w:rsidRDefault="004F6066" w:rsidP="00F23296">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Register template</w:t>
            </w:r>
          </w:p>
        </w:tc>
        <w:tc>
          <w:tcPr>
            <w:tcW w:w="2357" w:type="dxa"/>
          </w:tcPr>
          <w:p w14:paraId="064B027D" w14:textId="3063EF02" w:rsidR="004F6066" w:rsidRPr="009F4FCE"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Footnote 21 link</w:t>
            </w:r>
          </w:p>
        </w:tc>
        <w:tc>
          <w:tcPr>
            <w:tcW w:w="2357" w:type="dxa"/>
          </w:tcPr>
          <w:p w14:paraId="5CC7BCFD" w14:textId="26CDCF71" w:rsidR="004F6066" w:rsidRDefault="004F6066" w:rsidP="00F23296">
            <w:pPr>
              <w:pStyle w:val="BodyText"/>
              <w:rPr>
                <w:rFonts w:asciiTheme="majorHAnsi" w:hAnsiTheme="majorHAnsi" w:cstheme="majorHAnsi"/>
                <w:sz w:val="18"/>
                <w:szCs w:val="18"/>
              </w:rPr>
            </w:pPr>
            <w:r>
              <w:rPr>
                <w:rFonts w:asciiTheme="majorHAnsi" w:hAnsiTheme="majorHAnsi" w:cstheme="majorHAnsi"/>
                <w:sz w:val="18"/>
                <w:szCs w:val="18"/>
              </w:rPr>
              <w:t xml:space="preserve">Annex 4</w:t>
            </w:r>
          </w:p>
        </w:tc>
      </w:tr>
    </w:tbl>
    <w:p w14:paraId="0B88E8C0" w14:textId="397BD91B" w:rsidR="0095788E" w:rsidRDefault="0095788E" w:rsidP="004F6066">
      <w:pPr>
        <w:pStyle w:val="BodyText1"/>
        <w:ind w:left="0"/>
      </w:pPr>
    </w:p>
    <w:p w14:paraId="04EDFFD2" w14:textId="69E1ADAC" w:rsidR="004F6066" w:rsidRPr="004F6066" w:rsidRDefault="0095788E" w:rsidP="0095788E">
      <w:pPr>
        <w:spacing w:after="240" w:line="276" w:lineRule="auto"/>
      </w:pPr>
      <w:r>
        <w:br w:type="page"/>
      </w:r>
    </w:p>
    <w:p w14:paraId="71E18BCD" w14:textId="4DD6BD75" w:rsidR="004F79C9" w:rsidRPr="004F79C9" w:rsidRDefault="004F79C9" w:rsidP="004F79C9">
      <w:pPr>
        <w:pStyle w:val="Level1Heading"/>
        <w:rPr>
          <w:rFonts w:asciiTheme="majorHAnsi" w:hAnsiTheme="majorHAnsi" w:cstheme="majorHAnsi"/>
          <w:iCs/>
          <w:sz w:val="18"/>
          <w:szCs w:val="18"/>
        </w:rPr>
      </w:pPr>
      <w:r>
        <w:rPr>
          <w:rFonts w:asciiTheme="majorHAnsi" w:hAnsiTheme="majorHAnsi" w:cstheme="majorHAnsi"/>
          <w:iCs/>
          <w:sz w:val="18"/>
          <w:szCs w:val="18"/>
        </w:rPr>
        <w:lastRenderedPageBreak/>
        <w:t>Comparative Table of Differences between the two MAS Outstanding Guidelines</w:t>
      </w:r>
    </w:p>
    <w:tbl>
      <w:tblPr>
        <w:tblStyle w:val="TableGrid"/>
        <w:tblW w:w="14215" w:type="dxa"/>
        <w:tblLayout w:type="fixed"/>
        <w:tblLook w:val="04A0" w:firstRow="1" w:lastRow="0" w:firstColumn="1" w:lastColumn="0" w:noHBand="0" w:noVBand="1"/>
      </w:tblPr>
      <w:tblGrid>
        <w:gridCol w:w="625"/>
        <w:gridCol w:w="5670"/>
        <w:gridCol w:w="5731"/>
        <w:gridCol w:w="2189"/>
      </w:tblGrid>
      <w:tr w:rsidR="00A37DFE" w:rsidRPr="00DD537D" w14:paraId="3DA5480E" w14:textId="692C74EF" w:rsidTr="00DC7DDC">
        <w:trPr>
          <w:trHeight w:val="664"/>
          <w:tblHeader/>
        </w:trPr>
        <w:tc>
          <w:tcPr>
            <w:tcW w:w="625" w:type="dxa"/>
            <w:shd w:val="clear" w:color="auto" w:fill="808080" w:themeFill="background1" w:themeFillShade="80"/>
          </w:tcPr>
          <w:bookmarkEnd w:id="1"/>
          <w:p w14:paraId="2941FC8C" w14:textId="422C0B21" w:rsidR="00A37DFE" w:rsidRPr="00DD537D" w:rsidRDefault="00A37DFE" w:rsidP="00A37DFE">
            <w:pPr>
              <w:spacing w:before="60" w:after="60"/>
              <w:jc w:val="right"/>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No.</w:t>
            </w:r>
          </w:p>
        </w:tc>
        <w:tc>
          <w:tcPr>
            <w:tcW w:w="5670" w:type="dxa"/>
            <w:shd w:val="clear" w:color="auto" w:fill="808080" w:themeFill="background1" w:themeFillShade="80"/>
          </w:tcPr>
          <w:p w14:paraId="63824F50" w14:textId="25B09D3E" w:rsidR="00A37DFE" w:rsidRPr="00DD537D" w:rsidRDefault="00A37DFE" w:rsidP="004F79C9">
            <w:pPr>
              <w:spacing w:before="60" w:after="60"/>
              <w:jc w:val="center"/>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Outsourcing Guidelines (Banks)</w:t>
            </w:r>
          </w:p>
        </w:tc>
        <w:tc>
          <w:tcPr>
            <w:tcW w:w="5731" w:type="dxa"/>
            <w:shd w:val="clear" w:color="auto" w:fill="808080" w:themeFill="background1" w:themeFillShade="80"/>
          </w:tcPr>
          <w:p w14:paraId="56EEAAAF" w14:textId="2B5A9866" w:rsidR="00A37DFE" w:rsidRPr="00DD537D" w:rsidRDefault="00A37DFE" w:rsidP="004F79C9">
            <w:pPr>
              <w:spacing w:before="60" w:after="60"/>
              <w:jc w:val="center"/>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Outsourcing Guidelines (Financial Institutions Other than Banks)</w:t>
            </w:r>
          </w:p>
        </w:tc>
        <w:tc>
          <w:tcPr>
            <w:tcW w:w="2189" w:type="dxa"/>
            <w:shd w:val="clear" w:color="auto" w:fill="808080" w:themeFill="background1" w:themeFillShade="80"/>
          </w:tcPr>
          <w:p w14:paraId="698ED3AE" w14:textId="4E9AABEA" w:rsidR="00A37DFE" w:rsidRPr="00DD537D" w:rsidRDefault="00A37DFE" w:rsidP="00A37DFE">
            <w:pPr>
              <w:spacing w:before="60" w:after="60"/>
              <w:rPr>
                <w:rFonts w:asciiTheme="majorHAnsi" w:hAnsiTheme="majorHAnsi" w:cstheme="majorHAnsi"/>
                <w:b/>
                <w:color w:val="FFFFFF" w:themeColor="background1"/>
                <w:sz w:val="18"/>
                <w:szCs w:val="18"/>
              </w:rPr>
            </w:pPr>
            <w:r>
              <w:rPr>
                <w:rFonts w:asciiTheme="majorHAnsi" w:hAnsiTheme="majorHAnsi" w:cstheme="majorHAnsi"/>
                <w:b/>
                <w:color w:val="FFFFFF" w:themeColor="background1"/>
                <w:sz w:val="18"/>
                <w:szCs w:val="18"/>
              </w:rPr>
              <w:t>Differences</w:t>
            </w:r>
          </w:p>
        </w:tc>
      </w:tr>
      <w:tr w:rsidR="00A37DFE" w:rsidRPr="00DD537D" w14:paraId="737835E3" w14:textId="77777777" w:rsidTr="00DC7DDC">
        <w:trPr>
          <w:trHeight w:val="305"/>
        </w:trPr>
        <w:tc>
          <w:tcPr>
            <w:tcW w:w="625" w:type="dxa"/>
            <w:shd w:val="clear" w:color="auto" w:fill="D9D9D9" w:themeFill="background1" w:themeFillShade="D9"/>
          </w:tcPr>
          <w:p w14:paraId="0BC32915" w14:textId="77777777" w:rsidR="00A37DFE" w:rsidRDefault="00A37DFE" w:rsidP="00A37DFE">
            <w:pPr>
              <w:pStyle w:val="BodyText"/>
              <w:numPr>
                <w:ilvl w:val="0"/>
                <w:numId w:val="12"/>
              </w:numPr>
              <w:ind w:left="0"/>
              <w:jc w:val="right"/>
              <w:rPr>
                <w:rFonts w:asciiTheme="majorHAnsi" w:hAnsiTheme="majorHAnsi" w:cstheme="majorHAnsi"/>
                <w:sz w:val="18"/>
                <w:szCs w:val="18"/>
              </w:rPr>
            </w:pPr>
          </w:p>
        </w:tc>
        <w:tc>
          <w:tcPr>
            <w:tcW w:w="13590" w:type="dxa"/>
            <w:gridSpan w:val="3"/>
            <w:shd w:val="clear" w:color="auto" w:fill="D9D9D9" w:themeFill="background1" w:themeFillShade="D9"/>
          </w:tcPr>
          <w:p w14:paraId="447FBCBB" w14:textId="3EF720F1" w:rsidR="00A37DFE" w:rsidRPr="00A37DFE" w:rsidRDefault="00A37DFE" w:rsidP="00A37DFE">
            <w:pPr>
              <w:keepNext/>
              <w:keepLines/>
              <w:tabs>
                <w:tab w:val="left" w:pos="360"/>
              </w:tabs>
              <w:spacing w:line="276" w:lineRule="auto"/>
              <w:rPr>
                <w:rFonts w:asciiTheme="majorHAnsi" w:hAnsiTheme="majorHAnsi" w:cstheme="majorHAnsi"/>
                <w:b/>
                <w:bCs/>
                <w:sz w:val="18"/>
                <w:szCs w:val="18"/>
                <w:lang w:val="en-US"/>
              </w:rPr>
            </w:pPr>
            <w:r>
              <w:rPr>
                <w:rFonts w:asciiTheme="majorHAnsi" w:hAnsiTheme="majorHAnsi" w:cstheme="majorHAnsi"/>
                <w:b/>
                <w:bCs/>
                <w:sz w:val="18"/>
                <w:szCs w:val="18"/>
                <w:lang w:val="en-US"/>
              </w:rPr>
              <w:t>Introduction</w:t>
            </w:r>
          </w:p>
        </w:tc>
      </w:tr>
      <w:tr w:rsidR="00A37DFE" w:rsidRPr="00DD537D" w14:paraId="0A88D9B3" w14:textId="22831282" w:rsidTr="00DC7DDC">
        <w:trPr>
          <w:trHeight w:val="3185"/>
        </w:trPr>
        <w:tc>
          <w:tcPr>
            <w:tcW w:w="625" w:type="dxa"/>
          </w:tcPr>
          <w:p w14:paraId="14CEFF7D" w14:textId="08A8D809" w:rsidR="00A37DFE" w:rsidRPr="00DD537D" w:rsidRDefault="00A37DFE" w:rsidP="00A37DFE">
            <w:pPr>
              <w:pStyle w:val="BodyText"/>
              <w:rPr>
                <w:rFonts w:asciiTheme="majorHAnsi" w:hAnsiTheme="majorHAnsi" w:cstheme="majorHAnsi"/>
                <w:sz w:val="18"/>
                <w:szCs w:val="18"/>
              </w:rPr>
            </w:pPr>
            <w:r>
              <w:rPr>
                <w:rFonts w:asciiTheme="majorHAnsi" w:hAnsiTheme="majorHAnsi" w:cstheme="majorHAnsi"/>
                <w:sz w:val="18"/>
                <w:szCs w:val="18"/>
              </w:rPr>
              <w:t xml:space="preserve">1.1 </w:t>
            </w:r>
          </w:p>
        </w:tc>
        <w:tc>
          <w:tcPr>
            <w:tcW w:w="5670" w:type="dxa"/>
          </w:tcPr>
          <w:p w14:paraId="642C175B" w14:textId="349E76F8" w:rsidR="00A37DFE" w:rsidRPr="009F4FCE" w:rsidRDefault="00A37DFE" w:rsidP="00A37DFE">
            <w:pPr>
              <w:spacing w:line="276" w:lineRule="auto"/>
              <w:rPr>
                <w:rFonts w:asciiTheme="majorHAnsi" w:hAnsiTheme="majorHAnsi" w:cstheme="majorHAnsi"/>
                <w:sz w:val="18"/>
                <w:szCs w:val="18"/>
                <w:lang w:val="en-US"/>
              </w:rPr>
            </w:pPr>
            <w:r>
              <w:rPr>
                <w:rFonts w:asciiTheme="majorHAnsi" w:hAnsiTheme="majorHAnsi" w:cstheme="majorHAnsi"/>
                <w:sz w:val="18"/>
                <w:szCs w:val="18"/>
              </w:rPr>
              <w:t xml:space="preserve">While outsourcing arrangements can bring cost and other benefits, it may increase the risk profile of an institution due to, for example, reputation, compliance and operational risks arising from failure of a service provider in providing the service, breaches in security, or the institution’s inability to comply with legal and regulatory requirements. An institution can also be exposed to country risk when a service provider is located overseas and concentration risk when more than one function is outsourced to the same service provider. Outsourcing does not diminish the obligations of an institution, and those of its board and senior management to comply with relevant laws and regulations in Singapore, it is thus important that an institution adopts a sound and responsive risk management framework for its outsourcing arrangements. </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[1.1]</w:t>
            </w:r>
            <w:r>
              <w:rPr>
                <w:rFonts w:asciiTheme="majorHAnsi" w:hAnsiTheme="majorHAnsi" w:cstheme="majorHAnsi"/>
                <w:sz w:val="18"/>
                <w:szCs w:val="18"/>
              </w:rPr>
              <w:t xml:space="preserve"> While outsourcing arrangements can bring cost and other benefits, it may increase the risk profile of an institution due to, for example, reputation, compliance and operational risks arising from failure of a service provider in providing the service, breaches in security, or the institution’s inability to comply with legal and regulatory requirements. An institution can also be exposed to country risk when a service provider is located overseas and concentration risk when more than one function is outsourced to the same service provider. Outsourcing does not diminish the obligations of an institution, and those of its board and senior management to comply with relevant laws and regulations in Singapore, it is thus important that an institution adopts a sound and responsive risk management framework for its outsourcing arrangements.</w:t>
            </w:r>
          </w:p>
        </w:tc>
        <w:tc>
          <w:tcPr>
            <w:tcW w:w="2189" w:type="dxa"/>
          </w:tcPr>
          <w:p w14:paraId="1969CB36" w14:textId="408C8227" w:rsidR="00A37DFE" w:rsidRPr="004F79C9" w:rsidRDefault="004F79C9" w:rsidP="004F79C9">
            <w:pPr>
              <w:spacing w:line="276" w:lineRule="auto"/>
              <w:jc w:val="center"/>
              <w:rPr>
                <w:rFonts w:asciiTheme="majorHAnsi" w:hAnsiTheme="majorHAnsi" w:cstheme="majorHAnsi"/>
                <w:b/>
                <w:bCs/>
                <w:sz w:val="18"/>
                <w:szCs w:val="18"/>
              </w:rPr>
            </w:pPr>
            <w:r>
              <w:rPr>
                <w:rFonts w:asciiTheme="majorHAnsi" w:hAnsiTheme="majorHAnsi" w:cstheme="majorHAnsi"/>
                <w:b/>
                <w:bCs/>
                <w:sz w:val="18"/>
                <w:szCs w:val="18"/>
              </w:rPr>
              <w:t>None</w:t>
            </w:r>
          </w:p>
        </w:tc>
      </w:tr>
      <w:tr w:rsidR="00A37DFE" w:rsidRPr="00DD537D" w14:paraId="30FD51A3" w14:textId="77777777" w:rsidTr="00DC7DDC">
        <w:tc>
          <w:tcPr>
            <w:tcW w:w="625" w:type="dxa"/>
          </w:tcPr>
          <w:p w14:paraId="6AF94ACE" w14:textId="42E01203" w:rsidR="00A37DFE" w:rsidRDefault="00A37DFE" w:rsidP="00A37DFE">
            <w:pPr>
              <w:pStyle w:val="BodyText"/>
              <w:rPr>
                <w:rFonts w:asciiTheme="majorHAnsi" w:hAnsiTheme="majorHAnsi" w:cstheme="majorHAnsi"/>
                <w:sz w:val="18"/>
                <w:szCs w:val="18"/>
              </w:rPr>
            </w:pPr>
            <w:r>
              <w:rPr>
                <w:rFonts w:asciiTheme="majorHAnsi" w:hAnsiTheme="majorHAnsi" w:cstheme="majorHAnsi"/>
                <w:sz w:val="18"/>
                <w:szCs w:val="18"/>
              </w:rPr>
              <w:t>1.2</w:t>
            </w:r>
          </w:p>
        </w:tc>
        <w:tc>
          <w:tcPr>
            <w:tcW w:w="5670" w:type="dxa"/>
          </w:tcPr>
          <w:p w14:paraId="43A2C546" w14:textId="77777777" w:rsidR="00A37DFE" w:rsidRPr="009F4FCE" w:rsidRDefault="00A37DFE"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These Guidelines on Outsourcing (“Guidelines”) set out the Monetary Authority of Singapore’s (MAS) expectations of a bank or merchant bank (hereafter collectively referred to as “Bank”) that has entered into or is planning to enter into, an arrangement for </w:t>
            </w:r>
            <w:r>
              <w:rPr>
                <w:rFonts w:asciiTheme="majorHAnsi" w:hAnsiTheme="majorHAnsi" w:cstheme="majorHAnsi"/>
                <w:sz w:val="18"/>
                <w:szCs w:val="18"/>
                <w:highlight w:val="yellow"/>
              </w:rPr>
              <w:t>ongoing outsourced relevant services</w:t>
            </w:r>
            <w:r>
              <w:rPr>
                <w:rFonts w:asciiTheme="majorHAnsi" w:hAnsiTheme="majorHAnsi" w:cstheme="majorHAnsi"/>
                <w:sz w:val="18"/>
                <w:szCs w:val="18"/>
              </w:rPr>
              <w:t xml:space="preserve"> (“outsourcing arrangement”)</w:t>
            </w:r>
            <w:r>
              <w:rPr>
                <w:rFonts w:asciiTheme="majorHAnsi" w:hAnsiTheme="majorHAnsi" w:cstheme="majorHAnsi"/>
                <w:sz w:val="18"/>
                <w:szCs w:val="18"/>
                <w:vertAlign w:val="superscript"/>
              </w:rPr>
              <w:t>1</w:t>
            </w:r>
            <w:r>
              <w:rPr>
                <w:rFonts w:asciiTheme="majorHAnsi" w:hAnsiTheme="majorHAnsi" w:cstheme="majorHAnsi"/>
                <w:sz w:val="18"/>
                <w:szCs w:val="18"/>
              </w:rPr>
              <w:t xml:space="preserve">, with the exception of exempted Outsourced Relevant Services in </w:t>
            </w:r>
            <w:r>
              <w:rPr>
                <w:rFonts w:asciiTheme="majorHAnsi" w:hAnsiTheme="majorHAnsi" w:cstheme="majorHAnsi"/>
                <w:sz w:val="18"/>
                <w:szCs w:val="18"/>
                <w:highlight w:val="yellow"/>
              </w:rPr>
              <w:t>Annex D of MAS Notices 658 and 1121</w:t>
            </w:r>
            <w:r>
              <w:rPr>
                <w:rFonts w:asciiTheme="majorHAnsi" w:hAnsiTheme="majorHAnsi" w:cstheme="majorHAnsi"/>
                <w:sz w:val="18"/>
                <w:szCs w:val="18"/>
              </w:rPr>
              <w:t xml:space="preserve"> (“Notices”). A Bank should conduct a self-assessment of all existing outsourcing arrangements against these Guidelines</w:t>
            </w:r>
            <w:r>
              <w:rPr>
                <w:rFonts w:asciiTheme="majorHAnsi" w:hAnsiTheme="majorHAnsi" w:cstheme="majorHAnsi"/>
                <w:sz w:val="18"/>
                <w:szCs w:val="18"/>
                <w:vertAlign w:val="superscript"/>
              </w:rPr>
              <w:t>2</w:t>
            </w:r>
            <w:r>
              <w:rPr>
                <w:rFonts w:asciiTheme="majorHAnsi" w:hAnsiTheme="majorHAnsi" w:cstheme="majorHAnsi"/>
                <w:sz w:val="18"/>
                <w:szCs w:val="18"/>
              </w:rPr>
              <w:t>.</w:t>
            </w:r>
          </w:p>
          <w:p w14:paraId="29943DEE" w14:textId="77777777" w:rsidR="009F4FCE" w:rsidRPr="009F4FCE" w:rsidRDefault="009F4FCE" w:rsidP="00A37DFE">
            <w:pPr>
              <w:tabs>
                <w:tab w:val="left" w:pos="360"/>
              </w:tabs>
              <w:spacing w:line="276" w:lineRule="auto"/>
              <w:rPr>
                <w:rFonts w:asciiTheme="majorHAnsi" w:hAnsiTheme="majorHAnsi" w:cstheme="majorHAnsi"/>
                <w:sz w:val="18"/>
                <w:szCs w:val="18"/>
              </w:rPr>
            </w:pPr>
          </w:p>
          <w:p w14:paraId="48FA5831" w14:textId="77777777" w:rsidR="009F4FCE" w:rsidRPr="009F4FCE" w:rsidRDefault="009F4FCE" w:rsidP="009F4FCE">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w:t>
            </w:r>
            <w:r>
              <w:rPr>
                <w:rFonts w:asciiTheme="majorHAnsi" w:hAnsiTheme="majorHAnsi" w:cstheme="majorHAnsi"/>
                <w:sz w:val="16"/>
                <w:szCs w:val="16"/>
              </w:rPr>
              <w:t xml:space="preserve"> – Includes both material and non-material ongoing outsourcing arrangements.</w:t>
            </w:r>
          </w:p>
          <w:p w14:paraId="78B7BDBD" w14:textId="34BC5E48" w:rsidR="009F4FCE" w:rsidRPr="009F4FCE" w:rsidRDefault="009F4FCE" w:rsidP="009F4FCE">
            <w:pPr>
              <w:pStyle w:val="BodyText"/>
              <w:rPr>
                <w:rFonts w:asciiTheme="majorHAnsi" w:hAnsiTheme="majorHAnsi" w:cstheme="majorHAnsi"/>
                <w:sz w:val="18"/>
                <w:szCs w:val="18"/>
                <w:lang w:val="en-US"/>
              </w:rPr>
            </w:pPr>
            <w:r>
              <w:rPr>
                <w:rFonts w:asciiTheme="majorHAnsi" w:hAnsiTheme="majorHAnsi" w:cstheme="majorHAnsi"/>
                <w:sz w:val="16"/>
                <w:szCs w:val="16"/>
                <w:vertAlign w:val="superscript"/>
              </w:rPr>
              <w:t xml:space="preserve">2</w:t>
            </w:r>
            <w:r>
              <w:rPr>
                <w:rFonts w:asciiTheme="majorHAnsi" w:hAnsiTheme="majorHAnsi" w:cstheme="majorHAnsi"/>
                <w:sz w:val="16"/>
                <w:szCs w:val="16"/>
              </w:rPr>
              <w:t xml:space="preserve"> – This includes Banks which are bound by outsourcing arrangements as a result of an acquisition of the business of another institution.</w:t>
            </w:r>
          </w:p>
        </w:tc>
        <w:tc>
          <w:tcPr>
            <w:tcW w:w="5731" w:type="dxa"/>
          </w:tcPr>
          <w:p w14:paraId="20B173F6" w14:textId="7FDA7BFF" w:rsidR="00A37DFE" w:rsidRPr="009F4FCE" w:rsidRDefault="00A37DFE" w:rsidP="00A37DFE">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[1.2] </w:t>
            </w:r>
            <w:r>
              <w:rPr>
                <w:rFonts w:asciiTheme="majorHAnsi" w:hAnsiTheme="majorHAnsi" w:cstheme="majorHAnsi"/>
                <w:sz w:val="18"/>
                <w:szCs w:val="18"/>
              </w:rPr>
              <w:t xml:space="preserve">These Guidelines on Outsourcing (“Guidelines”) set out the Monetary Authority of Singapore’s (MAS) expectations of a financial institution (other than a bank or merchant bank) that has entered into any </w:t>
            </w:r>
            <w:r>
              <w:rPr>
                <w:rFonts w:asciiTheme="majorHAnsi" w:hAnsiTheme="majorHAnsi" w:cstheme="majorHAnsi"/>
                <w:sz w:val="18"/>
                <w:szCs w:val="18"/>
                <w:highlight w:val="yellow"/>
              </w:rPr>
              <w:t>outsourcing arrangement or is planning to outsource its business activities</w:t>
            </w:r>
            <w:r>
              <w:rPr>
                <w:rFonts w:asciiTheme="majorHAnsi" w:hAnsiTheme="majorHAnsi" w:cstheme="majorHAnsi"/>
                <w:sz w:val="18"/>
                <w:szCs w:val="18"/>
                <w:highlight w:val="yellow"/>
                <w:vertAlign w:val="superscript"/>
              </w:rPr>
              <w:t>1</w:t>
            </w:r>
            <w:r>
              <w:rPr>
                <w:rFonts w:asciiTheme="majorHAnsi" w:hAnsiTheme="majorHAnsi" w:cstheme="majorHAnsi"/>
                <w:sz w:val="18"/>
                <w:szCs w:val="18"/>
              </w:rPr>
              <w:t xml:space="preserve"> to a service provider, with the exception of exempted outsourced services in </w:t>
            </w:r>
            <w:r>
              <w:rPr>
                <w:rFonts w:asciiTheme="majorHAnsi" w:hAnsiTheme="majorHAnsi" w:cstheme="majorHAnsi"/>
                <w:sz w:val="18"/>
                <w:szCs w:val="18"/>
                <w:highlight w:val="yellow"/>
              </w:rPr>
              <w:t>Annex 1</w:t>
            </w:r>
            <w:r>
              <w:rPr>
                <w:rFonts w:asciiTheme="majorHAnsi" w:hAnsiTheme="majorHAnsi" w:cstheme="majorHAnsi"/>
                <w:sz w:val="18"/>
                <w:szCs w:val="18"/>
              </w:rPr>
              <w:t>. An institution should conduct a self- assessment of all existing outsourcing arrangements against these Guidelines</w:t>
            </w:r>
            <w:r>
              <w:rPr>
                <w:rFonts w:asciiTheme="majorHAnsi" w:hAnsiTheme="majorHAnsi" w:cstheme="majorHAnsi"/>
                <w:sz w:val="18"/>
                <w:szCs w:val="18"/>
                <w:vertAlign w:val="superscript"/>
              </w:rPr>
              <w:t>2</w:t>
            </w:r>
            <w:r>
              <w:rPr>
                <w:rFonts w:asciiTheme="majorHAnsi" w:hAnsiTheme="majorHAnsi" w:cstheme="majorHAnsi"/>
                <w:sz w:val="18"/>
                <w:szCs w:val="18"/>
              </w:rPr>
              <w:t>.</w:t>
            </w:r>
          </w:p>
          <w:p w14:paraId="25D27DEA" w14:textId="3390CED0" w:rsidR="004F79C9" w:rsidRPr="009F4FCE" w:rsidRDefault="009F4FCE" w:rsidP="00A37DFE">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w:t>
            </w:r>
            <w:r>
              <w:rPr>
                <w:rFonts w:asciiTheme="majorHAnsi" w:hAnsiTheme="majorHAnsi" w:cstheme="majorHAnsi"/>
                <w:sz w:val="16"/>
                <w:szCs w:val="16"/>
              </w:rPr>
              <w:t xml:space="preserve"> – Any reference in these Guidelines to “business activities” of an institution is to be construed as a reference to the business and operational functions and processes of the institution.</w:t>
            </w:r>
          </w:p>
          <w:p w14:paraId="3BF6F412" w14:textId="61E7EE33" w:rsidR="009F4FCE" w:rsidRPr="009F4FCE" w:rsidRDefault="009F4FCE" w:rsidP="00A37DFE">
            <w:pPr>
              <w:pStyle w:val="BodyText"/>
              <w:rPr>
                <w:rFonts w:asciiTheme="majorHAnsi" w:hAnsiTheme="majorHAnsi" w:cstheme="majorHAnsi"/>
                <w:sz w:val="18"/>
                <w:szCs w:val="18"/>
              </w:rPr>
            </w:pPr>
            <w:r>
              <w:rPr>
                <w:rFonts w:asciiTheme="majorHAnsi" w:hAnsiTheme="majorHAnsi" w:cstheme="majorHAnsi"/>
                <w:sz w:val="16"/>
                <w:szCs w:val="16"/>
                <w:vertAlign w:val="superscript"/>
              </w:rPr>
              <w:t xml:space="preserve">2</w:t>
            </w:r>
            <w:r>
              <w:rPr>
                <w:rFonts w:asciiTheme="majorHAnsi" w:hAnsiTheme="majorHAnsi" w:cstheme="majorHAnsi"/>
                <w:sz w:val="16"/>
                <w:szCs w:val="16"/>
              </w:rPr>
              <w:t xml:space="preserve"> – This includes institutions which are bound by outsourcing arrangements as a result of an acquisition of the business of another institution.</w:t>
            </w:r>
          </w:p>
        </w:tc>
        <w:tc>
          <w:tcPr>
            <w:tcW w:w="2189" w:type="dxa"/>
          </w:tcPr>
          <w:p w14:paraId="0E872C26" w14:textId="77777777" w:rsidR="00571E63" w:rsidRDefault="00571E63" w:rsidP="00571E63">
            <w:pPr>
              <w:pStyle w:val="ListParagraph"/>
              <w:numPr>
                <w:ilvl w:val="0"/>
                <w:numId w:val="29"/>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Addressed to different people: banks and FIs.</w:t>
            </w:r>
          </w:p>
          <w:p w14:paraId="7FAA34CE" w14:textId="77777777" w:rsidR="00571E63" w:rsidRDefault="00571E63" w:rsidP="00571E63">
            <w:pPr>
              <w:pStyle w:val="ListParagraph"/>
              <w:numPr>
                <w:ilvl w:val="0"/>
                <w:numId w:val="29"/>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The Bank Guidelines imports the concept of “ongoing outsourced relevant services” from Notice 658 and 1121; the FI  Guidelines uses “outsourcing arrangement”, as defined within the document itself.</w:t>
            </w:r>
          </w:p>
          <w:p w14:paraId="0BFE2C7C" w14:textId="2D514C5B" w:rsidR="00571E63" w:rsidRPr="00571E63" w:rsidRDefault="00571E63" w:rsidP="00571E63">
            <w:pPr>
              <w:pStyle w:val="ListParagraph"/>
              <w:numPr>
                <w:ilvl w:val="0"/>
                <w:numId w:val="29"/>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lastRenderedPageBreak/>
              <w:t xml:space="preserve">The exemption lists are found in different places: Annex D of Notices 658 and 1121 from the Bank Guidelines, and Annex 1 from the FI Guidelines.</w:t>
            </w:r>
          </w:p>
        </w:tc>
      </w:tr>
      <w:tr w:rsidR="00A37DFE" w:rsidRPr="00DD537D" w14:paraId="4017719C" w14:textId="77777777" w:rsidTr="00DC7DDC">
        <w:tc>
          <w:tcPr>
            <w:tcW w:w="625" w:type="dxa"/>
          </w:tcPr>
          <w:p w14:paraId="702F119F" w14:textId="2762AD53" w:rsidR="00A37DFE" w:rsidRDefault="004F79C9" w:rsidP="00A37DFE">
            <w:pPr>
              <w:pStyle w:val="BodyText"/>
              <w:rPr>
                <w:rFonts w:asciiTheme="majorHAnsi" w:hAnsiTheme="majorHAnsi" w:cstheme="majorHAnsi"/>
                <w:sz w:val="18"/>
                <w:szCs w:val="18"/>
              </w:rPr>
            </w:pPr>
            <w:r>
              <w:rPr>
                <w:rFonts w:asciiTheme="majorHAnsi" w:hAnsiTheme="majorHAnsi" w:cstheme="majorHAnsi"/>
                <w:sz w:val="18"/>
                <w:szCs w:val="18"/>
              </w:rPr>
              <w:lastRenderedPageBreak/>
              <w:t>1.3</w:t>
            </w:r>
          </w:p>
        </w:tc>
        <w:tc>
          <w:tcPr>
            <w:tcW w:w="5670" w:type="dxa"/>
          </w:tcPr>
          <w:p w14:paraId="58C3FCFE" w14:textId="5C80F3D5" w:rsidR="00A37DFE" w:rsidRPr="009F4FCE" w:rsidRDefault="009F4FCE"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The extent and degree to which a Bank implements the expectations in these Guidelines should be commensurate with the nature of risks in, and materiality of, the outsourcing arrangement, including outsourcing arrangements involving an MAS-regulated entity. A Bank should ensure that outsourced services (whether provided by a service provider or its sub-contractor) continue to be managed as if the services were still managed by the Bank.</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[2.1]</w:t>
            </w:r>
            <w:r>
              <w:rPr>
                <w:rFonts w:asciiTheme="majorHAnsi" w:hAnsiTheme="majorHAnsi" w:cstheme="majorHAnsi"/>
                <w:sz w:val="18"/>
                <w:szCs w:val="18"/>
              </w:rPr>
              <w:t xml:space="preserve"> The extent and degree to which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implements the expectations in these Guidelines should be commensurate with the nature of risks in, and materiality of, the outsourcing arrangement, including outsourcing arrangements involving an MAS-regulated entity.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that outsourced services (whether provided by a service provider or its sub-contractor) continue to be managed as if the services were still managed by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w:t>
            </w:r>
          </w:p>
        </w:tc>
        <w:tc>
          <w:tcPr>
            <w:tcW w:w="2189" w:type="dxa"/>
          </w:tcPr>
          <w:p w14:paraId="732A7D57" w14:textId="19CC74A9" w:rsidR="00B262CC" w:rsidRPr="00B262CC" w:rsidRDefault="00B262CC" w:rsidP="00B262CC">
            <w:pPr>
              <w:pStyle w:val="ListParagraph"/>
              <w:numPr>
                <w:ilvl w:val="0"/>
                <w:numId w:val="30"/>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1.3 from the Bank Guidelines is found in 2.1 of the FI Guidelines, with the only changes being the relevant institutions (FIs and banks).</w:t>
            </w:r>
          </w:p>
        </w:tc>
      </w:tr>
      <w:tr w:rsidR="00A37DFE" w:rsidRPr="00DD537D" w14:paraId="034FEB83" w14:textId="77777777" w:rsidTr="00DC7DDC">
        <w:tc>
          <w:tcPr>
            <w:tcW w:w="625" w:type="dxa"/>
          </w:tcPr>
          <w:p w14:paraId="5E6E4303" w14:textId="50BD8563" w:rsidR="00A37DFE" w:rsidRDefault="004F79C9" w:rsidP="00A37DFE">
            <w:pPr>
              <w:pStyle w:val="BodyText"/>
              <w:rPr>
                <w:rFonts w:asciiTheme="majorHAnsi" w:hAnsiTheme="majorHAnsi" w:cstheme="majorHAnsi"/>
                <w:sz w:val="18"/>
                <w:szCs w:val="18"/>
              </w:rPr>
            </w:pPr>
            <w:r>
              <w:rPr>
                <w:rFonts w:asciiTheme="majorHAnsi" w:hAnsiTheme="majorHAnsi" w:cstheme="majorHAnsi"/>
                <w:sz w:val="18"/>
                <w:szCs w:val="18"/>
              </w:rPr>
              <w:t>1.4</w:t>
            </w:r>
          </w:p>
        </w:tc>
        <w:tc>
          <w:tcPr>
            <w:tcW w:w="5670" w:type="dxa"/>
          </w:tcPr>
          <w:p w14:paraId="470DC605" w14:textId="0BDDA13E" w:rsidR="00A37DFE" w:rsidRPr="00A37DFE" w:rsidRDefault="009F4FCE"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Banks are expected to refer to the Notices in determining which relevant services are outsourcing arrangements. While not the focus of these Guidelines, arrangements outside the definition of an outsourcing arrangement should also be subject to adequate risk management and sound internal controls. </w:t>
            </w:r>
            <w:r>
              <w:rPr>
                <w:rFonts w:asciiTheme="majorHAnsi" w:hAnsiTheme="majorHAnsi" w:cstheme="majorHAnsi"/>
                <w:sz w:val="18"/>
                <w:szCs w:val="18"/>
                <w:highlight w:val="yellow"/>
              </w:rPr>
              <w:t>Annex 1 provides guidance to a Bank in assessing whether an arrangement would be considered a material outsourcing arrangement. Annex 2 provides guidance on cloud computing. Annex 3 illustrates the requirements and expectations applicable to different types of relevant services for Banks. Please refer to the Notices for the definition of terms used in these Guidelines.</w:t>
            </w:r>
          </w:p>
        </w:tc>
        <w:tc>
          <w:tcPr>
            <w:tcW w:w="5731" w:type="dxa"/>
          </w:tcPr>
          <w:p w14:paraId="759492F7" w14:textId="77777777" w:rsidR="00A37DFE" w:rsidRDefault="009F4FCE" w:rsidP="00A37DFE">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[2.2] </w:t>
            </w:r>
            <w:r>
              <w:rPr>
                <w:rFonts w:asciiTheme="majorHAnsi" w:hAnsiTheme="majorHAnsi" w:cstheme="majorHAnsi"/>
                <w:sz w:val="18"/>
                <w:szCs w:val="18"/>
              </w:rPr>
              <w:t xml:space="preserve">These Guidelines take effect on 11 December 2024 </w:t>
            </w:r>
            <w:r>
              <w:rPr>
                <w:rFonts w:asciiTheme="majorHAnsi" w:hAnsiTheme="majorHAnsi" w:cstheme="majorHAnsi"/>
                <w:sz w:val="18"/>
                <w:szCs w:val="18"/>
                <w:highlight w:val="yellow"/>
              </w:rPr>
              <w:t>and last revised on 24 January 2025.</w:t>
            </w:r>
          </w:p>
          <w:p w14:paraId="76729849" w14:textId="56D6A0F9" w:rsidR="009F4FCE" w:rsidRPr="00A37DFE" w:rsidRDefault="009F4FCE" w:rsidP="00A37DFE">
            <w:pPr>
              <w:pStyle w:val="BodyText"/>
              <w:rPr>
                <w:rFonts w:asciiTheme="majorHAnsi" w:hAnsiTheme="majorHAnsi" w:cstheme="majorHAnsi"/>
                <w:sz w:val="18"/>
                <w:szCs w:val="18"/>
              </w:rPr>
            </w:pPr>
          </w:p>
        </w:tc>
        <w:tc>
          <w:tcPr>
            <w:tcW w:w="2189" w:type="dxa"/>
          </w:tcPr>
          <w:p w14:paraId="3068C264" w14:textId="7A2E1337" w:rsidR="00441C92" w:rsidRPr="00441C92" w:rsidRDefault="00441C92" w:rsidP="00441C92">
            <w:pPr>
              <w:pStyle w:val="ListParagraph"/>
              <w:numPr>
                <w:ilvl w:val="0"/>
                <w:numId w:val="31"/>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Bank Guidelines 1.4 is comparable to FI Guidelines 2.2. The two prescribe different sources for which services are exempt: for the Bank Guidelines, Annexes 1, 2, and 3; for the FI Guidelines, Annexes 1 – 5.</w:t>
            </w:r>
          </w:p>
          <w:p w14:paraId="25492CFF" w14:textId="017E5BB7" w:rsidR="00A37DFE" w:rsidRPr="00441C92" w:rsidRDefault="00441C92" w:rsidP="00441C92">
            <w:pPr>
              <w:pStyle w:val="ListParagraph"/>
              <w:numPr>
                <w:ilvl w:val="0"/>
                <w:numId w:val="31"/>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FI Guidelines 1.4: The phrase “and last revised on 24 January 2025” is not found in 1.6.</w:t>
            </w:r>
          </w:p>
        </w:tc>
      </w:tr>
      <w:tr w:rsidR="009F4FCE" w:rsidRPr="00DD537D" w14:paraId="28AA0DFF" w14:textId="77777777" w:rsidTr="00DC7DDC">
        <w:tc>
          <w:tcPr>
            <w:tcW w:w="625" w:type="dxa"/>
          </w:tcPr>
          <w:p w14:paraId="352ED0C6" w14:textId="3C4605AC" w:rsidR="009F4FCE" w:rsidRDefault="00571E63" w:rsidP="00A37DFE">
            <w:pPr>
              <w:pStyle w:val="BodyText"/>
              <w:rPr>
                <w:rFonts w:asciiTheme="majorHAnsi" w:hAnsiTheme="majorHAnsi" w:cstheme="majorHAnsi"/>
                <w:sz w:val="18"/>
                <w:szCs w:val="18"/>
              </w:rPr>
            </w:pPr>
            <w:r>
              <w:rPr>
                <w:rFonts w:asciiTheme="majorHAnsi" w:hAnsiTheme="majorHAnsi" w:cstheme="majorHAnsi"/>
                <w:sz w:val="18"/>
                <w:szCs w:val="18"/>
              </w:rPr>
              <w:lastRenderedPageBreak/>
              <w:t>1.5</w:t>
            </w:r>
          </w:p>
        </w:tc>
        <w:tc>
          <w:tcPr>
            <w:tcW w:w="5670" w:type="dxa"/>
          </w:tcPr>
          <w:p w14:paraId="03CA6469" w14:textId="77777777" w:rsidR="009F4FCE" w:rsidRDefault="009F4FCE"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These Guidelines are not intended to be exhaustive or override any legislative provisions. They should be read in conjunction with the provisions of the relevant legislation, the subsidiary legislation made under the relevant legislation, as well as written directions, notices, codes and other guidelines</w:t>
            </w:r>
            <w:r>
              <w:rPr>
                <w:rFonts w:asciiTheme="majorHAnsi" w:hAnsiTheme="majorHAnsi" w:cstheme="majorHAnsi"/>
                <w:sz w:val="18"/>
                <w:szCs w:val="18"/>
                <w:vertAlign w:val="superscript"/>
              </w:rPr>
              <w:t>3</w:t>
            </w:r>
            <w:r>
              <w:rPr>
                <w:rFonts w:asciiTheme="majorHAnsi" w:hAnsiTheme="majorHAnsi" w:cstheme="majorHAnsi"/>
                <w:sz w:val="18"/>
                <w:szCs w:val="18"/>
              </w:rPr>
              <w:t xml:space="preserve"> that MAS may issue from time to time pursuant to the relevant legislation and subsidiary legislation. The Guidelines do not affect and should not be regarded as a statement of the standard of care owed by Banks to their customers.</w:t>
            </w:r>
          </w:p>
          <w:p w14:paraId="2F957217" w14:textId="77777777" w:rsidR="009F4FCE" w:rsidRDefault="009F4FCE" w:rsidP="00A37DFE">
            <w:pPr>
              <w:tabs>
                <w:tab w:val="left" w:pos="360"/>
              </w:tabs>
              <w:spacing w:line="276" w:lineRule="auto"/>
              <w:rPr>
                <w:rFonts w:asciiTheme="majorHAnsi" w:hAnsiTheme="majorHAnsi" w:cstheme="majorHAnsi"/>
                <w:sz w:val="18"/>
                <w:szCs w:val="18"/>
              </w:rPr>
            </w:pPr>
          </w:p>
          <w:p w14:paraId="600C0EF3" w14:textId="33548459" w:rsidR="009F4FCE" w:rsidRPr="009F4FCE" w:rsidRDefault="009F4FCE" w:rsidP="009F4FCE">
            <w:pPr>
              <w:pStyle w:val="BodyText"/>
              <w:rPr>
                <w:rFonts w:asciiTheme="majorHAnsi" w:hAnsiTheme="majorHAnsi" w:cstheme="majorHAnsi"/>
                <w:sz w:val="18"/>
                <w:szCs w:val="18"/>
              </w:rPr>
            </w:pPr>
            <w:r>
              <w:rPr>
                <w:rFonts w:asciiTheme="majorHAnsi" w:hAnsiTheme="majorHAnsi" w:cstheme="majorHAnsi"/>
                <w:sz w:val="16"/>
                <w:szCs w:val="16"/>
                <w:highlight w:val="yellow"/>
                <w:vertAlign w:val="superscript"/>
              </w:rPr>
              <w:t xml:space="preserve">3</w:t>
            </w:r>
            <w:r>
              <w:rPr>
                <w:rFonts w:asciiTheme="majorHAnsi" w:hAnsiTheme="majorHAnsi" w:cstheme="majorHAnsi"/>
                <w:sz w:val="16"/>
                <w:szCs w:val="16"/>
                <w:highlight w:val="yellow"/>
              </w:rPr>
              <w:t xml:space="preserve"> – This includes MAS Information Paper on “Operational Risk Management – Third-Party Arrangements”, which sets out good practices relating to third-party risk management that MAS expects to see in banks.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[2.4]</w:t>
            </w:r>
            <w:r>
              <w:rPr>
                <w:rFonts w:asciiTheme="majorHAnsi" w:hAnsiTheme="majorHAnsi" w:cstheme="majorHAnsi"/>
                <w:sz w:val="18"/>
                <w:szCs w:val="18"/>
              </w:rPr>
              <w:t xml:space="preserve"> These Guidelines are not intended to be exhaustive or override any legislative provisions. They should be read in conjunction with the provisions of the relevant legislation, the subsidiary legislation made under the relevant legislation, as well as written directions, notices, codes and other guidelines</w:t>
            </w:r>
            <w:r>
              <w:rPr>
                <w:rFonts w:asciiTheme="majorHAnsi" w:hAnsiTheme="majorHAnsi" w:cstheme="majorHAnsi"/>
                <w:sz w:val="18"/>
                <w:szCs w:val="18"/>
                <w:vertAlign w:val="superscript"/>
              </w:rPr>
              <w:t xml:space="preserve">3</w:t>
            </w:r>
            <w:r>
              <w:rPr>
                <w:rFonts w:asciiTheme="majorHAnsi" w:hAnsiTheme="majorHAnsi" w:cstheme="majorHAnsi"/>
                <w:sz w:val="18"/>
                <w:szCs w:val="18"/>
              </w:rPr>
              <w:t xml:space="preserve"> that MAS may issue from time to time pursuant to the relevant legislation and subsidiary legislation. The Guidelines do not affect and should not be regarded as a statement of the standard of care owed by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to their customers.</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3</w:t>
            </w:r>
            <w:r>
              <w:rPr>
                <w:rFonts w:asciiTheme="majorHAnsi" w:hAnsiTheme="majorHAnsi" w:cstheme="majorHAnsi"/>
                <w:sz w:val="16"/>
                <w:szCs w:val="16"/>
              </w:rPr>
              <w:t xml:space="preserve"> – This includes MAS Information Paper on “Operational Risk Management – Third-Party Arrangements”, which sets out good practices relating to third-party risk management that MAS expects to see in </w:t>
            </w:r>
            <w:r>
              <w:rPr>
                <w:rFonts w:asciiTheme="majorHAnsi" w:hAnsiTheme="majorHAnsi" w:cstheme="majorHAnsi"/>
                <w:highlight w:val="yellow"/>
                <w:sz w:val="16"/>
                <w:szCs w:val="16"/>
              </w:rPr>
              <w:t xml:space="preserve">institutions</w:t>
            </w:r>
            <w:r>
              <w:rPr>
                <w:rFonts w:asciiTheme="majorHAnsi" w:hAnsiTheme="majorHAnsi" w:cstheme="majorHAnsi"/>
                <w:sz w:val="16"/>
                <w:szCs w:val="16"/>
              </w:rPr>
              <w:t xml:space="preserve">.</w:t>
            </w:r>
          </w:p>
        </w:tc>
        <w:tc>
          <w:tcPr>
            <w:tcW w:w="2189" w:type="dxa"/>
          </w:tcPr>
          <w:p w14:paraId="0F577181" w14:textId="67ED1359" w:rsidR="009F4FCE" w:rsidRPr="007D0594" w:rsidRDefault="00441C92" w:rsidP="007D0594">
            <w:pPr>
              <w:pStyle w:val="ListParagraph"/>
              <w:numPr>
                <w:ilvl w:val="0"/>
                <w:numId w:val="34"/>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Found in 2.4 under Application of Guidelines for Outsourcing (FI), worded identically.</w:t>
            </w:r>
          </w:p>
        </w:tc>
      </w:tr>
      <w:tr w:rsidR="009F4FCE" w:rsidRPr="00DD537D" w14:paraId="16AF2192" w14:textId="77777777" w:rsidTr="00DC7DDC">
        <w:tc>
          <w:tcPr>
            <w:tcW w:w="625" w:type="dxa"/>
          </w:tcPr>
          <w:p w14:paraId="4B79FDB7" w14:textId="0460403A" w:rsidR="009F4FCE" w:rsidRDefault="00571E63" w:rsidP="00A37DFE">
            <w:pPr>
              <w:pStyle w:val="BodyText"/>
              <w:rPr>
                <w:rFonts w:asciiTheme="majorHAnsi" w:hAnsiTheme="majorHAnsi" w:cstheme="majorHAnsi"/>
                <w:sz w:val="18"/>
                <w:szCs w:val="18"/>
              </w:rPr>
            </w:pPr>
            <w:r>
              <w:rPr>
                <w:rFonts w:asciiTheme="majorHAnsi" w:hAnsiTheme="majorHAnsi" w:cstheme="majorHAnsi"/>
                <w:sz w:val="18"/>
                <w:szCs w:val="18"/>
              </w:rPr>
              <w:t>1.6</w:t>
            </w:r>
          </w:p>
        </w:tc>
        <w:tc>
          <w:tcPr>
            <w:tcW w:w="5670" w:type="dxa"/>
          </w:tcPr>
          <w:p w14:paraId="22073E9B" w14:textId="5ABBCEF1" w:rsidR="009F4FCE" w:rsidRPr="009F4FCE" w:rsidRDefault="00571E63"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These Guidelines take effect on 11 December 2024.</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[1.4]</w:t>
            </w:r>
            <w:r>
              <w:rPr>
                <w:rFonts w:asciiTheme="majorHAnsi" w:hAnsiTheme="majorHAnsi" w:cstheme="majorHAnsi"/>
                <w:sz w:val="18"/>
                <w:szCs w:val="18"/>
              </w:rPr>
              <w:t xml:space="preserve"> These Guidelines take effect on 11 December 2024.</w:t>
            </w:r>
          </w:p>
        </w:tc>
        <w:tc>
          <w:tcPr>
            <w:tcW w:w="2189" w:type="dxa"/>
          </w:tcPr>
          <w:p w14:paraId="23B29FF4" w14:textId="296E322C" w:rsidR="009F4FCE" w:rsidRPr="007D0594" w:rsidRDefault="007D0594" w:rsidP="007D0594">
            <w:pPr>
              <w:pStyle w:val="ListParagraph"/>
              <w:numPr>
                <w:ilvl w:val="0"/>
                <w:numId w:val="35"/>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Found in 1.4 for the FI Guidelines, worded identically.</w:t>
            </w:r>
          </w:p>
        </w:tc>
      </w:tr>
      <w:tr w:rsidR="00B262CC" w:rsidRPr="00DD537D" w14:paraId="0BCCC127" w14:textId="77777777" w:rsidTr="00DC7DDC">
        <w:tc>
          <w:tcPr>
            <w:tcW w:w="625" w:type="dxa"/>
            <w:shd w:val="clear" w:color="auto" w:fill="D9D9D9" w:themeFill="background1" w:themeFillShade="D9"/>
          </w:tcPr>
          <w:p w14:paraId="6AACA063" w14:textId="158A8E70" w:rsidR="00B262CC" w:rsidRDefault="007D0594" w:rsidP="00A37DFE">
            <w:pPr>
              <w:pStyle w:val="BodyText"/>
              <w:rPr>
                <w:rFonts w:asciiTheme="majorHAnsi" w:hAnsiTheme="majorHAnsi" w:cstheme="majorHAnsi"/>
                <w:sz w:val="18"/>
                <w:szCs w:val="18"/>
              </w:rPr>
            </w:pPr>
            <w:r>
              <w:rPr>
                <w:rFonts w:asciiTheme="majorHAnsi" w:hAnsiTheme="majorHAnsi" w:cstheme="majorHAnsi"/>
                <w:sz w:val="18"/>
                <w:szCs w:val="18"/>
              </w:rPr>
              <w:t>2.</w:t>
            </w:r>
          </w:p>
        </w:tc>
        <w:tc>
          <w:tcPr>
            <w:tcW w:w="5670" w:type="dxa"/>
            <w:shd w:val="clear" w:color="auto" w:fill="D9D9D9" w:themeFill="background1" w:themeFillShade="D9"/>
          </w:tcPr>
          <w:p w14:paraId="7B91DE09" w14:textId="76F178F1" w:rsidR="00B262CC" w:rsidRPr="007D0594" w:rsidRDefault="007D0594" w:rsidP="00A37DFE">
            <w:pPr>
              <w:tabs>
                <w:tab w:val="left" w:pos="360"/>
              </w:tabs>
              <w:spacing w:line="276" w:lineRule="auto"/>
              <w:rPr>
                <w:rFonts w:asciiTheme="majorHAnsi" w:hAnsiTheme="majorHAnsi" w:cstheme="majorHAnsi"/>
                <w:b/>
                <w:bCs/>
                <w:sz w:val="18"/>
                <w:szCs w:val="18"/>
              </w:rPr>
            </w:pPr>
            <w:r>
              <w:rPr>
                <w:rFonts w:asciiTheme="majorHAnsi" w:hAnsiTheme="majorHAnsi" w:cstheme="majorHAnsi"/>
                <w:b/>
                <w:bCs/>
                <w:sz w:val="18"/>
                <w:szCs w:val="18"/>
              </w:rPr>
              <w:t>Engagement with MAS</w:t>
            </w:r>
          </w:p>
        </w:tc>
        <w:tc>
          <w:tcPr>
            <w:tcW w:w="5731" w:type="dxa"/>
            <w:shd w:val="clear" w:color="auto" w:fill="D9D9D9" w:themeFill="background1" w:themeFillShade="D9"/>
          </w:tcPr>
          <w:p w14:paraId="26000AF0" w14:textId="58C016D7" w:rsidR="00B262CC" w:rsidRPr="000C51EC" w:rsidRDefault="007D0594" w:rsidP="00A37DFE">
            <w:pPr>
              <w:pStyle w:val="BodyText"/>
              <w:rPr>
                <w:rFonts w:asciiTheme="majorHAnsi" w:hAnsiTheme="majorHAnsi" w:cstheme="majorHAnsi"/>
                <w:b/>
                <w:bCs/>
                <w:sz w:val="18"/>
                <w:szCs w:val="18"/>
                <w:highlight w:val="yellow"/>
              </w:rPr>
            </w:pPr>
            <w:r>
              <w:rPr>
                <w:rFonts w:asciiTheme="majorHAnsi" w:hAnsiTheme="majorHAnsi" w:cstheme="majorHAnsi"/>
                <w:b/>
                <w:bCs/>
                <w:sz w:val="18"/>
                <w:szCs w:val="18"/>
                <w:highlight w:val="yellow"/>
              </w:rPr>
              <w:t>Application of Guidelines</w:t>
            </w:r>
          </w:p>
        </w:tc>
        <w:tc>
          <w:tcPr>
            <w:tcW w:w="2189" w:type="dxa"/>
            <w:shd w:val="clear" w:color="auto" w:fill="D9D9D9" w:themeFill="background1" w:themeFillShade="D9"/>
          </w:tcPr>
          <w:p w14:paraId="000836B5" w14:textId="77777777" w:rsidR="00B262CC" w:rsidRDefault="002B7735"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Section 1 of the Bank Guidelines roughly corresponds to Section 2 of the FI Guidelines.</w:t>
            </w:r>
          </w:p>
          <w:p w14:paraId="4420FFBC" w14:textId="77777777" w:rsidR="002B7735" w:rsidRDefault="002B7735" w:rsidP="00A37DFE">
            <w:pPr>
              <w:tabs>
                <w:tab w:val="left" w:pos="360"/>
              </w:tabs>
              <w:spacing w:line="276" w:lineRule="auto"/>
              <w:rPr>
                <w:rFonts w:asciiTheme="majorHAnsi" w:hAnsiTheme="majorHAnsi" w:cstheme="majorHAnsi"/>
                <w:sz w:val="18"/>
                <w:szCs w:val="18"/>
              </w:rPr>
            </w:pPr>
          </w:p>
          <w:p w14:paraId="6AB062D7" w14:textId="182AB8E1" w:rsidR="002B7735" w:rsidRPr="007D0594" w:rsidRDefault="002B7735"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Section 2 of the Bank Guidelines (“Engagement with MAS”) is found in Section 4 of the FI Guidelines.</w:t>
            </w:r>
          </w:p>
        </w:tc>
      </w:tr>
      <w:tr w:rsidR="00B262CC" w:rsidRPr="00DD537D" w14:paraId="71A4D290" w14:textId="77777777" w:rsidTr="00DC7DDC">
        <w:tc>
          <w:tcPr>
            <w:tcW w:w="625" w:type="dxa"/>
          </w:tcPr>
          <w:p w14:paraId="491AAFFD" w14:textId="2BD48839" w:rsidR="00B262CC" w:rsidRDefault="007D0594" w:rsidP="00A37DFE">
            <w:pPr>
              <w:pStyle w:val="BodyText"/>
              <w:rPr>
                <w:rFonts w:asciiTheme="majorHAnsi" w:hAnsiTheme="majorHAnsi" w:cstheme="majorHAnsi"/>
                <w:sz w:val="18"/>
                <w:szCs w:val="18"/>
              </w:rPr>
            </w:pPr>
            <w:r>
              <w:rPr>
                <w:rFonts w:asciiTheme="majorHAnsi" w:hAnsiTheme="majorHAnsi" w:cstheme="majorHAnsi"/>
                <w:sz w:val="18"/>
                <w:szCs w:val="18"/>
              </w:rPr>
              <w:t>2.1</w:t>
            </w:r>
          </w:p>
        </w:tc>
        <w:tc>
          <w:tcPr>
            <w:tcW w:w="5670" w:type="dxa"/>
          </w:tcPr>
          <w:p w14:paraId="1FDE46F1" w14:textId="00380876" w:rsidR="00B262CC" w:rsidRDefault="007D0594"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A Bank should be able to demonstrate to MAS its observance of the expectations in these Guidelines. Where MAS is not satisfied with the Bank’s observance of the expectations in these Guidelines, MAS may require the Bank to take additional measures to address the deficiencies noted, which could include pre-notification of new material ongoing outsourced relevant services (MOORS). MAS may also take non-observance into account in its assessment of the Bank, considering the potential impact of the outsourcing </w:t>
              <w:lastRenderedPageBreak/>
              <w:t>arrangement on the Bank and the financial system, severity of the deficiencies noted, the Bank’s track record in internal controls and risk management, and the circumstances of the case. MAS may directly communicate with the home or host regulators of the Bank and the Bank’s service provider, on their ability and willingness to cooperate with MAS.</w:t>
            </w:r>
          </w:p>
        </w:tc>
        <w:tc>
          <w:tcPr>
            <w:tcW w:w="5731" w:type="dxa"/>
          </w:tcPr>
          <w:p w14:paraId="2D5450B6" w14:textId="3FA3BC43" w:rsidR="00B262CC" w:rsidRPr="009F4FCE" w:rsidRDefault="007D0594" w:rsidP="007D0594">
            <w:pPr>
              <w:tabs>
                <w:tab w:val="left" w:pos="360"/>
              </w:tabs>
              <w:spacing w:line="276" w:lineRule="auto"/>
              <w:rPr>
                <w:rFonts w:asciiTheme="majorHAnsi" w:hAnsiTheme="majorHAnsi" w:cstheme="majorHAnsi"/>
                <w:sz w:val="18"/>
                <w:szCs w:val="18"/>
              </w:rPr>
            </w:pPr>
            <w:r>
              <w:rPr>
                <w:rFonts w:asciiTheme="majorHAnsi" w:hAnsiTheme="majorHAnsi" w:cstheme="majorHAnsi"/>
                <w:highlight w:val="yellow"/>
                <w:sz w:val="18"/>
                <w:szCs w:val="18"/>
              </w:rPr>
              <w:t xml:space="preserve">[4.1.1–4.1.2] </w:t>
            </w:r>
            <w:r>
              <w:rPr>
                <w:rFonts w:asciiTheme="majorHAnsi" w:hAnsiTheme="majorHAnsi" w:cstheme="majorHAnsi"/>
                <w:sz w:val="18"/>
                <w:szCs w:val="18"/>
              </w:rPr>
              <w:lastRenderedPageBreak/>
              <w:t>The extent and degree to which an institution implements the expectations in these Guidelines should be commensurate with the nature of risks in, and materiality of, the outsourcing arrangement, including outsourcing arrangements involving an MAS-regulated entity. An institution should ensure that outsourced services (whether provided by a service provider or its sub-contractor) continue to be managed as if the services were still managed by the institution.</w:t>
            </w:r>
          </w:p>
        </w:tc>
        <w:tc>
          <w:tcPr>
            <w:tcW w:w="2189" w:type="dxa"/>
          </w:tcPr>
          <w:p w14:paraId="34089943" w14:textId="3D9D6ABA" w:rsidR="007D0594" w:rsidRDefault="007D0594" w:rsidP="007D0594">
            <w:pPr>
              <w:pStyle w:val="ListParagraph"/>
              <w:numPr>
                <w:ilvl w:val="0"/>
                <w:numId w:val="37"/>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2.1 of the Bank Guidelines is found in 4.1.1-4.1.2 for the FI Guidelines, identically worded but split across two provisions.</w:t>
            </w:r>
          </w:p>
          <w:p w14:paraId="16A922B2" w14:textId="4678DA9B" w:rsidR="007D0594" w:rsidRPr="007D0594" w:rsidRDefault="007D0594" w:rsidP="007D0594">
            <w:pPr>
              <w:pStyle w:val="ListParagraph"/>
              <w:numPr>
                <w:ilvl w:val="0"/>
                <w:numId w:val="37"/>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lastRenderedPageBreak/>
              <w:t>2.1 of the FI Guidelines is identical to 1.3 of the Bank Guidelines; both pertain to proportionality in the same way.</w:t>
            </w:r>
          </w:p>
        </w:tc>
      </w:tr>
      <w:tr w:rsidR="007D0594" w:rsidRPr="00DD537D" w14:paraId="20CC7F04" w14:textId="77777777" w:rsidTr="00DC7DDC">
        <w:tc>
          <w:tcPr>
            <w:tcW w:w="625" w:type="dxa"/>
          </w:tcPr>
          <w:p w14:paraId="57D48785" w14:textId="0908FDCD" w:rsidR="007D0594" w:rsidRDefault="007D0594" w:rsidP="00A37DFE">
            <w:pPr>
              <w:pStyle w:val="BodyText"/>
              <w:rPr>
                <w:rFonts w:asciiTheme="majorHAnsi" w:hAnsiTheme="majorHAnsi" w:cstheme="majorHAnsi"/>
                <w:sz w:val="18"/>
                <w:szCs w:val="18"/>
              </w:rPr>
            </w:pPr>
            <w:r>
              <w:rPr>
                <w:rFonts w:asciiTheme="majorHAnsi" w:hAnsiTheme="majorHAnsi" w:cstheme="majorHAnsi"/>
                <w:sz w:val="18"/>
                <w:szCs w:val="18"/>
              </w:rPr>
              <w:lastRenderedPageBreak/>
              <w:t>2.2</w:t>
            </w:r>
          </w:p>
        </w:tc>
        <w:tc>
          <w:tcPr>
            <w:tcW w:w="5670" w:type="dxa"/>
          </w:tcPr>
          <w:p w14:paraId="0F5FCE97" w14:textId="74185A81" w:rsidR="007D0594" w:rsidRDefault="007D0594" w:rsidP="00A37DFE">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 Bank should notify MAS as soon as possible of any adverse development arising from its outsourcing arrangements that could impact the Bank. Such adverse developments include any event that could potentially lead to prolonged service failure or disruption in the outsourcing arrangement, or any breach of security and confidentiality of the Bank’s customer information4. A Bank should also notify MAS of such adverse developments encountered within the Bank’s group.</w:t>
            </w:r>
          </w:p>
        </w:tc>
        <w:tc>
          <w:tcPr>
            <w:tcW w:w="5731" w:type="dxa"/>
          </w:tcPr>
          <w:p w14:paraId="69851F17" w14:textId="6CBBE7BA" w:rsidR="007D0594" w:rsidRPr="009F4FCE" w:rsidRDefault="007D0594" w:rsidP="000C51EC">
            <w:pPr>
              <w:tabs>
                <w:tab w:val="left" w:pos="360"/>
              </w:tabs>
              <w:spacing w:line="276" w:lineRule="auto"/>
              <w:rPr>
                <w:rFonts w:asciiTheme="majorHAnsi" w:hAnsiTheme="majorHAnsi" w:cstheme="majorHAnsi"/>
                <w:sz w:val="18"/>
                <w:szCs w:val="18"/>
              </w:rPr>
            </w:pPr>
            <w:r>
              <w:rPr>
                <w:rFonts w:asciiTheme="majorHAnsi" w:hAnsiTheme="majorHAnsi" w:cstheme="majorHAnsi"/>
                <w:highlight w:val="yellow"/>
                <w:sz w:val="18"/>
                <w:szCs w:val="18"/>
              </w:rPr>
              <w:t xml:space="preserve">[4.2.1] </w:t>
            </w:r>
            <w:r>
              <w:rPr>
                <w:rFonts w:asciiTheme="majorHAnsi" w:hAnsiTheme="majorHAnsi" w:cstheme="majorHAnsi"/>
                <w:sz w:val="18"/>
                <w:szCs w:val="18"/>
              </w:rPr>
              <w:t>Annex 1 provides a list of exempted outsourced services, for which the Guidelines do not apply. Annex 2 provides a non-exhaustive list of examples of outsourcing arrangements to which these Guidelines are applicable, and arrangements that are not intended to be subject to these Guidelines. It should also not be misconstrued that arrangements not defined as outsourcing need not be subject to adequate risk management and sound internal controls. Annex 3 provides guidance to an institution in assessing whether an arrangement would be considered a material outsourcing arrangement. Annex 4 provides a template for an institution to maintain a register of its outsourcing arrangements which is to be submitted to MAS, at least annually or upon request. Annex 5 provides guidance on use of cloud services.</w:t>
            </w:r>
          </w:p>
        </w:tc>
        <w:tc>
          <w:tcPr>
            <w:tcW w:w="2189" w:type="dxa"/>
          </w:tcPr>
          <w:p w14:paraId="3306A3F3" w14:textId="75BC0F3D" w:rsidR="007D0594" w:rsidRPr="007D0594" w:rsidRDefault="007D0594" w:rsidP="007D0594">
            <w:pPr>
              <w:pStyle w:val="ListParagraph"/>
              <w:numPr>
                <w:ilvl w:val="0"/>
                <w:numId w:val="39"/>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2.2 of the Bank Guidelines is found in 4.2.1 for the FI Guidelines.</w:t>
            </w:r>
          </w:p>
        </w:tc>
      </w:tr>
      <w:tr w:rsidR="007D0594" w:rsidRPr="00DD537D" w14:paraId="5661308E" w14:textId="77777777" w:rsidTr="00DC7DDC">
        <w:tc>
          <w:tcPr>
            <w:tcW w:w="625" w:type="dxa"/>
          </w:tcPr>
          <w:p w14:paraId="538AD158" w14:textId="0098C69E" w:rsidR="007D0594" w:rsidRDefault="007D0594" w:rsidP="00A37DFE">
            <w:pPr>
              <w:pStyle w:val="BodyText"/>
              <w:rPr>
                <w:rFonts w:asciiTheme="majorHAnsi" w:hAnsiTheme="majorHAnsi" w:cstheme="majorHAnsi"/>
                <w:sz w:val="18"/>
                <w:szCs w:val="18"/>
              </w:rPr>
            </w:pPr>
            <w:r>
              <w:rPr>
                <w:rFonts w:asciiTheme="majorHAnsi" w:hAnsiTheme="majorHAnsi" w:cstheme="majorHAnsi"/>
                <w:sz w:val="18"/>
                <w:szCs w:val="18"/>
              </w:rPr>
              <w:t>2.3</w:t>
            </w:r>
          </w:p>
        </w:tc>
        <w:tc>
          <w:tcPr>
            <w:tcW w:w="5670" w:type="dxa"/>
          </w:tcPr>
          <w:p w14:paraId="0F8DEF05" w14:textId="30A257C2" w:rsidR="007D0594" w:rsidRPr="000C51EC" w:rsidRDefault="000C51EC" w:rsidP="00A37DFE">
            <w:pPr>
              <w:tabs>
                <w:tab w:val="left" w:pos="360"/>
              </w:tabs>
              <w:spacing w:line="276" w:lineRule="auto"/>
              <w:rPr>
                <w:rFonts w:asciiTheme="majorHAnsi" w:hAnsiTheme="majorHAnsi" w:cstheme="majorHAnsi"/>
                <w:i/>
                <w:iCs/>
                <w:sz w:val="18"/>
                <w:szCs w:val="18"/>
              </w:rPr>
            </w:pPr>
            <w:r>
              <w:rPr>
                <w:rFonts w:asciiTheme="majorHAnsi" w:hAnsiTheme="majorHAnsi" w:cstheme="majorHAnsi"/>
                <w:i/>
                <w:iCs/>
                <w:sz w:val="18"/>
                <w:szCs w:val="18"/>
              </w:rPr>
              <w:t xml:space="preserve">No provision here under the Bank Guidelines.</w:t>
            </w:r>
          </w:p>
        </w:tc>
        <w:tc>
          <w:tcPr>
            <w:tcW w:w="5731" w:type="dxa"/>
          </w:tcPr>
          <w:p w14:paraId="53174252" w14:textId="6D8C4028" w:rsidR="007D0594" w:rsidRPr="003130A0" w:rsidRDefault="000C51EC" w:rsidP="000C51EC">
            <w:pPr>
              <w:tabs>
                <w:tab w:val="left" w:pos="360"/>
              </w:tabs>
              <w:spacing w:line="276" w:lineRule="auto"/>
              <w:rPr>
                <w:rFonts w:asciiTheme="majorHAnsi" w:hAnsiTheme="majorHAnsi" w:cstheme="majorHAnsi"/>
                <w:sz w:val="18"/>
                <w:szCs w:val="18"/>
                <w:highlight w:val="yellow"/>
              </w:rPr>
            </w:pPr>
            <w:r>
              <w:rPr>
                <w:rFonts w:asciiTheme="majorHAnsi" w:hAnsiTheme="majorHAnsi" w:cstheme="majorHAnsi"/>
                <w:sz w:val="18"/>
                <w:szCs w:val="18"/>
                <w:highlight w:val="yellow"/>
              </w:rPr>
              <w:t>An institution incorporated in Singapore should also consider the impact of outsourcing arrangements by its branches and any corporation under its control, including those located outside Singapore, on its consolidated operations. Institutions incorporated in Singapore should ensure that these Guidelines are observed by branches and corporations under their control by applying a group-wide outsourcing risk management framework that complies with the Guidelines.</w:t>
            </w:r>
          </w:p>
        </w:tc>
        <w:tc>
          <w:tcPr>
            <w:tcW w:w="2189" w:type="dxa"/>
          </w:tcPr>
          <w:p w14:paraId="3E5823C6" w14:textId="0ADB1287" w:rsidR="007D0594" w:rsidRPr="000C51EC" w:rsidRDefault="000C51EC" w:rsidP="000C51EC">
            <w:pPr>
              <w:pStyle w:val="ListParagraph"/>
              <w:numPr>
                <w:ilvl w:val="0"/>
                <w:numId w:val="40"/>
              </w:num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Closest counterpart to 2.3 of FI Guidelines is 3.1.1 and Annex 1 of the Bank Guidelines.</w:t>
            </w:r>
          </w:p>
        </w:tc>
      </w:tr>
      <w:tr w:rsidR="002B7735" w:rsidRPr="00DD537D" w14:paraId="26E631E8" w14:textId="77777777" w:rsidTr="00DC7DDC">
        <w:tc>
          <w:tcPr>
            <w:tcW w:w="625" w:type="dxa"/>
            <w:shd w:val="clear" w:color="auto" w:fill="D9D9D9" w:themeFill="background1" w:themeFillShade="D9"/>
          </w:tcPr>
          <w:p w14:paraId="341E5C64" w14:textId="68CABEBD" w:rsidR="002B7735" w:rsidRDefault="002B7735" w:rsidP="000C51EC">
            <w:pPr>
              <w:pStyle w:val="BodyText"/>
              <w:rPr>
                <w:rFonts w:asciiTheme="majorHAnsi" w:hAnsiTheme="majorHAnsi" w:cstheme="majorHAnsi"/>
                <w:sz w:val="18"/>
                <w:szCs w:val="18"/>
              </w:rPr>
            </w:pPr>
            <w:r>
              <w:rPr>
                <w:rFonts w:asciiTheme="majorHAnsi" w:hAnsiTheme="majorHAnsi" w:cstheme="majorHAnsi"/>
                <w:sz w:val="18"/>
                <w:szCs w:val="18"/>
              </w:rPr>
              <w:t>3.</w:t>
            </w:r>
          </w:p>
        </w:tc>
        <w:tc>
          <w:tcPr>
            <w:tcW w:w="5670" w:type="dxa"/>
            <w:shd w:val="clear" w:color="auto" w:fill="D9D9D9" w:themeFill="background1" w:themeFillShade="D9"/>
          </w:tcPr>
          <w:p w14:paraId="0BCB495D" w14:textId="136CFEFA" w:rsidR="002B7735" w:rsidRPr="002B7735" w:rsidRDefault="002B7735" w:rsidP="000C51EC">
            <w:pPr>
              <w:tabs>
                <w:tab w:val="left" w:pos="360"/>
              </w:tabs>
              <w:spacing w:line="276" w:lineRule="auto"/>
              <w:rPr>
                <w:rFonts w:asciiTheme="majorHAnsi" w:hAnsiTheme="majorHAnsi" w:cstheme="majorHAnsi"/>
                <w:b/>
                <w:bCs/>
                <w:sz w:val="18"/>
                <w:szCs w:val="18"/>
              </w:rPr>
            </w:pPr>
            <w:r>
              <w:rPr>
                <w:rFonts w:asciiTheme="majorHAnsi" w:hAnsiTheme="majorHAnsi" w:cstheme="majorHAnsi"/>
                <w:b/>
                <w:bCs/>
                <w:sz w:val="18"/>
                <w:szCs w:val="18"/>
              </w:rPr>
              <w:t>Risk Management Practices</w:t>
            </w:r>
          </w:p>
        </w:tc>
        <w:tc>
          <w:tcPr>
            <w:tcW w:w="5731" w:type="dxa"/>
            <w:shd w:val="clear" w:color="auto" w:fill="D9D9D9" w:themeFill="background1" w:themeFillShade="D9"/>
          </w:tcPr>
          <w:p w14:paraId="10CA30E1" w14:textId="4D0DC097" w:rsidR="002B7735" w:rsidRPr="002B7735" w:rsidRDefault="002B7735" w:rsidP="000C51EC">
            <w:pPr>
              <w:tabs>
                <w:tab w:val="left" w:pos="360"/>
              </w:tabs>
              <w:spacing w:line="276" w:lineRule="auto"/>
              <w:rPr>
                <w:rFonts w:asciiTheme="majorHAnsi" w:hAnsiTheme="majorHAnsi" w:cstheme="majorHAnsi"/>
                <w:sz w:val="18"/>
                <w:szCs w:val="18"/>
              </w:rPr>
            </w:pPr>
            <w:r>
              <w:rPr>
                <w:rFonts w:asciiTheme="majorHAnsi" w:hAnsiTheme="majorHAnsi" w:cstheme="majorHAnsi"/>
                <w:b/>
                <w:bCs/>
                <w:sz w:val="18"/>
                <w:szCs w:val="18"/>
                <w:highlight w:val="yellow"/>
              </w:rPr>
              <w:t>Definitions</w:t>
            </w:r>
          </w:p>
        </w:tc>
        <w:tc>
          <w:tcPr>
            <w:tcW w:w="2189" w:type="dxa"/>
            <w:shd w:val="clear" w:color="auto" w:fill="D9D9D9" w:themeFill="background1" w:themeFillShade="D9"/>
          </w:tcPr>
          <w:p w14:paraId="37C1F524" w14:textId="6646BBC4" w:rsidR="002B7735" w:rsidRPr="002B7735" w:rsidRDefault="002B7735" w:rsidP="002B7735">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There is no comparable Definitions section in the Bank Guidelines. The “Risk Management Practices” section is found in section 5 of the FI Guidelines instead.</w:t>
            </w:r>
          </w:p>
          <w:p>
            <w:pPr>
              <w:pStyle w:val="BodyText"/>
              <w:rPr>
                <w:rFonts w:asciiTheme="majorHAnsi" w:hAnsiTheme="majorHAnsi" w:cstheme="majorHAnsi"/>
                <w:sz w:val="18"/>
                <w:szCs w:val="18"/>
              </w:rPr>
            </w:pPr>
            <w:r>
              <w:rPr>
                <w:rFonts w:asciiTheme="majorHAnsi" w:hAnsiTheme="majorHAnsi" w:cstheme="majorHAnsi"/>
                <w:sz w:val="18"/>
                <w:szCs w:val="18"/>
              </w:rPr>
              <w:t xml:space="preserve">Note also 5.1.1 of the FI Guidelines (Overview), which has no Bank counterpart: in supervising an institution, MAS will review its implementation of these Guidelines, the quality of its board and senior management oversight and governance, internal controls and risk management.</w:t>
            </w:r>
          </w:p>
        </w:tc>
      </w:tr>
      <w:tr w:rsidR="008A5CCF" w:rsidRPr="00DD537D" w14:paraId="3349B585" w14:textId="77777777" w:rsidTr="00DC7DDC">
        <w:tc>
          <w:tcPr>
            <w:tcW w:w="625" w:type="dxa"/>
          </w:tcPr>
          <w:p w14:paraId="317CD60F" w14:textId="1A2E0F0E" w:rsidR="008A5CCF" w:rsidRDefault="008A5CCF" w:rsidP="000C51EC">
            <w:pPr>
              <w:pStyle w:val="BodyText"/>
              <w:rPr>
                <w:rFonts w:asciiTheme="majorHAnsi" w:hAnsiTheme="majorHAnsi" w:cstheme="majorHAnsi"/>
                <w:sz w:val="18"/>
                <w:szCs w:val="18"/>
              </w:rPr>
            </w:pPr>
            <w:r>
              <w:rPr>
                <w:rFonts w:asciiTheme="majorHAnsi" w:hAnsiTheme="majorHAnsi" w:cstheme="majorHAnsi"/>
                <w:sz w:val="18"/>
                <w:szCs w:val="18"/>
              </w:rPr>
              <w:t>3.1</w:t>
            </w:r>
          </w:p>
        </w:tc>
        <w:tc>
          <w:tcPr>
            <w:tcW w:w="5670" w:type="dxa"/>
          </w:tcPr>
          <w:p w14:paraId="1D2CD950" w14:textId="4C584719" w:rsidR="008A5CCF" w:rsidRPr="000C51EC" w:rsidRDefault="008A5CCF" w:rsidP="000C51EC">
            <w:pPr>
              <w:tabs>
                <w:tab w:val="left" w:pos="360"/>
              </w:tabs>
              <w:spacing w:line="276" w:lineRule="auto"/>
              <w:rPr>
                <w:rFonts w:asciiTheme="majorHAnsi" w:hAnsiTheme="majorHAnsi" w:cstheme="majorHAnsi"/>
                <w:i/>
                <w:iCs/>
                <w:sz w:val="18"/>
                <w:szCs w:val="18"/>
              </w:rPr>
            </w:pPr>
            <w:r>
              <w:rPr>
                <w:rFonts w:asciiTheme="majorHAnsi" w:hAnsiTheme="majorHAnsi" w:cstheme="majorHAnsi"/>
                <w:i/>
                <w:iCs/>
                <w:sz w:val="18"/>
                <w:szCs w:val="18"/>
              </w:rPr>
              <w:t>Responsibilities of the Board and Senior Management</w:t>
            </w:r>
          </w:p>
        </w:tc>
        <w:tc>
          <w:tcPr>
            <w:tcW w:w="5731" w:type="dxa"/>
            <w:vMerge w:val="restart"/>
          </w:tcPr>
          <w:p w14:paraId="15B5EBCD" w14:textId="77777777" w:rsidR="008A5CCF" w:rsidRPr="0095788E" w:rsidRDefault="008A5CCF" w:rsidP="000C51EC">
            <w:pPr>
              <w:tabs>
                <w:tab w:val="left" w:pos="360"/>
              </w:tabs>
              <w:spacing w:line="276" w:lineRule="auto"/>
              <w:rPr>
                <w:rFonts w:asciiTheme="majorHAnsi" w:hAnsiTheme="majorHAnsi" w:cstheme="majorHAnsi"/>
                <w:sz w:val="18"/>
                <w:szCs w:val="18"/>
                <w:highlight w:val="yellow"/>
              </w:rPr>
            </w:pPr>
            <w:r>
              <w:rPr>
                <w:rFonts w:asciiTheme="majorHAnsi" w:hAnsiTheme="majorHAnsi" w:cstheme="majorHAnsi"/>
                <w:sz w:val="18"/>
                <w:szCs w:val="18"/>
                <w:highlight w:val="yellow"/>
              </w:rPr>
              <w:t>In these Guidelines on Outsourcing, unless the context otherwise requires: “benchmark administrator” means a benchmark administrator authorised under section 123F of the Securities and Futures Act 2001 (SFA) or a benchmark administrator exempt under section 123K of the SFA;</w:t>
            </w:r>
          </w:p>
          <w:p w14:paraId="2275E36D" w14:textId="77777777" w:rsidR="008A5CCF" w:rsidRPr="0095788E" w:rsidRDefault="008A5CCF" w:rsidP="000C51EC">
            <w:pPr>
              <w:tabs>
                <w:tab w:val="left" w:pos="360"/>
              </w:tabs>
              <w:spacing w:line="276" w:lineRule="auto"/>
              <w:rPr>
                <w:rFonts w:asciiTheme="majorHAnsi" w:hAnsiTheme="majorHAnsi" w:cstheme="majorHAnsi"/>
                <w:sz w:val="18"/>
                <w:szCs w:val="18"/>
                <w:highlight w:val="yellow"/>
              </w:rPr>
            </w:pPr>
          </w:p>
          <w:p w14:paraId="3851A7FD" w14:textId="77777777" w:rsidR="008A5CCF" w:rsidRPr="0095788E" w:rsidRDefault="008A5CCF" w:rsidP="000C51EC">
            <w:pPr>
              <w:tabs>
                <w:tab w:val="left" w:pos="360"/>
              </w:tabs>
              <w:spacing w:line="276" w:lineRule="auto"/>
              <w:rPr>
                <w:rFonts w:asciiTheme="majorHAnsi" w:hAnsiTheme="majorHAnsi" w:cstheme="majorHAnsi"/>
                <w:sz w:val="18"/>
                <w:szCs w:val="18"/>
                <w:highlight w:val="yellow"/>
              </w:rPr>
            </w:pPr>
            <w:r>
              <w:rPr>
                <w:rFonts w:asciiTheme="majorHAnsi" w:hAnsiTheme="majorHAnsi" w:cstheme="majorHAnsi"/>
                <w:sz w:val="18"/>
                <w:szCs w:val="18"/>
                <w:highlight w:val="yellow"/>
              </w:rPr>
              <w:t>“board” or “board of directors” means –</w:t>
            </w:r>
          </w:p>
          <w:p w14:paraId="163EFD31" w14:textId="0FCC6652" w:rsidR="008A5CCF" w:rsidRPr="0095788E" w:rsidRDefault="008A5CCF" w:rsidP="000C51EC">
            <w:pPr>
              <w:tabs>
                <w:tab w:val="left" w:pos="360"/>
              </w:tabs>
              <w:spacing w:line="276" w:lineRule="auto"/>
              <w:rPr>
                <w:rFonts w:asciiTheme="majorHAnsi" w:hAnsiTheme="majorHAnsi" w:cstheme="majorHAnsi"/>
                <w:sz w:val="18"/>
                <w:szCs w:val="18"/>
                <w:highlight w:val="yellow"/>
              </w:rPr>
            </w:pPr>
            <w:r>
              <w:rPr>
                <w:rFonts w:asciiTheme="majorHAnsi" w:hAnsiTheme="majorHAnsi" w:cstheme="majorHAnsi"/>
                <w:sz w:val="18"/>
                <w:szCs w:val="18"/>
                <w:highlight w:val="yellow"/>
              </w:rPr>
              <w:t xml:space="preserve">(a) in the case of an institution incorporated in Singapore, the board of directors; and</w:t>
            </w:r>
          </w:p>
          <w:p w14:paraId="59FCE971" w14:textId="44CD72A0"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highlight w:val="yellow"/>
              </w:rPr>
              <w:t xml:space="preserve">(b) in the case of an institution incorporated or established outside Singapore, a management committee or body beyond local management charged with oversight and supervision responsibilities for the institution in Singapore;</w:t>
            </w:r>
          </w:p>
          <w:p w14:paraId="64E98F71"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“bridge-institution” means an institution, whether incorporated in Singapore or outside Singapore, to temporarily take over and maintain certain assets, liabilities and operations of a distressed financial institution, as part of a resolution Authority’s exercise of a resolution power;</w:t>
            </w:r>
          </w:p>
          <w:p w14:paraId="3F87855A"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“business relations” –</w:t>
            </w:r>
          </w:p>
          <w:p w14:paraId="1899470A"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 in relation to an insurer, means</w:t>
            </w:r>
          </w:p>
          <w:p w14:paraId="1E083AE3"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 the issuance of a policy or reinsurance cover by the insurer to; or</w:t>
            </w:r>
          </w:p>
          <w:p w14:paraId="12180369"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(ii) the provision of financial advice by the insurer to,</w:t>
            </w:r>
          </w:p>
          <w:p w14:paraId="657F41D4"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 person (whether a natural person, legal person or legal arrangement);</w:t>
            </w:r>
          </w:p>
          <w:p w14:paraId="5DABEA37"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lastRenderedPageBreak/>
              <w:t>(b) in relation to a CMI, means</w:t>
            </w:r>
          </w:p>
          <w:p w14:paraId="2837FA94" w14:textId="1D21A8C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 the opening or maintenance of an account by the CMI in the name of; or</w:t>
            </w:r>
          </w:p>
          <w:p w14:paraId="36077109"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(ii) the provision of financial advice by the CMI to; or</w:t>
            </w:r>
          </w:p>
          <w:p w14:paraId="5BF96212"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(iii) the provision of fund management services by the CMI to,</w:t>
            </w:r>
          </w:p>
          <w:p w14:paraId="37C26B00"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 person (whether a natural person, legal person or legal arrangement);</w:t>
            </w:r>
          </w:p>
          <w:p w14:paraId="79828681" w14:textId="77777777" w:rsidR="008A5CCF" w:rsidRDefault="008A5CCF" w:rsidP="000C51EC">
            <w:pPr>
              <w:tabs>
                <w:tab w:val="left" w:pos="360"/>
              </w:tabs>
              <w:spacing w:line="276" w:lineRule="auto"/>
              <w:rPr>
                <w:rFonts w:asciiTheme="majorHAnsi" w:hAnsiTheme="majorHAnsi" w:cstheme="majorHAnsi"/>
                <w:sz w:val="18"/>
                <w:szCs w:val="18"/>
              </w:rPr>
            </w:pPr>
          </w:p>
          <w:p w14:paraId="6B814FF1"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(c) in relation to a financial adviser, means</w:t>
            </w:r>
          </w:p>
          <w:p w14:paraId="68DA57B4"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 the opening or maintenance of an account by the financial adviser in the name of; or</w:t>
            </w:r>
          </w:p>
          <w:p w14:paraId="505C77F0"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(ii) the provision of financial advice by the financial adviser to,</w:t>
            </w:r>
          </w:p>
          <w:p w14:paraId="2822F784" w14:textId="77777777" w:rsid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 person (whether a natural person, legal person or legal arrangement);</w:t>
            </w:r>
          </w:p>
          <w:p w14:paraId="3892AF48" w14:textId="77777777" w:rsidR="008A5CCF" w:rsidRDefault="008A5CCF" w:rsidP="000C51EC">
            <w:pPr>
              <w:tabs>
                <w:tab w:val="left" w:pos="360"/>
              </w:tabs>
              <w:spacing w:line="276" w:lineRule="auto"/>
              <w:rPr>
                <w:rFonts w:asciiTheme="majorHAnsi" w:hAnsiTheme="majorHAnsi" w:cstheme="majorHAnsi"/>
                <w:sz w:val="18"/>
                <w:szCs w:val="18"/>
              </w:rPr>
            </w:pPr>
          </w:p>
          <w:p w14:paraId="5C99A010" w14:textId="5048AC61" w:rsidR="008A5CCF" w:rsidRPr="000C51EC"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(d) in relation to a credit card or charge card licensee licensed under section 57B of the Banking Act 1970, means the opening or maintenance of an account by the credit card or charge card licensee in the name of a person (whether a natural person, legal person or legal arrangement);</w:t>
            </w:r>
          </w:p>
          <w:p>
            <w:pPr>
              <w:pStyle w:val="BodyText"/>
              <w:rPr>
                <w:rFonts w:asciiTheme="majorHAnsi" w:hAnsiTheme="majorHAnsi" w:cstheme="majorHAnsi"/>
                <w:sz w:val="18"/>
                <w:szCs w:val="18"/>
              </w:rPr>
            </w:pPr>
            <w:r>
              <w:rPr>
                <w:rFonts w:asciiTheme="majorHAnsi" w:hAnsiTheme="majorHAnsi" w:cstheme="majorHAnsi"/>
                <w:sz w:val="18"/>
                <w:szCs w:val="18"/>
              </w:rPr>
              <w:t xml:space="preserve">(e) in relation to a benchmark administrator, means (i) the collection of information from a person (whether a natural person, legal person or legal arrangement) by the benchmark administrator for the purpose of administering a designated benchmark under the SFA; or (ii) the provision of a designated benchmark by the benchmark administrator to, a person (whether a natural person, legal person or legal arrangement);</w:t>
            </w:r>
          </w:p>
          <w:p>
            <w:pPr>
              <w:pStyle w:val="BodyText"/>
              <w:rPr>
                <w:rFonts w:asciiTheme="majorHAnsi" w:hAnsiTheme="majorHAnsi" w:cstheme="majorHAnsi"/>
                <w:sz w:val="18"/>
                <w:szCs w:val="18"/>
              </w:rPr>
            </w:pPr>
            <w:r>
              <w:rPr>
                <w:rFonts w:asciiTheme="majorHAnsi" w:hAnsiTheme="majorHAnsi" w:cstheme="majorHAnsi"/>
                <w:sz w:val="18"/>
                <w:szCs w:val="18"/>
              </w:rPr>
              <w:t xml:space="preserve">“CMI” means a person holding a capital markets services licence under the SFA, a fund management company registered under paragraph 5(1)(i) of the Second Schedule to the Securities and Futures (Licensing and Conduct of Business) Regulations (SF(LCB)R) or a person exempted from the requirement to hold such a licence under paragraph 7(1)(b) of the Second Schedule to the SF(LCB)R;</w:t>
            </w:r>
          </w:p>
          <w:p>
            <w:pPr>
              <w:pStyle w:val="BodyText"/>
              <w:rPr>
                <w:rFonts w:asciiTheme="majorHAnsi" w:hAnsiTheme="majorHAnsi" w:cstheme="majorHAnsi"/>
                <w:sz w:val="18"/>
                <w:szCs w:val="18"/>
              </w:rPr>
            </w:pPr>
            <w:r>
              <w:rPr>
                <w:rFonts w:asciiTheme="majorHAnsi" w:hAnsiTheme="majorHAnsi" w:cstheme="majorHAnsi"/>
                <w:sz w:val="18"/>
                <w:szCs w:val="18"/>
              </w:rPr>
              <w:t xml:space="preserve">“customer” means – (a) in relation to any trustee for a collective investment scheme authorised under section 286 of the SFA, that is approved under that Act, the managers and participants of the collective investment scheme; (b) in relation to an approved exchange, recognised market operator, licensed trade repository, licensed foreign trade repository, approved clearing house, recognised clearing house, and central depository system under the SFA, a person who may participate in one or more of the services provided by such entities; (c) in relation to a licensed trust company under the Trust Companies Act 2005, a trust for which the trust company provides trust business services and includes the settlor and any beneficiary under the trust; (d) in relation to an insurer, means a person (whether a natural person, legal person or legal arrangement) with whom the insurer establishes or intends to establish business relations, including, in the case of a group policy, the owner of the master policy issued or intended to be issued; (e) in relation to an insurance intermediary, means a person (whether a natural person, legal person or a legal arrangement) with whom the insurance intermediary arranges or intends to arrange for such persons, contracts of insurance in Singapore with one or more insurers; (f) in relation to a financial adviser, means a person (whether a natural person, legal person or a legal arrangement) with whom the financial adviser establishes or intends to establish business relations and includes in the case where the financial adviser arranges a group life insurance policy, the owner of the master policy; (g) in relation to a CMI, means a person (whether a natural person, legal person or a legal arrangement) – (i) with whom the CMI establishes or intends to establish business relations; (ii) for whom the CMI undertakes or intends to undertake any transaction without an account being opened; or (iii) who invests into an investment vehicle to which the CMI provides the regulated activities of fund management and real estate investment trust management; (h) in relation to a credit card or charge card licensee licensed under section 57B of the Banking Act 1970, means a person (whether a natural person, legal person or legal arrangement) with whom the credit card or charge card licensee establishes or intends to establish business relations; (i) in relation to money-changers and remittance businesses, means a person (whether a natural, legal person or legal arrangement) – (i) with whom the licensee establishes or intends to establish an account relationship; or (ii) for whom the licensee undertakes or intends to undertake a relevant business transaction without an account being opened, including in the case of an inward remittance transaction, the person to whom the licensee pays out funds in cash or cash equivalent in Singapore and the person on behalf of whom such funds are paid out in Singapore; (j) in relation to a benchmark administrator, means a person (whether a natural, legal person or legal arrangement) – (i) who provides information to the benchmark administrator in relation to a designated benchmark; or (ii) with whom the benchmark administrator establishes or intends to establish business relations;</w:t>
            </w:r>
          </w:p>
          <w:p>
            <w:pPr>
              <w:pStyle w:val="BodyText"/>
              <w:rPr>
                <w:rFonts w:asciiTheme="majorHAnsi" w:hAnsiTheme="majorHAnsi" w:cstheme="majorHAnsi"/>
                <w:sz w:val="18"/>
                <w:szCs w:val="18"/>
              </w:rPr>
            </w:pPr>
            <w:r>
              <w:rPr>
                <w:rFonts w:asciiTheme="majorHAnsi" w:hAnsiTheme="majorHAnsi" w:cstheme="majorHAnsi"/>
                <w:sz w:val="18"/>
                <w:szCs w:val="18"/>
              </w:rPr>
              <w:t xml:space="preserve">“customer information” means – (a) in relation to an approved exchange, recognised market operator, approved clearing house and recognised clearing house, “user information” as defined in section 2 of the SFA; (b) in relation to a licensed trade repository and licensed foreign trade repository, “user information” and “transaction information” as defined in section 2 of the SFA; or (c) in the case of any other institution, information that relates to its customers and these include customers’ accounts, particulars, transaction details and dealings with the financial institutions, but does not include any information that is public, anonymised, or encrypted in a secure manner such that the identities of the customers cannot be readily inferred;</w:t>
            </w:r>
          </w:p>
          <w:p>
            <w:pPr>
              <w:pStyle w:val="BodyText"/>
              <w:rPr>
                <w:rFonts w:asciiTheme="majorHAnsi" w:hAnsiTheme="majorHAnsi" w:cstheme="majorHAnsi"/>
                <w:sz w:val="18"/>
                <w:szCs w:val="18"/>
              </w:rPr>
            </w:pPr>
            <w:r>
              <w:rPr>
                <w:rFonts w:asciiTheme="majorHAnsi" w:hAnsiTheme="majorHAnsi" w:cstheme="majorHAnsi"/>
                <w:sz w:val="18"/>
                <w:szCs w:val="18"/>
              </w:rPr>
              <w:t xml:space="preserve">“financial adviser” means a licensed financial adviser under the Financial Advisers Act 2001 (FAA) or a person exempt, under section 20(1)(g) of the FAA read with regulation 27(1)(d) of the Financial Advisers Regulations, from holding a financial adviser’s licence to act as a financial adviser in Singapore in respect of any financial advisory service; [Amended on 24 January 2025]</w:t>
            </w:r>
          </w:p>
          <w:p>
            <w:pPr>
              <w:pStyle w:val="BodyText"/>
              <w:rPr>
                <w:rFonts w:asciiTheme="majorHAnsi" w:hAnsiTheme="majorHAnsi" w:cstheme="majorHAnsi"/>
                <w:sz w:val="18"/>
                <w:szCs w:val="18"/>
              </w:rPr>
            </w:pPr>
            <w:r>
              <w:rPr>
                <w:rFonts w:asciiTheme="majorHAnsi" w:hAnsiTheme="majorHAnsi" w:cstheme="majorHAnsi"/>
                <w:sz w:val="18"/>
                <w:szCs w:val="18"/>
              </w:rPr>
              <w:t xml:space="preserve">“institution” means any financial institution as defined in Section 2 of the Financial Services and Markets Act 2022 other than a bank licensed under the Banking Act 1970 or a merchant bank licensed under the Banking Act 1970;</w:t>
            </w:r>
          </w:p>
          <w:p>
            <w:pPr>
              <w:pStyle w:val="BodyText"/>
              <w:rPr>
                <w:rFonts w:asciiTheme="majorHAnsi" w:hAnsiTheme="majorHAnsi" w:cstheme="majorHAnsi"/>
                <w:sz w:val="18"/>
                <w:szCs w:val="18"/>
              </w:rPr>
            </w:pPr>
            <w:r>
              <w:rPr>
                <w:rFonts w:asciiTheme="majorHAnsi" w:hAnsiTheme="majorHAnsi" w:cstheme="majorHAnsi"/>
                <w:sz w:val="18"/>
                <w:szCs w:val="18"/>
              </w:rPr>
              <w:t xml:space="preserve">“material outsourcing arrangement” means an outsourcing arrangement – (a) which, in the event of a service failure or security breach, has the potential to either materially impact an institution’s– (i) business operations, reputation or profitability; or (ii) ability to manage risk and comply with applicable laws and regulations, or (b) which involves customer information and, in the event of any unauthorised access or disclosure, loss or theft of customer information, may have a material impact on an institution’s customers;</w:t>
            </w:r>
          </w:p>
          <w:p>
            <w:pPr>
              <w:pStyle w:val="BodyText"/>
              <w:rPr>
                <w:rFonts w:asciiTheme="majorHAnsi" w:hAnsiTheme="majorHAnsi" w:cstheme="majorHAnsi"/>
                <w:sz w:val="18"/>
                <w:szCs w:val="18"/>
              </w:rPr>
            </w:pPr>
            <w:r>
              <w:rPr>
                <w:rFonts w:asciiTheme="majorHAnsi" w:hAnsiTheme="majorHAnsi" w:cstheme="majorHAnsi"/>
                <w:sz w:val="18"/>
                <w:szCs w:val="18"/>
              </w:rPr>
              <w:t xml:space="preserve">“legal arrangement” means a trust or other similar arrangement;</w:t>
            </w:r>
          </w:p>
          <w:p>
            <w:pPr>
              <w:pStyle w:val="BodyText"/>
              <w:rPr>
                <w:rFonts w:asciiTheme="majorHAnsi" w:hAnsiTheme="majorHAnsi" w:cstheme="majorHAnsi"/>
                <w:sz w:val="18"/>
                <w:szCs w:val="18"/>
              </w:rPr>
            </w:pPr>
            <w:r>
              <w:rPr>
                <w:rFonts w:asciiTheme="majorHAnsi" w:hAnsiTheme="majorHAnsi" w:cstheme="majorHAnsi"/>
                <w:sz w:val="18"/>
                <w:szCs w:val="18"/>
              </w:rPr>
              <w:t xml:space="preserve">“legal person” means an entity other than a natural person that can establish a permanent customer relationship with a financial institution or otherwise own property;</w:t>
            </w:r>
          </w:p>
          <w:p>
            <w:pPr>
              <w:pStyle w:val="BodyText"/>
              <w:rPr>
                <w:rFonts w:asciiTheme="majorHAnsi" w:hAnsiTheme="majorHAnsi" w:cstheme="majorHAnsi"/>
                <w:sz w:val="18"/>
                <w:szCs w:val="18"/>
              </w:rPr>
            </w:pPr>
            <w:r>
              <w:rPr>
                <w:rFonts w:asciiTheme="majorHAnsi" w:hAnsiTheme="majorHAnsi" w:cstheme="majorHAnsi"/>
                <w:sz w:val="18"/>
                <w:szCs w:val="18"/>
              </w:rPr>
              <w:t xml:space="preserve">“outsourcing agreement” means a written agreement setting out the contractual terms and conditions governing relationships, obligations, responsibilities, rights and expectations of the contracting parties in an outsourcing arrangement;</w:t>
            </w:r>
          </w:p>
          <w:p>
            <w:pPr>
              <w:pStyle w:val="BodyText"/>
              <w:rPr>
                <w:rFonts w:asciiTheme="majorHAnsi" w:hAnsiTheme="majorHAnsi" w:cstheme="majorHAnsi"/>
                <w:sz w:val="18"/>
                <w:szCs w:val="18"/>
              </w:rPr>
            </w:pPr>
            <w:r>
              <w:rPr>
                <w:rFonts w:asciiTheme="majorHAnsi" w:hAnsiTheme="majorHAnsi" w:cstheme="majorHAnsi"/>
                <w:sz w:val="18"/>
                <w:szCs w:val="18"/>
              </w:rPr>
              <w:t xml:space="preserve">“outsourcing arrangement” means an arrangement in which a service provider provides the institution with a service that may currently or potentially be performed by the institution itself and which includes the following characteristics – (a) the institution is dependent on the service on an ongoing basis; and (b) the service is integral to the provision of a financial service by the institution or the service is provided to the market by the service provider in the name of the institution;</w:t>
            </w:r>
          </w:p>
          <w:p>
            <w:pPr>
              <w:pStyle w:val="BodyText"/>
              <w:rPr>
                <w:rFonts w:asciiTheme="majorHAnsi" w:hAnsiTheme="majorHAnsi" w:cstheme="majorHAnsi"/>
                <w:sz w:val="18"/>
                <w:szCs w:val="18"/>
              </w:rPr>
            </w:pPr>
            <w:r>
              <w:rPr>
                <w:rFonts w:asciiTheme="majorHAnsi" w:hAnsiTheme="majorHAnsi" w:cstheme="majorHAnsi"/>
                <w:sz w:val="18"/>
                <w:szCs w:val="18"/>
              </w:rPr>
              <w:t xml:space="preserve">“relevant business transaction” – (a) in relation to a holder of a money-changer’s licence means – (i) a money-changing transaction of an aggregate value not less than S$5,000; or (ii) an inward remittance transaction from another country or jurisdiction to Singapore; or (b) in relation to a holder of a remittance license means, a remittance transaction whether from Singapore to another country or jurisdiction or from another country or jurisdiction to Singapore;</w:t>
            </w:r>
          </w:p>
          <w:p>
            <w:pPr>
              <w:pStyle w:val="BodyText"/>
              <w:rPr>
                <w:rFonts w:asciiTheme="majorHAnsi" w:hAnsiTheme="majorHAnsi" w:cstheme="majorHAnsi"/>
                <w:sz w:val="18"/>
                <w:szCs w:val="18"/>
              </w:rPr>
            </w:pPr>
            <w:r>
              <w:rPr>
                <w:rFonts w:asciiTheme="majorHAnsi" w:hAnsiTheme="majorHAnsi" w:cstheme="majorHAnsi"/>
                <w:sz w:val="18"/>
                <w:szCs w:val="18"/>
              </w:rPr>
              <w:t xml:space="preserve">“service provider” means any party which provides a service to the institution, including any entity within the institution’s group4, whether it is located in Singapore or elsewhere;</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4</w:t>
            </w:r>
            <w:r>
              <w:rPr>
                <w:rFonts w:asciiTheme="majorHAnsi" w:hAnsiTheme="majorHAnsi" w:cstheme="majorHAnsi"/>
                <w:sz w:val="16"/>
                <w:szCs w:val="16"/>
              </w:rPr>
              <w:t xml:space="preserve"> – This refers to the institution’s Head Office or parent institution, subsidiaries, affiliates, and any entity (including their subsidiaries, affiliates and special purpose entities) that the institution exerts control over or that exerts control over the institution.</w:t>
            </w:r>
          </w:p>
          <w:p>
            <w:pPr>
              <w:pStyle w:val="BodyText"/>
              <w:rPr>
                <w:rFonts w:asciiTheme="majorHAnsi" w:hAnsiTheme="majorHAnsi" w:cstheme="majorHAnsi"/>
                <w:sz w:val="18"/>
                <w:szCs w:val="18"/>
              </w:rPr>
            </w:pPr>
            <w:r>
              <w:rPr>
                <w:rFonts w:asciiTheme="majorHAnsi" w:hAnsiTheme="majorHAnsi" w:cstheme="majorHAnsi"/>
                <w:sz w:val="18"/>
                <w:szCs w:val="18"/>
              </w:rPr>
              <w:t xml:space="preserve">“sub-contracting” means an arrangement where a service provider which has an outsourcing arrangement with an institution, further outsources the services or part of the services covered under the outsourcing arrangement to another service provider.</w:t>
            </w:r>
          </w:p>
        </w:tc>
        <w:tc>
          <w:tcPr>
            <w:tcW w:w="2189" w:type="dxa"/>
            <w:vMerge w:val="restart"/>
          </w:tcPr>
          <w:p w14:paraId="30391481" w14:textId="77777777" w:rsidR="008A5CCF" w:rsidRDefault="008A5CCF" w:rsidP="004F6066">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lastRenderedPageBreak/>
              <w:t>3.1.1 of the Bank Guidelines corresponds to 5.2.1 of the FI Guidelines.</w:t>
            </w:r>
          </w:p>
          <w:p w14:paraId="662B16D2" w14:textId="77777777" w:rsidR="008A5CCF" w:rsidRDefault="008A5CCF" w:rsidP="004F6066">
            <w:pPr>
              <w:tabs>
                <w:tab w:val="left" w:pos="360"/>
              </w:tabs>
              <w:spacing w:line="276" w:lineRule="auto"/>
              <w:rPr>
                <w:rFonts w:asciiTheme="majorHAnsi" w:hAnsiTheme="majorHAnsi" w:cstheme="majorHAnsi"/>
                <w:sz w:val="18"/>
                <w:szCs w:val="18"/>
              </w:rPr>
            </w:pPr>
          </w:p>
          <w:p w14:paraId="0C9E6307" w14:textId="4C1F4BA3" w:rsidR="008A5CCF" w:rsidRPr="004F6066" w:rsidRDefault="008A5CCF" w:rsidP="004F6066">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The Definitions section of the FI Guidelines has no counterpart in the Bank Guidelines; the Bank Guidelines rely on the definitions in Notices 658 and 1121 instead (see 1.4 of the Bank Guidelines).</w:t>
            </w:r>
          </w:p>
        </w:tc>
      </w:tr>
      <w:tr w:rsidR="008A5CCF" w:rsidRPr="00DD537D" w14:paraId="6371BAE7" w14:textId="77777777" w:rsidTr="00DC7DDC">
        <w:tc>
          <w:tcPr>
            <w:tcW w:w="625" w:type="dxa"/>
          </w:tcPr>
          <w:p w14:paraId="7D6AD680" w14:textId="55674CC7" w:rsidR="008A5CCF" w:rsidRDefault="008A5CCF" w:rsidP="000C51EC">
            <w:pPr>
              <w:pStyle w:val="BodyText"/>
              <w:rPr>
                <w:rFonts w:asciiTheme="majorHAnsi" w:hAnsiTheme="majorHAnsi" w:cstheme="majorHAnsi"/>
                <w:sz w:val="18"/>
                <w:szCs w:val="18"/>
              </w:rPr>
            </w:pPr>
            <w:r>
              <w:rPr>
                <w:rFonts w:asciiTheme="majorHAnsi" w:hAnsiTheme="majorHAnsi" w:cstheme="majorHAnsi"/>
                <w:sz w:val="18"/>
                <w:szCs w:val="18"/>
              </w:rPr>
              <w:t>3.1.1</w:t>
            </w:r>
          </w:p>
        </w:tc>
        <w:tc>
          <w:tcPr>
            <w:tcW w:w="5670" w:type="dxa"/>
          </w:tcPr>
          <w:p w14:paraId="06B3F4CC" w14:textId="23577C38" w:rsidR="008A5CCF" w:rsidRPr="003130A0"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The board and senior management of a Bank play pivotal roles in ensuring a sound risk management culture and environment. While a Bank may delegate day-to-day operational duties to the service provider, the responsibilities for maintaining effective oversight and governance of outsourcing arrangements, managing outsourcing risks, and implementing an adequate outsourcing risk management framework, in accordance with these Guidelines, continue to rest with the Bank, its board and senior management. The board and senior management of a Bank should ensure there are adequate processes to provide a comprehensive bank-wide view of the Bank’s risk exposures from outsourcing, and incorporate the assessment and mitigation of such risks into the Bank’s outsourcing risk management framework.</w:t>
            </w:r>
          </w:p>
        </w:tc>
        <w:tc>
          <w:tcPr>
            <w:tcW w:w="5731" w:type="dxa"/>
            <w:vMerge/>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[5.2.1]</w:t>
            </w:r>
            <w:r>
              <w:rPr>
                <w:rFonts w:asciiTheme="majorHAnsi" w:hAnsiTheme="majorHAnsi" w:cstheme="majorHAnsi"/>
                <w:sz w:val="18"/>
                <w:szCs w:val="18"/>
              </w:rPr>
              <w:t xml:space="preserve"> The board and senior management of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play pivotal roles in ensuring a sound risk management culture and environment. While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may delegate day-to-day operational duties to the service provider, the responsibilities for maintaining effective oversight and governance of outsourcing arrangements, managing outsourcing risks, and implementing an adequate outsourcing risk management framework, in accordance with these Guidelines, continue to rest with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its board and senior management. The board and senior management of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there are adequate processes to provide a comprehensive </w:t>
            </w:r>
            <w:r>
              <w:rPr>
                <w:rFonts w:asciiTheme="majorHAnsi" w:hAnsiTheme="majorHAnsi" w:cstheme="majorHAnsi"/>
                <w:highlight w:val="yellow"/>
                <w:sz w:val="18"/>
                <w:szCs w:val="18"/>
              </w:rPr>
              <w:t xml:space="preserve">institution-wide</w:t>
            </w:r>
            <w:r>
              <w:rPr>
                <w:rFonts w:asciiTheme="majorHAnsi" w:hAnsiTheme="majorHAnsi" w:cstheme="majorHAnsi"/>
                <w:sz w:val="18"/>
                <w:szCs w:val="18"/>
              </w:rPr>
              <w:t xml:space="preserve"> view of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risk exposures from outsourcing, and incorporate the assessment and mitigation of such risks into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outsourcing risk management framework.</w:t>
            </w:r>
          </w:p>
        </w:tc>
        <w:tc>
          <w:tcPr>
            <w:tcW w:w="2189" w:type="dxa"/>
            <w:vMerge/>
          </w:tcPr>
          <w:p>
            <w:pPr>
              <w:pStyle w:val="BodyText"/>
              <w:rPr>
                <w:rFonts w:asciiTheme="majorHAnsi" w:hAnsiTheme="majorHAnsi" w:cstheme="majorHAnsi"/>
                <w:sz w:val="18"/>
                <w:szCs w:val="18"/>
              </w:rPr>
            </w:pPr>
            <w:r>
              <w:rPr>
                <w:rFonts w:asciiTheme="majorHAnsi" w:hAnsiTheme="majorHAnsi" w:cstheme="majorHAnsi"/>
                <w:sz w:val="18"/>
                <w:szCs w:val="18"/>
              </w:rPr>
              <w:t xml:space="preserve">3.1.1 of the Bank Guidelines corresponds verbatim to 5.2.1 of the FI Guidelines (“institution-wide” for “bank-wide”).</w:t>
            </w:r>
          </w:p>
        </w:tc>
      </w:tr>
      <w:tr w:rsidR="008A5CCF" w:rsidRPr="00DD537D" w14:paraId="36B14ACE" w14:textId="77777777" w:rsidTr="00DC7DDC">
        <w:tc>
          <w:tcPr>
            <w:tcW w:w="625" w:type="dxa"/>
          </w:tcPr>
          <w:p w14:paraId="38B135BB" w14:textId="0DC8DD9D" w:rsidR="008A5CCF" w:rsidRDefault="008A5CCF" w:rsidP="000C51EC">
            <w:pPr>
              <w:pStyle w:val="BodyText"/>
              <w:rPr>
                <w:rFonts w:asciiTheme="majorHAnsi" w:hAnsiTheme="majorHAnsi" w:cstheme="majorHAnsi"/>
                <w:sz w:val="18"/>
                <w:szCs w:val="18"/>
              </w:rPr>
            </w:pPr>
            <w:r>
              <w:rPr>
                <w:rFonts w:asciiTheme="majorHAnsi" w:hAnsiTheme="majorHAnsi" w:cstheme="majorHAnsi"/>
                <w:sz w:val="18"/>
                <w:szCs w:val="18"/>
              </w:rPr>
              <w:t>3.1.2</w:t>
            </w:r>
          </w:p>
        </w:tc>
        <w:tc>
          <w:tcPr>
            <w:tcW w:w="5670" w:type="dxa"/>
          </w:tcPr>
          <w:p w14:paraId="742D0792" w14:textId="77777777" w:rsidR="008A5CCF" w:rsidRP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The board, or a committee delegated by it, is responsible for:</w:t>
            </w:r>
          </w:p>
          <w:p w14:paraId="6AEF62C8" w14:textId="77777777" w:rsidR="008A5CCF" w:rsidRPr="008A5CCF" w:rsidRDefault="008A5CCF" w:rsidP="003130A0">
            <w:pPr>
              <w:pStyle w:val="Level4Number"/>
              <w:rPr>
                <w:sz w:val="18"/>
                <w:szCs w:val="18"/>
              </w:rPr>
            </w:pPr>
            <w:r>
              <w:rPr>
                <w:sz w:val="18"/>
                <w:szCs w:val="18"/>
              </w:rPr>
              <w:t>approving a framework to evaluate the risks and materiality of all existing and prospective outsourcing arrangements and the policies that apply to such arrangements;</w:t>
            </w:r>
          </w:p>
          <w:p w14:paraId="482E9275" w14:textId="77777777" w:rsidR="008A5CCF" w:rsidRPr="008A5CCF" w:rsidRDefault="008A5CCF" w:rsidP="003130A0">
            <w:pPr>
              <w:pStyle w:val="Level4Number"/>
              <w:rPr>
                <w:sz w:val="18"/>
                <w:szCs w:val="18"/>
              </w:rPr>
            </w:pPr>
            <w:r>
              <w:rPr>
                <w:sz w:val="18"/>
                <w:szCs w:val="18"/>
              </w:rPr>
              <w:t xml:space="preserve">setting a suitable risk appetite to define the nature and extent of risks that the Bank is willing and </w:t>
              <w:lastRenderedPageBreak/>
              <w:t>able to assume from its outsourcing arrangements;</w:t>
            </w:r>
          </w:p>
          <w:p w14:paraId="267E6AEC" w14:textId="3F8C59B1" w:rsidR="008A5CCF" w:rsidRPr="008A5CCF" w:rsidRDefault="008A5CCF" w:rsidP="003130A0">
            <w:pPr>
              <w:pStyle w:val="Level4Number"/>
              <w:rPr>
                <w:sz w:val="18"/>
                <w:szCs w:val="18"/>
              </w:rPr>
            </w:pPr>
            <w:r>
              <w:rPr>
                <w:sz w:val="18"/>
                <w:szCs w:val="18"/>
              </w:rPr>
              <w:t>laying down appropriate approval authorities for outsourcing arrangements consistent with its established strategy and risk appetite;</w:t>
            </w:r>
          </w:p>
          <w:p w14:paraId="2226710B" w14:textId="05B4F388" w:rsidR="008A5CCF" w:rsidRPr="008A5CCF" w:rsidRDefault="008A5CCF" w:rsidP="003130A0">
            <w:pPr>
              <w:pStyle w:val="Level4Number"/>
              <w:rPr>
                <w:sz w:val="18"/>
                <w:szCs w:val="18"/>
              </w:rPr>
            </w:pPr>
            <w:r>
              <w:rPr>
                <w:sz w:val="18"/>
                <w:szCs w:val="18"/>
              </w:rPr>
              <w:t xml:space="preserve">assessing management competencies for developing sound and responsive outsourcing risk management policies and procedures that are commensurate with the nature, scope and complexity of the outsourcing arrangements; a</w:t>
            </w:r>
          </w:p>
          <w:p w14:paraId="40F865EC" w14:textId="52F46FEC" w:rsidR="008A5CCF" w:rsidRPr="008A5CCF" w:rsidRDefault="008A5CCF" w:rsidP="003130A0">
            <w:pPr>
              <w:pStyle w:val="Level4Number"/>
              <w:rPr>
                <w:sz w:val="18"/>
                <w:szCs w:val="18"/>
              </w:rPr>
            </w:pPr>
            <w:r>
              <w:rPr>
                <w:sz w:val="18"/>
                <w:szCs w:val="18"/>
              </w:rPr>
              <w:t>ensuring that senior management establishes appropriate governance structures and processes for sound and prudent risk management, such as a management body that reviews controls for consistency and alignment with a comprehensive bank-wide view of risk; and</w:t>
            </w:r>
          </w:p>
          <w:p w14:paraId="016720B4" w14:textId="1A3C5D1A" w:rsidR="008A5CCF" w:rsidRPr="008A5CCF" w:rsidRDefault="008A5CCF" w:rsidP="003130A0">
            <w:pPr>
              <w:pStyle w:val="Level4Number"/>
              <w:rPr>
                <w:sz w:val="18"/>
                <w:szCs w:val="18"/>
              </w:rPr>
            </w:pPr>
            <w:r>
              <w:rPr>
                <w:sz w:val="18"/>
                <w:szCs w:val="18"/>
              </w:rPr>
              <w:t>undertaking regular reviews of strategies relating to outsourcing arrangements and outsourcing arrangements for their continued relevance, and safety and soundness.</w:t>
            </w:r>
          </w:p>
        </w:tc>
        <w:tc>
          <w:tcPr>
            <w:tcW w:w="5731" w:type="dxa"/>
            <w:vMerge/>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[5.2.2]</w:t>
            </w:r>
            <w:r>
              <w:rPr>
                <w:rFonts w:asciiTheme="majorHAnsi" w:hAnsiTheme="majorHAnsi" w:cstheme="majorHAnsi"/>
                <w:sz w:val="18"/>
                <w:szCs w:val="18"/>
              </w:rPr>
              <w:t xml:space="preserve"> The board, or a committee delegated by it, is responsible for: (a) approving a framework to evaluate the risks and materiality of all existing and prospective outsourcing arrangements and the policies that apply to such arrangements; (b) setting a suitable risk appetite to define the nature and extent of risks that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is willing and able to assume from its outsourcing arrangements; (c) laying down appropriate approval authorities for outsourcing arrangements consistent with its established strategy and risk appetite; (d) assessing management competencies for developing sound and responsive outsourcing risk management policies and procedures that are commensurate with the nature, scope and complexity of the outsourcing arrangements; (e) ensuring that senior management establishes appropriate governance structures and processes for sound and prudent risk management, such as a management body that reviews controls for consistency and alignment with a comprehensive </w:t>
            </w:r>
            <w:r>
              <w:rPr>
                <w:rFonts w:asciiTheme="majorHAnsi" w:hAnsiTheme="majorHAnsi" w:cstheme="majorHAnsi"/>
                <w:highlight w:val="yellow"/>
                <w:sz w:val="18"/>
                <w:szCs w:val="18"/>
              </w:rPr>
              <w:t xml:space="preserve">institution-wide</w:t>
            </w:r>
            <w:r>
              <w:rPr>
                <w:rFonts w:asciiTheme="majorHAnsi" w:hAnsiTheme="majorHAnsi" w:cstheme="majorHAnsi"/>
                <w:sz w:val="18"/>
                <w:szCs w:val="18"/>
              </w:rPr>
              <w:t xml:space="preserve"> view of risk; and (f) undertaking regular reviews of </w:t>
            </w:r>
            <w:r>
              <w:rPr>
                <w:rFonts w:asciiTheme="majorHAnsi" w:hAnsiTheme="majorHAnsi" w:cstheme="majorHAnsi"/>
                <w:highlight w:val="yellow"/>
                <w:sz w:val="18"/>
                <w:szCs w:val="18"/>
              </w:rPr>
              <w:t xml:space="preserve">strategies relating to outsourcing and arrangements for their continued</w:t>
            </w:r>
            <w:r>
              <w:rPr>
                <w:rFonts w:asciiTheme="majorHAnsi" w:hAnsiTheme="majorHAnsi" w:cstheme="majorHAnsi"/>
                <w:sz w:val="18"/>
                <w:szCs w:val="18"/>
              </w:rPr>
              <w:t xml:space="preserve"> relevance, and safety and soundness.</w:t>
            </w:r>
          </w:p>
        </w:tc>
        <w:tc>
          <w:tcPr>
            <w:tcW w:w="2189" w:type="dxa"/>
          </w:tcPr>
          <w:p w14:paraId="76730C71" w14:textId="7DBAE5ED" w:rsidR="008A5CCF" w:rsidRPr="008A5CCF" w:rsidRDefault="008A5CCF" w:rsidP="008A5CCF">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3.1.2 of the Bank Guidelines corresponds to 5.2.2 of the FI Guidelines.</w:t>
            </w:r>
          </w:p>
        </w:tc>
      </w:tr>
      <w:tr w:rsidR="002B7735" w:rsidRPr="00DD537D" w14:paraId="4D2FFF9E" w14:textId="77777777" w:rsidTr="00DC7DDC">
        <w:tc>
          <w:tcPr>
            <w:tcW w:w="625" w:type="dxa"/>
          </w:tcPr>
          <w:p w14:paraId="08BCEFE0" w14:textId="7C7B248B" w:rsidR="002B7735" w:rsidRDefault="008A5CCF" w:rsidP="000C51EC">
            <w:pPr>
              <w:pStyle w:val="BodyText"/>
              <w:rPr>
                <w:rFonts w:asciiTheme="majorHAnsi" w:hAnsiTheme="majorHAnsi" w:cstheme="majorHAnsi"/>
                <w:sz w:val="18"/>
                <w:szCs w:val="18"/>
              </w:rPr>
            </w:pPr>
            <w:r>
              <w:rPr>
                <w:rFonts w:asciiTheme="majorHAnsi" w:hAnsiTheme="majorHAnsi" w:cstheme="majorHAnsi"/>
                <w:sz w:val="18"/>
                <w:szCs w:val="18"/>
              </w:rPr>
              <w:t>3.1.3</w:t>
            </w:r>
          </w:p>
        </w:tc>
        <w:tc>
          <w:tcPr>
            <w:tcW w:w="5670" w:type="dxa"/>
          </w:tcPr>
          <w:p w14:paraId="266C8B98"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Senior management is responsible for: </w:t>
            </w:r>
          </w:p>
          <w:p w14:paraId="3E666EAE" w14:textId="77777777" w:rsidR="00DC7DDC" w:rsidRDefault="00DC7DDC" w:rsidP="000C51EC">
            <w:pPr>
              <w:tabs>
                <w:tab w:val="left" w:pos="360"/>
              </w:tabs>
              <w:spacing w:line="276" w:lineRule="auto"/>
            </w:pPr>
            <w:r>
              <w:rPr>
                <w:rFonts w:asciiTheme="majorHAnsi" w:hAnsiTheme="majorHAnsi" w:cstheme="majorHAnsi"/>
                <w:sz w:val="18"/>
                <w:szCs w:val="18"/>
              </w:rPr>
              <w:t>(a) evaluating the materiality and risks from all existing and prospective outsourcing arrangements, based on the framework approved by the board;</w:t>
            </w:r>
            <w:r>
              <w:t xml:space="preserve"> </w:t>
            </w:r>
          </w:p>
          <w:p w14:paraId="6FB57360"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(b) developing sound and prudent outsourcing policies and procedures that are commensurate with the nature, scope and complexity of the outsourcing arrangements as well as ensuring that such policies and procedures are implemented effectively; </w:t>
            </w:r>
          </w:p>
          <w:p w14:paraId="79363F7F"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(c) reviewing regularly the effectiveness of, and appropriately adjusting, policies, standards and procedures to reflect changes in the Bank’s overall risk profile and risk environment; </w:t>
            </w:r>
          </w:p>
          <w:p w14:paraId="70BC5247"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lastRenderedPageBreak/>
              <w:t xml:space="preserve">(d) monitoring and maintaining effective control of all risks from its MOORS on a bank-wide basis;</w:t>
            </w:r>
          </w:p>
          <w:p w14:paraId="0EE5D21F"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(e) ensuring that contingency plans, based on realistic and probable disruptive scenarios, are in place and tested; </w:t>
            </w:r>
          </w:p>
          <w:p w14:paraId="125223B2"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(f) ensuring that there is independent review and audit for compliance with outsourcing policies and procedures; </w:t>
            </w:r>
          </w:p>
          <w:p w14:paraId="534B16A7" w14:textId="21BAB22D" w:rsidR="002B7735" w:rsidRP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(g) ensuring that appropriate and timely remedial actions are taken to address audit findings; (h) and communicating information pertaining to risks arising from its MOORS to the board in a timely manner.</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[5.2.3]</w:t>
            </w:r>
            <w:r>
              <w:rPr>
                <w:rFonts w:asciiTheme="majorHAnsi" w:hAnsiTheme="majorHAnsi" w:cstheme="majorHAnsi"/>
                <w:sz w:val="18"/>
                <w:szCs w:val="18"/>
              </w:rPr>
              <w:t xml:space="preserve"> Senior management is responsible for: (a) evaluating the materiality and risks from all existing and prospective outsourcing arrangements, based on the framework approved by the board; (b) developing sound and prudent outsourcing policies and procedures that are commensurate with the nature, scope and complexity of the outsourcing arrangements as well as ensuring that such policies and procedures are implemented effectively; (c) reviewing regularly the effectiveness of, and appropriately adjusting, policies, standards and procedures to reflect changes in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overall risk profile and risk environment; (d) monitoring and maintaining effective control of all risks from </w:t>
            </w:r>
            <w:r>
              <w:rPr>
                <w:rFonts w:asciiTheme="majorHAnsi" w:hAnsiTheme="majorHAnsi" w:cstheme="majorHAnsi"/>
                <w:highlight w:val="yellow"/>
                <w:sz w:val="18"/>
                <w:szCs w:val="18"/>
              </w:rPr>
              <w:t xml:space="preserve">its material outsourcing arrangements</w:t>
            </w:r>
            <w:r>
              <w:rPr>
                <w:rFonts w:asciiTheme="majorHAnsi" w:hAnsiTheme="majorHAnsi" w:cstheme="majorHAnsi"/>
                <w:sz w:val="18"/>
                <w:szCs w:val="18"/>
              </w:rPr>
              <w:t xml:space="preserve"> on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-wide basis; (e) ensuring that contingency plans, based on realistic and probable disruptive scenarios, are in place and tested; (f) ensuring that there is independent review and audit for compliance with outsourcing policies and procedures; (g) ensuring that appropriate and timely remedial actions are taken to address audit findings; and (h) communicating information pertaining to risks arising from </w:t>
            </w:r>
            <w:r>
              <w:rPr>
                <w:rFonts w:asciiTheme="majorHAnsi" w:hAnsiTheme="majorHAnsi" w:cstheme="majorHAnsi"/>
                <w:highlight w:val="yellow"/>
                <w:sz w:val="18"/>
                <w:szCs w:val="18"/>
              </w:rPr>
              <w:t xml:space="preserve">its material outsourcing arrangements</w:t>
            </w:r>
            <w:r>
              <w:rPr>
                <w:rFonts w:asciiTheme="majorHAnsi" w:hAnsiTheme="majorHAnsi" w:cstheme="majorHAnsi"/>
                <w:sz w:val="18"/>
                <w:szCs w:val="18"/>
              </w:rPr>
              <w:t xml:space="preserve"> to the board in a timely manner.</w:t>
            </w:r>
          </w:p>
        </w:tc>
        <w:tc>
          <w:tcPr>
            <w:tcW w:w="2189" w:type="dxa"/>
          </w:tcPr>
          <w:p w14:paraId="55A59AC9" w14:textId="44B7D451" w:rsidR="002B7735" w:rsidRPr="008A5CCF" w:rsidRDefault="008A5CCF" w:rsidP="008A5CCF">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3.1.3 of the Bank Guidelines corresponds verbatim to 5.2.3 of the FI Guidelines.</w:t>
            </w:r>
          </w:p>
        </w:tc>
      </w:tr>
      <w:tr w:rsidR="002B7735" w:rsidRPr="00DD537D" w14:paraId="29B6C9FE" w14:textId="77777777" w:rsidTr="00DC7DDC">
        <w:tc>
          <w:tcPr>
            <w:tcW w:w="625" w:type="dxa"/>
          </w:tcPr>
          <w:p w14:paraId="0AF1DD3B" w14:textId="462C2A93"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3.1.4</w:t>
            </w:r>
          </w:p>
        </w:tc>
        <w:tc>
          <w:tcPr>
            <w:tcW w:w="5670" w:type="dxa"/>
          </w:tcPr>
          <w:p w14:paraId="7BC0D4F4" w14:textId="42C3C59D" w:rsidR="002B7735" w:rsidRP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Where the board delegates its responsibility to a committee as described in paragraph 3.1.2, the board should establish communication procedures between the board and the committee. This should include requiring the committee to report to the board on a regular basis, and ensuring that senior management is held responsible for implementation of the expectations in these Guidelines as elaborated in paragraph 3.1.3. Notwithstanding the delegation of responsibility to a committee, the board shall remain responsible for the performance of its responsibilities by that committee.</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[5.2.4]</w:t>
            </w:r>
            <w:r>
              <w:rPr>
                <w:rFonts w:asciiTheme="majorHAnsi" w:hAnsiTheme="majorHAnsi" w:cstheme="majorHAnsi"/>
                <w:sz w:val="18"/>
                <w:szCs w:val="18"/>
              </w:rPr>
              <w:t xml:space="preserve"> Where the board delegates its responsibility to a committee as described in </w:t>
            </w:r>
            <w:r>
              <w:rPr>
                <w:rFonts w:asciiTheme="majorHAnsi" w:hAnsiTheme="majorHAnsi" w:cstheme="majorHAnsi"/>
                <w:highlight w:val="yellow"/>
                <w:sz w:val="18"/>
                <w:szCs w:val="18"/>
              </w:rPr>
              <w:t xml:space="preserve">paragraph 5.2.2</w:t>
            </w:r>
            <w:r>
              <w:rPr>
                <w:rFonts w:asciiTheme="majorHAnsi" w:hAnsiTheme="majorHAnsi" w:cstheme="majorHAnsi"/>
                <w:sz w:val="18"/>
                <w:szCs w:val="18"/>
              </w:rPr>
              <w:t xml:space="preserve">, the board should establish communication procedures between the board and the committee. This should include requiring the committee to report to the board on a regular basis, and ensuring that senior management is held responsible for implementation of the expectations in these Guidelines as elaborated in </w:t>
            </w:r>
            <w:r>
              <w:rPr>
                <w:rFonts w:asciiTheme="majorHAnsi" w:hAnsiTheme="majorHAnsi" w:cstheme="majorHAnsi"/>
                <w:highlight w:val="yellow"/>
                <w:sz w:val="18"/>
                <w:szCs w:val="18"/>
              </w:rPr>
              <w:t xml:space="preserve">paragraphs 5.2.3</w:t>
            </w:r>
            <w:r>
              <w:rPr>
                <w:rFonts w:asciiTheme="majorHAnsi" w:hAnsiTheme="majorHAnsi" w:cstheme="majorHAnsi"/>
                <w:sz w:val="18"/>
                <w:szCs w:val="18"/>
              </w:rPr>
              <w:t xml:space="preserve">. Notwithstanding the delegation of responsibility to a committee, the board shall remain responsible for the performance of its responsibilities by that committee.</w:t>
            </w:r>
          </w:p>
        </w:tc>
        <w:tc>
          <w:tcPr>
            <w:tcW w:w="2189" w:type="dxa"/>
          </w:tcPr>
          <w:p w14:paraId="0C5EBE4A" w14:textId="12CF9EED" w:rsidR="002B7735" w:rsidRPr="008A5CCF" w:rsidRDefault="008A5CCF" w:rsidP="008A5CCF">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3.1.4 of the Bank Guidelines corresponds verbatim to 5.2.4 of the FI Guidelines.</w:t>
            </w:r>
          </w:p>
        </w:tc>
      </w:tr>
      <w:tr w:rsidR="002B7735" w:rsidRPr="00DD537D" w14:paraId="2D323348" w14:textId="77777777" w:rsidTr="00DC7DDC">
        <w:tc>
          <w:tcPr>
            <w:tcW w:w="625" w:type="dxa"/>
          </w:tcPr>
          <w:p w14:paraId="646FD616" w14:textId="723DF69A"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3.1.5</w:t>
            </w:r>
          </w:p>
        </w:tc>
        <w:tc>
          <w:tcPr>
            <w:tcW w:w="5670" w:type="dxa"/>
          </w:tcPr>
          <w:p w14:paraId="3174E867" w14:textId="05AE5AF9" w:rsidR="002B7735" w:rsidRP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The functions of senior management in paragraph 3.1.3 lie with local management. Local management of a Bank incorporated or established outside Singapore should continue to take necessary steps to enable it to discharge its obligations to comply with the relevant laws and regulations in Singapore, including expectations under these Guidelines. Local management cannot abrogate its governance responsibilities to run the Bank in a prudent and professional manner.</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[5.2.5]</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For an institution incorporated or established outside Singapore, the functions of the board described in paragraph 5.2.2 may be delegated to and performed by a management committee or body beyond local management that is charged to functionally oversee and supervise the local office (e.g. a regional risk management committee).</w:t>
            </w:r>
            <w:r>
              <w:rPr>
                <w:rFonts w:asciiTheme="majorHAnsi" w:hAnsiTheme="majorHAnsi" w:cstheme="majorHAnsi"/>
                <w:sz w:val="18"/>
                <w:szCs w:val="18"/>
              </w:rPr>
              <w:t xml:space="preserve"> The functions of senior management in paragraph 5.2.3 lie with local management. Local management of an institution incorporated or established outside Singapore should continue to take necessary steps to enable it to discharge its obligations to comply with the relevant laws and regulations in Singapore, including expectations under these Guidelines. Local management cannot abrogate its governance responsibilities to run the institution in a prudent and professional manner.</w:t>
            </w:r>
          </w:p>
        </w:tc>
        <w:tc>
          <w:tcPr>
            <w:tcW w:w="2189" w:type="dxa"/>
          </w:tcPr>
          <w:p w14:paraId="6281EB71" w14:textId="68475BE9" w:rsidR="002B7735" w:rsidRPr="008A5CCF" w:rsidRDefault="008A5CCF" w:rsidP="008A5CCF">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3.1.5 of the Bank Guidelines does not address whether foreign-incorporated institutions can delegate board functions beyond local management.</w:t>
            </w:r>
          </w:p>
        </w:tc>
      </w:tr>
      <w:tr w:rsidR="002B7735" w:rsidRPr="00DD537D" w14:paraId="760C76C0" w14:textId="77777777" w:rsidTr="00DC7DDC">
        <w:tc>
          <w:tcPr>
            <w:tcW w:w="625" w:type="dxa"/>
          </w:tcPr>
          <w:p w14:paraId="79E613D7" w14:textId="250AF7AD"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3.2</w:t>
            </w:r>
          </w:p>
        </w:tc>
        <w:tc>
          <w:tcPr>
            <w:tcW w:w="5670" w:type="dxa"/>
          </w:tcPr>
          <w:p w14:paraId="0A941246" w14:textId="43192B2A" w:rsidR="002B7735" w:rsidRPr="004F6066" w:rsidRDefault="004F6066" w:rsidP="000C51EC">
            <w:pPr>
              <w:tabs>
                <w:tab w:val="left" w:pos="360"/>
              </w:tabs>
              <w:spacing w:line="276" w:lineRule="auto"/>
              <w:rPr>
                <w:rFonts w:asciiTheme="majorHAnsi" w:hAnsiTheme="majorHAnsi" w:cstheme="majorHAnsi"/>
                <w:sz w:val="18"/>
                <w:szCs w:val="18"/>
              </w:rPr>
            </w:pPr>
            <w:r>
              <w:rPr>
                <w:rFonts w:asciiTheme="majorHAnsi" w:hAnsiTheme="majorHAnsi" w:cstheme="majorHAnsi"/>
                <w:i/>
                <w:iCs/>
                <w:sz w:val="18"/>
                <w:szCs w:val="18"/>
              </w:rPr>
              <w:t>Evaluation of Risks</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[5.3]</w:t>
            </w:r>
            <w:r>
              <w:rPr>
                <w:rFonts w:asciiTheme="majorHAnsi" w:hAnsiTheme="majorHAnsi" w:cstheme="majorHAnsi"/>
                <w:i/>
                <w:iCs/>
                <w:sz w:val="18"/>
                <w:szCs w:val="18"/>
              </w:rPr>
              <w:t xml:space="preserve"> Evaluation of risks</w:t>
            </w:r>
          </w:p>
        </w:tc>
        <w:tc>
          <w:tcPr>
            <w:tcW w:w="2189" w:type="dxa"/>
          </w:tcPr>
          <w:p w14:paraId="72565BCB" w14:textId="0027478B" w:rsidR="002B7735" w:rsidRPr="008A5CCF" w:rsidRDefault="008A5CCF" w:rsidP="008A5CCF">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Found in 5.3 of the FI Guidelines.</w:t>
            </w:r>
          </w:p>
        </w:tc>
      </w:tr>
      <w:tr w:rsidR="002B7735" w:rsidRPr="00DD537D" w14:paraId="48ECC0C8" w14:textId="77777777" w:rsidTr="00DC7DDC">
        <w:tc>
          <w:tcPr>
            <w:tcW w:w="625" w:type="dxa"/>
          </w:tcPr>
          <w:p w14:paraId="57349544" w14:textId="72994DB9"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3.2.1</w:t>
            </w:r>
          </w:p>
        </w:tc>
        <w:tc>
          <w:tcPr>
            <w:tcW w:w="5670" w:type="dxa"/>
          </w:tcPr>
          <w:p w14:paraId="17206893" w14:textId="77777777" w:rsidR="00DC7DDC" w:rsidRDefault="00DC7DDC" w:rsidP="000C51EC">
            <w:pPr>
              <w:tabs>
                <w:tab w:val="left" w:pos="360"/>
              </w:tabs>
              <w:spacing w:line="276" w:lineRule="auto"/>
            </w:pPr>
            <w:r>
              <w:rPr>
                <w:rFonts w:asciiTheme="majorHAnsi" w:hAnsiTheme="majorHAnsi" w:cstheme="majorHAnsi"/>
                <w:sz w:val="18"/>
                <w:szCs w:val="18"/>
              </w:rPr>
              <w:t xml:space="preserve">In order to be satisfied that an outsourcing arrangement does not result in the risk management, internal control, business conduct or reputation of a Bank being compromised or weakened, the board and senior management need to fully appreciate the risks arising </w:t>
              <w:lastRenderedPageBreak/>
              <w:t>from outsourcing. The bank should establish a framework for risk evaluation that includes the following steps:</w:t>
            </w:r>
            <w:r>
              <w:t xml:space="preserve"> </w:t>
            </w:r>
          </w:p>
          <w:p w14:paraId="4DC6CAB5"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(a) identifying the role of outsourcing in the overall business strategy and objectives of the Bank; </w:t>
            </w:r>
          </w:p>
          <w:p w14:paraId="4A69B6CE"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(b) performing comprehensive due diligence on the nature, scope and complexity of the outsourcing arrangement to identify and mitigate key risks;</w:t>
            </w:r>
          </w:p>
          <w:p w14:paraId="61905D89"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(c) assessing</w:t>
            </w:r>
            <w:r>
              <w:rPr>
                <w:rFonts w:asciiTheme="majorHAnsi" w:hAnsiTheme="majorHAnsi" w:cstheme="majorHAnsi"/>
                <w:sz w:val="18"/>
                <w:szCs w:val="18"/>
                <w:vertAlign w:val="superscript"/>
              </w:rPr>
              <w:t xml:space="preserve">5 </w:t>
            </w:r>
            <w:r>
              <w:rPr>
                <w:rFonts w:asciiTheme="majorHAnsi" w:hAnsiTheme="majorHAnsi" w:cstheme="majorHAnsi"/>
                <w:sz w:val="18"/>
                <w:szCs w:val="18"/>
              </w:rPr>
              <w:t>the service provider’s ability to employ a high standard of care in performing the outsourced relevant service and meet regulatory standards as expected of the Bank, as if the service is performed by the Bank;</w:t>
            </w:r>
          </w:p>
          <w:p w14:paraId="130EC554"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(d) analysing the impact of the outsourcing arrangement on the overall risk profile of the Bank, and whether there are adequate internal expertise and resources to mitigate the risks identified;</w:t>
            </w:r>
          </w:p>
          <w:p w14:paraId="0A50CC96" w14:textId="77777777" w:rsid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(e) analysing the Bank’s as well as the Bank’s group aggregate exposure to the outsourcing arrangement, to manage concentration risk; and</w:t>
            </w:r>
          </w:p>
          <w:p w14:paraId="174F32BD" w14:textId="026B5237" w:rsidR="00DC7DDC" w:rsidRPr="00DC7DDC"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(f) analysing the benefits of outsourcing against the risks that may arise, ranging from the impact of temporary disruption to service to that of a breach in security and confidentiality, and unexpected termination of the outsourcing arrangement, and whether for strategic and internal control reasons, the Bank should not enter into the outsourcing arrangement.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[5.3.1]</w:t>
            </w:r>
            <w:r>
              <w:rPr>
                <w:rFonts w:asciiTheme="majorHAnsi" w:hAnsiTheme="majorHAnsi" w:cstheme="majorHAnsi"/>
                <w:sz w:val="18"/>
                <w:szCs w:val="18"/>
              </w:rPr>
              <w:t xml:space="preserve"> In order to be satisfied that an outsourcing arrangement does not result in the risk management, internal control, business conduct or reputation of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being compromised or weakened, the board and senior management </w:t>
            </w:r>
            <w:r>
              <w:rPr>
                <w:rFonts w:asciiTheme="majorHAnsi" w:hAnsiTheme="majorHAnsi" w:cstheme="majorHAnsi"/>
                <w:highlight w:val="yellow"/>
                <w:sz w:val="18"/>
                <w:szCs w:val="18"/>
              </w:rPr>
              <w:t xml:space="preserve">would need to fully appreciate</w:t>
            </w:r>
            <w:r>
              <w:rPr>
                <w:rFonts w:asciiTheme="majorHAnsi" w:hAnsiTheme="majorHAnsi" w:cstheme="majorHAnsi"/>
                <w:sz w:val="18"/>
                <w:szCs w:val="18"/>
              </w:rPr>
              <w:t xml:space="preserve"> the risks arising from outsourcing. </w:t>
            </w:r>
            <w:r>
              <w:rPr>
                <w:rFonts w:asciiTheme="majorHAnsi" w:hAnsiTheme="majorHAnsi" w:cstheme="majorHAnsi"/>
                <w:highlight w:val="yellow"/>
                <w:sz w:val="18"/>
                <w:szCs w:val="18"/>
              </w:rPr>
              <w:t xml:space="preserve">The institution</w:t>
            </w:r>
            <w:r>
              <w:rPr>
                <w:rFonts w:asciiTheme="majorHAnsi" w:hAnsiTheme="majorHAnsi" w:cstheme="majorHAnsi"/>
                <w:sz w:val="18"/>
                <w:szCs w:val="18"/>
              </w:rPr>
              <w:t xml:space="preserve"> should establish a framework for risk evaluation that includes the following steps: (a) identifying the role of outsourcing in the overall business strategy and objectives of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(b) performing comprehensive due diligence on the nature, scope and complexity of the outsourcing arrangement to identify and mitigate key risks; (c) assessing</w:t>
            </w:r>
            <w:r>
              <w:rPr>
                <w:rFonts w:asciiTheme="majorHAnsi" w:hAnsiTheme="majorHAnsi" w:cstheme="majorHAnsi"/>
                <w:sz w:val="18"/>
                <w:szCs w:val="18"/>
                <w:vertAlign w:val="superscript"/>
              </w:rPr>
              <w:t xml:space="preserve">5</w:t>
            </w:r>
            <w:r>
              <w:rPr>
                <w:rFonts w:asciiTheme="majorHAnsi" w:hAnsiTheme="majorHAnsi" w:cstheme="majorHAnsi"/>
                <w:sz w:val="18"/>
                <w:szCs w:val="18"/>
              </w:rPr>
              <w:t xml:space="preserve"> the service provider’s ability to employ a high standard of care in performing the </w:t>
            </w:r>
            <w:r>
              <w:rPr>
                <w:rFonts w:asciiTheme="majorHAnsi" w:hAnsiTheme="majorHAnsi" w:cstheme="majorHAnsi"/>
                <w:highlight w:val="yellow"/>
                <w:sz w:val="18"/>
                <w:szCs w:val="18"/>
              </w:rPr>
              <w:t xml:space="preserve">outsourced service</w:t>
            </w:r>
            <w:r>
              <w:rPr>
                <w:rFonts w:asciiTheme="majorHAnsi" w:hAnsiTheme="majorHAnsi" w:cstheme="majorHAnsi"/>
                <w:sz w:val="18"/>
                <w:szCs w:val="18"/>
              </w:rPr>
              <w:t xml:space="preserve"> and meet regulatory standards as expected of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as if the service is performed by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(d) analysing the impact of the outsourcing arrangement on the overall risk profile of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whether there are adequate internal expertise and resources to mitigate the risks identified; (e) analysing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as well as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group aggregate exposure to the outsourcing arrangement, to manage concentration risk; and (f) analysing the benefits of outsourcing against the risks that may arise, ranging from the impact of temporary disruption to service to that of a breach in security and confidentiality, and unexpected </w:t>
            </w:r>
            <w:r>
              <w:rPr>
                <w:rFonts w:asciiTheme="majorHAnsi" w:hAnsiTheme="majorHAnsi" w:cstheme="majorHAnsi"/>
                <w:highlight w:val="yellow"/>
                <w:sz w:val="18"/>
                <w:szCs w:val="18"/>
              </w:rPr>
              <w:t xml:space="preserve">termination in the outsourcing arrangement, and whether for strategic</w:t>
            </w:r>
            <w:r>
              <w:rPr>
                <w:rFonts w:asciiTheme="majorHAnsi" w:hAnsiTheme="majorHAnsi" w:cstheme="majorHAnsi"/>
                <w:sz w:val="18"/>
                <w:szCs w:val="18"/>
              </w:rPr>
              <w:t xml:space="preserve"> and internal control reasons,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should not enter into the outsourcing arrangement.</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5</w:t>
            </w:r>
            <w:r>
              <w:rPr>
                <w:rFonts w:asciiTheme="majorHAnsi" w:hAnsiTheme="majorHAnsi" w:cstheme="majorHAnsi"/>
                <w:sz w:val="16"/>
                <w:szCs w:val="16"/>
              </w:rPr>
              <w:t xml:space="preserve"> – Please see </w:t>
            </w:r>
            <w:r>
              <w:rPr>
                <w:rFonts w:asciiTheme="majorHAnsi" w:hAnsiTheme="majorHAnsi" w:cstheme="majorHAnsi"/>
                <w:highlight w:val="yellow"/>
                <w:sz w:val="16"/>
                <w:szCs w:val="16"/>
              </w:rPr>
              <w:t xml:space="preserve">paragraph 5.4 on assessment</w:t>
            </w:r>
            <w:r>
              <w:rPr>
                <w:rFonts w:asciiTheme="majorHAnsi" w:hAnsiTheme="majorHAnsi" w:cstheme="majorHAnsi"/>
                <w:sz w:val="16"/>
                <w:szCs w:val="16"/>
              </w:rPr>
              <w:t xml:space="preserve"> of service providers.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3.2.1 of the Bank Guidelines corresponds to 5.3.1 of the FI Guidelines, with minor drafting differences: 5.3.1(c) reads “outsourced service” and “as if the outsourcing arrangement is performed by the institution”, and 5.3.1(f) reads “unexpected termination in the outsourcing arrangement”.</w:t>
            </w:r>
          </w:p>
        </w:tc>
      </w:tr>
      <w:tr w:rsidR="002B7735" w:rsidRPr="00DD537D" w14:paraId="7EBB9B6E" w14:textId="77777777" w:rsidTr="00DC7DDC">
        <w:tc>
          <w:tcPr>
            <w:tcW w:w="625" w:type="dxa"/>
          </w:tcPr>
          <w:p w14:paraId="3DAC8B9A" w14:textId="1D47159C"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3.2.2</w:t>
            </w:r>
          </w:p>
        </w:tc>
        <w:tc>
          <w:tcPr>
            <w:tcW w:w="5670" w:type="dxa"/>
          </w:tcPr>
          <w:p w14:paraId="1F746FB5" w14:textId="36DCD47C" w:rsidR="002B7735" w:rsidRPr="00503CC5"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Such risk evaluations should be performed when a Bank is planning to enter into an outsourcing arrangement with an existing or a new service provider, and also re-performed periodically on existing outsourcing arrangements, as part of the approval, strategic planning, risk management or internal control reviews of the outsourcing arrangements of the Bank.</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[5.3.2]</w:t>
            </w:r>
            <w:r>
              <w:rPr>
                <w:rFonts w:asciiTheme="majorHAnsi" w:hAnsiTheme="majorHAnsi" w:cstheme="majorHAnsi"/>
                <w:sz w:val="18"/>
                <w:szCs w:val="18"/>
              </w:rPr>
              <w:t xml:space="preserve"> Such risk evaluations should be performed when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is planning to enter into an outsourcing arrangement with an existing or a new service provider, and also re-performed periodically on existing outsourcing arrangements, as part of the approval, strategic planning, risk management or internal control reviews of the outsourcing arrangements of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3.2.2 of the Bank Guidelines corresponds verbatim to 5.3.2 of the FI Guidelines.</w:t>
            </w:r>
          </w:p>
        </w:tc>
      </w:tr>
      <w:tr w:rsidR="002B7735" w:rsidRPr="00DD537D" w14:paraId="4A429E1E" w14:textId="77777777" w:rsidTr="00DC7DDC">
        <w:tc>
          <w:tcPr>
            <w:tcW w:w="625" w:type="dxa"/>
          </w:tcPr>
          <w:p w14:paraId="456E1EC6" w14:textId="7070E2F9"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3.2.3</w:t>
            </w:r>
          </w:p>
        </w:tc>
        <w:tc>
          <w:tcPr>
            <w:tcW w:w="5670" w:type="dxa"/>
          </w:tcPr>
          <w:p w14:paraId="2C9F6B9F" w14:textId="07589B02" w:rsidR="002B7735" w:rsidRPr="00503CC5" w:rsidRDefault="00DC7DDC"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When assessing risks relating to the safeguarding of customer information where the MOORS involves the disclosure of customer information to an overseas service provider, Banks should assess whether it is necessary to obtain independent legal advice or rely on the advice of internal counsel when assessing such risks. The </w:t>
              <w:lastRenderedPageBreak/>
              <w:t>decision on obtaining legal advice and the frequency for obtaining such advice should be approved by the Bank’s board, or a committee delegated by it, and whenever there are significant changes in the relevant law(s) overseas.</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The expectation to consider independent legal advice on disclosing customer information overseas applies to Banks only, given banking secrecy under the Banking Act.</w:t>
            </w:r>
          </w:p>
        </w:tc>
      </w:tr>
      <w:tr w:rsidR="002B7735" w:rsidRPr="00DD537D" w14:paraId="4E92E5C8" w14:textId="77777777" w:rsidTr="00DC7DDC">
        <w:tc>
          <w:tcPr>
            <w:tcW w:w="625" w:type="dxa"/>
          </w:tcPr>
          <w:p w14:paraId="78B8BEBC" w14:textId="5E65C8E6"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3.3</w:t>
            </w:r>
          </w:p>
        </w:tc>
        <w:tc>
          <w:tcPr>
            <w:tcW w:w="5670" w:type="dxa"/>
          </w:tcPr>
          <w:p w14:paraId="627A2A55" w14:textId="4DC4802E" w:rsidR="002B7735" w:rsidRP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Assessment of service providers</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[5.4]</w:t>
            </w:r>
            <w:r>
              <w:rPr>
                <w:rFonts w:asciiTheme="majorHAnsi" w:hAnsiTheme="majorHAnsi" w:cstheme="majorHAnsi"/>
                <w:i/>
                <w:iCs/>
                <w:sz w:val="18"/>
                <w:szCs w:val="18"/>
              </w:rPr>
              <w:t xml:space="preserve"> Assessment of service providers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5.4 of the FI Guidelines.</w:t>
            </w:r>
          </w:p>
        </w:tc>
      </w:tr>
      <w:tr w:rsidR="002B7735" w:rsidRPr="00DD537D" w14:paraId="2AD872D9" w14:textId="77777777" w:rsidTr="00DC7DDC">
        <w:tc>
          <w:tcPr>
            <w:tcW w:w="625" w:type="dxa"/>
          </w:tcPr>
          <w:p w14:paraId="7485F661" w14:textId="1AAF4B7D"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3.3.1</w:t>
            </w:r>
          </w:p>
        </w:tc>
        <w:tc>
          <w:tcPr>
            <w:tcW w:w="5670" w:type="dxa"/>
          </w:tcPr>
          <w:p w14:paraId="5249E771" w14:textId="162EC0F6" w:rsidR="002B7735" w:rsidRP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In considering, renegotiating or renewing an outsourcing arrangement, a Bank should subject the service provider to appropriate due diligence processes to assess the risks associated with the outsourcing arrangements.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[5.4.1]</w:t>
            </w:r>
            <w:r>
              <w:rPr>
                <w:rFonts w:asciiTheme="majorHAnsi" w:hAnsiTheme="majorHAnsi" w:cstheme="majorHAnsi"/>
                <w:sz w:val="18"/>
                <w:szCs w:val="18"/>
              </w:rPr>
              <w:t xml:space="preserve"> In considering, renegotiating or renewing an outsourcing arrangement,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subject the service provider to appropriate due diligence processes to assess the risks associated with the outsourcing arrangements.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3.3.1 of the Bank Guidelines corresponds verbatim to 5.4.1 of the FI Guidelines.</w:t>
            </w:r>
          </w:p>
        </w:tc>
      </w:tr>
      <w:tr w:rsidR="002B7735" w:rsidRPr="00DD537D" w14:paraId="2E2BAD94" w14:textId="77777777" w:rsidTr="00DC7DDC">
        <w:tc>
          <w:tcPr>
            <w:tcW w:w="625" w:type="dxa"/>
          </w:tcPr>
          <w:p w14:paraId="4A8F8F23" w14:textId="32DF7393"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3.3.2</w:t>
            </w:r>
          </w:p>
        </w:tc>
        <w:tc>
          <w:tcPr>
            <w:tcW w:w="5670" w:type="dxa"/>
          </w:tcPr>
          <w:p w14:paraId="00730471" w14:textId="3B55FE0E" w:rsidR="002B7735" w:rsidRPr="008A5CCF" w:rsidRDefault="008A5CCF" w:rsidP="000C51EC">
            <w:pPr>
              <w:tabs>
                <w:tab w:val="left" w:pos="360"/>
              </w:tabs>
              <w:spacing w:line="276" w:lineRule="auto"/>
              <w:rPr>
                <w:rFonts w:asciiTheme="majorHAnsi" w:hAnsiTheme="majorHAnsi" w:cstheme="majorHAnsi"/>
                <w:sz w:val="18"/>
                <w:szCs w:val="18"/>
              </w:rPr>
            </w:pPr>
            <w:r>
              <w:rPr>
                <w:rFonts w:asciiTheme="majorHAnsi" w:hAnsiTheme="majorHAnsi" w:cstheme="majorHAnsi"/>
                <w:sz w:val="18"/>
                <w:szCs w:val="18"/>
              </w:rPr>
              <w:t xml:space="preserve">A Bank should assess all relevant aspects of the service provider, including its capability to employ a high standard of care in the performance of the outsourcing arrangement as if the service is performed by the Bank to meet its obligations as a regulated entity. The due diligence should also take into account the physical and IT security controls the service provider has in place, the business reputation and financial strength of the service provider, including the ethical and professional standards held by the service provider, and its ability to meet obligations under the outsourcing arrangement. Onsite visits to the service provider, and where possible, independent reviews and market feedback on the 5Please see paragraph 3.3 on assessment of service providers. Guidelines on Outsourcing (Banks) 11/12/2023 | 9 service provider, should also be obtained to supplement the Bank’s assessment. Onsite visits should be conducted by persons who possess the requisite knowledge and skills to conduct the assessment.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[5.4.2]</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assess all relevant aspects of the service provider, including its capability to employ a high standard of care in the performance of the outsourcing arrangement as if the service is performed by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to meet its obligations as a regulated entity. The due diligence should also take into account the physical and IT security controls the service provider has in place, the business reputation and financial strength of the service provider, including the ethical and professional standards held by the service provider, and its ability to meet obligations under the outsourcing arrangement. Onsite visits to the service provider, and where possible, independent reviews and market feedback on the service provider, should also be obtained to supplement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assessment. Onsite visits should be conducted by persons who possess the requisite knowledge and skills to conduct the assessment.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3.3.2 of the Bank Guidelines corresponds verbatim to 5.4.2 of the FI Guidelines.</w:t>
            </w:r>
          </w:p>
        </w:tc>
      </w:tr>
      <w:tr w:rsidR="002B7735" w:rsidRPr="00DD537D" w14:paraId="39278E9F" w14:textId="77777777" w:rsidTr="00DC7DDC">
        <w:tc>
          <w:tcPr>
            <w:tcW w:w="625" w:type="dxa"/>
          </w:tcPr>
          <w:p w14:paraId="5CAEBFC9" w14:textId="550FBF37"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3.3.3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 due diligence should involve an evaluation of all relevant information about the service provider. Information to be evaluated includes the service provider’s: (a) experience and capability to implement and support the outsourcing arrangement over the contracted period; (b) financial strength and resources (the due diligence should be similar to a credit assessment of the viability of the service provider based on reviews of business strategy and goals, audited financial statements, the strength of commitment of major equity sponsors and ability to service commitments even under adverse conditions); (c) corporate governance, business reputation and culture, compliance, and pending or potential litigation; (d) security and internal controls, audit coverage, reporting and monitoring environment; (e) risk management framework and capabilities, including technology risk management</w:t>
            </w:r>
            <w:r>
              <w:rPr>
                <w:rFonts w:asciiTheme="majorHAnsi" w:hAnsiTheme="majorHAnsi" w:cstheme="majorHAnsi"/>
                <w:sz w:val="18"/>
                <w:szCs w:val="18"/>
                <w:vertAlign w:val="superscript"/>
              </w:rPr>
              <w:t xml:space="preserve">6</w:t>
            </w:r>
            <w:r>
              <w:rPr>
                <w:rFonts w:asciiTheme="majorHAnsi" w:hAnsiTheme="majorHAnsi" w:cstheme="majorHAnsi"/>
                <w:sz w:val="18"/>
                <w:szCs w:val="18"/>
              </w:rPr>
              <w:t xml:space="preserve"> and business continuity management</w:t>
            </w:r>
            <w:r>
              <w:rPr>
                <w:rFonts w:asciiTheme="majorHAnsi" w:hAnsiTheme="majorHAnsi" w:cstheme="majorHAnsi"/>
                <w:sz w:val="18"/>
                <w:szCs w:val="18"/>
                <w:vertAlign w:val="superscript"/>
              </w:rPr>
              <w:t xml:space="preserve">7</w:t>
            </w:r>
            <w:r>
              <w:rPr>
                <w:rFonts w:asciiTheme="majorHAnsi" w:hAnsiTheme="majorHAnsi" w:cstheme="majorHAnsi"/>
                <w:sz w:val="18"/>
                <w:szCs w:val="18"/>
              </w:rPr>
              <w:t xml:space="preserve"> in respect of the outsourcing arrangement; (f) disaster recovery arrangements and disaster recovery track record; (g) reliance on and success in dealing with sub-contractors; (h) insurance coverage; (i) external environment (such as the political, economic, social and legal environment of the jurisdiction in which the service provider operates); and (j) ability to comply with applicable laws and regulations and track record in relation to its compliance with applicable laws and regulations.</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6</w:t>
            </w:r>
            <w:r>
              <w:rPr>
                <w:rFonts w:asciiTheme="majorHAnsi" w:hAnsiTheme="majorHAnsi" w:cstheme="majorHAnsi"/>
                <w:sz w:val="16"/>
                <w:szCs w:val="16"/>
              </w:rPr>
              <w:t xml:space="preserve"> – Standards should be commensurate with that expected of the institution as set out in MAS’ Technology Risk Management Guidelines.</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7</w:t>
            </w:r>
            <w:r>
              <w:rPr>
                <w:rFonts w:asciiTheme="majorHAnsi" w:hAnsiTheme="majorHAnsi" w:cstheme="majorHAnsi"/>
                <w:sz w:val="16"/>
                <w:szCs w:val="16"/>
              </w:rPr>
              <w:t xml:space="preserve"> – Standards should be commensurate with that expected of the institution as set out in MAS’ Business Continuity Management Guidelines. Please also see paragraph 3.7 for more guidance.</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[5.4.3]</w:t>
            </w:r>
            <w:r>
              <w:rPr>
                <w:rFonts w:asciiTheme="majorHAnsi" w:hAnsiTheme="majorHAnsi" w:cstheme="majorHAnsi"/>
                <w:sz w:val="18"/>
                <w:szCs w:val="18"/>
              </w:rPr>
              <w:t xml:space="preserve"> The due diligence should involve an evaluation of all relevant information about the service provider. Information to be evaluated includes the service provider’s: (a) experience and capability to implement and support the outsourcing arrangement over the contracted period; (b) financial strength and resources (the due diligence should be similar to a credit assessment of the viability of the service provider based on reviews of business strategy and goals, audited financial statements, the strength of commitment of major equity sponsors and ability to service commitments even under adverse conditions); (c) corporate governance, business reputation and culture, compliance, and pending or potential litigation; (d) security and internal controls, audit coverage, reporting and monitoring environment; (e) risk management framework and capabilities, including technology risk management</w:t>
            </w:r>
            <w:r>
              <w:rPr>
                <w:rFonts w:asciiTheme="majorHAnsi" w:hAnsiTheme="majorHAnsi" w:cstheme="majorHAnsi"/>
                <w:sz w:val="18"/>
                <w:szCs w:val="18"/>
                <w:vertAlign w:val="superscript"/>
              </w:rPr>
              <w:t xml:space="preserve">6</w:t>
            </w:r>
            <w:r>
              <w:rPr>
                <w:rFonts w:asciiTheme="majorHAnsi" w:hAnsiTheme="majorHAnsi" w:cstheme="majorHAnsi"/>
                <w:sz w:val="18"/>
                <w:szCs w:val="18"/>
              </w:rPr>
              <w:t xml:space="preserve"> and business continuity management</w:t>
            </w:r>
            <w:r>
              <w:rPr>
                <w:rFonts w:asciiTheme="majorHAnsi" w:hAnsiTheme="majorHAnsi" w:cstheme="majorHAnsi"/>
                <w:sz w:val="18"/>
                <w:szCs w:val="18"/>
                <w:vertAlign w:val="superscript"/>
              </w:rPr>
              <w:t xml:space="preserve">7</w:t>
            </w:r>
            <w:r>
              <w:rPr>
                <w:rFonts w:asciiTheme="majorHAnsi" w:hAnsiTheme="majorHAnsi" w:cstheme="majorHAnsi"/>
                <w:sz w:val="18"/>
                <w:szCs w:val="18"/>
              </w:rPr>
              <w:t xml:space="preserve"> in respect of the outsourcing arrangement; (f) disaster recovery arrangements and disaster recovery track record; (g) reliance on and success in dealing with sub-contractors; (h) insurance coverage; (i) external environment (such as the political, economic, social and legal environment of the jurisdiction in which the service provider operates); and (j) ability to comply with applicable laws and regulations and track record in relation to its compliance with applicable laws and regulations.</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6</w:t>
            </w:r>
            <w:r>
              <w:rPr>
                <w:rFonts w:asciiTheme="majorHAnsi" w:hAnsiTheme="majorHAnsi" w:cstheme="majorHAnsi"/>
                <w:sz w:val="16"/>
                <w:szCs w:val="16"/>
              </w:rPr>
              <w:t xml:space="preserve"> – Standards should be commensurate with that expected of the institution as set out in MAS’ Technology Risk Management Guidelines.</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7</w:t>
            </w:r>
            <w:r>
              <w:rPr>
                <w:rFonts w:asciiTheme="majorHAnsi" w:hAnsiTheme="majorHAnsi" w:cstheme="majorHAnsi"/>
                <w:sz w:val="16"/>
                <w:szCs w:val="16"/>
              </w:rPr>
              <w:t xml:space="preserve"> – Standards should be commensurate with that expected of the institution as set out in MAS’ Business Continuity Management Guidelines. Please also see </w:t>
            </w:r>
            <w:r>
              <w:rPr>
                <w:rFonts w:asciiTheme="majorHAnsi" w:hAnsiTheme="majorHAnsi" w:cstheme="majorHAnsi"/>
                <w:highlight w:val="yellow"/>
                <w:sz w:val="16"/>
                <w:szCs w:val="16"/>
              </w:rPr>
              <w:t xml:space="preserve">paragraph 5.7 of the Guidelines on Outsourcing for more guidance</w:t>
            </w:r>
            <w:r>
              <w:rPr>
                <w:rFonts w:asciiTheme="majorHAnsi" w:hAnsiTheme="majorHAnsi" w:cstheme="majorHAnsi"/>
                <w:sz w:val="16"/>
                <w:szCs w:val="16"/>
              </w:rPr>
              <w:t xml:space="preserv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3.3.3 of the Bank Guidelines corresponds verbatim to 5.4.3 of the FI Guidelines, including footnotes 6 and 7.</w:t>
            </w:r>
          </w:p>
        </w:tc>
      </w:tr>
      <w:tr w:rsidR="002B7735" w:rsidRPr="00DD537D" w14:paraId="1DBF20B8" w14:textId="77777777" w:rsidTr="00DC7DDC">
        <w:tc>
          <w:tcPr>
            <w:tcW w:w="625" w:type="dxa"/>
          </w:tcPr>
          <w:p w14:paraId="1D1C25B5" w14:textId="5A0AC40A" w:rsidR="002B7735"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3.3.4</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ensure that the employees of the service provider undertaking any part of the outsourcing arrangement have been assessed to meet the Bank’s hiring policies for the role they are performing, consistent with the criteria applicable to its own employees. The following are some non-exhaustive examples of what should be considered under this assessment: (a) whether they have been the subject of any proceedings of a disciplinary or criminal nature; (b) whether they have been convicted of any offence (in particular, that associated with a finding of fraud, misrepresentation or dishonesty); (c) whether they have accepted civil liability for fraud or misrepresentation; and (d) whether they are financially sound. Any adverse findings from this assessment should be considered in light of their relevance and impact to the outsourcing arrangement.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[5.4.4]</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that the employees of the service provider undertaking any part of the outsourcing arrangement have been assessed to meet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hiring policies for the role they are performing, consistent with the criteria applicable to its own employees. The following are some non-exhaustive examples of what should be considered under this assessment: (a) whether they have been the subject of any proceedings of a disciplinary or criminal nature; (b) whether they have been convicted of any offence (in particular, that associated with a finding of fraud, misrepresentation or dishonesty); (c) whether they have accepted civil liability for fraud or misrepresentation; and (d) whether they are financially sound. Any adverse findings from this assessment should be considered in light of their relevance and impact to the outsourcing arrangement.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3.3.4 of the Bank Guidelines corresponds verbatim to 5.4.4 of the FI Guidelines.</w:t>
            </w:r>
          </w:p>
        </w:tc>
      </w:tr>
      <w:tr w:rsidR="004F6066" w:rsidRPr="00DD537D" w14:paraId="3F9566BF" w14:textId="77777777" w:rsidTr="00DC7DDC">
        <w:tc>
          <w:tcPr>
            <w:tcW w:w="625" w:type="dxa"/>
          </w:tcPr>
          <w:p w14:paraId="5A78413A" w14:textId="1B4B5811"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lastRenderedPageBreak/>
              <w:t>3.3.5</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Due diligence undertaken during the assessment process should be documented and re-performed periodically as part of the monitoring and control processes of outsourcing arrangements. A risk-based approach may be used to determine the frequency for the re-performance of due diligence for outsourcing arrangements (including intragroup arrangements). The due diligence process may vary depending on the nature, and extent of risk of the </w:t>
            </w:r>
            <w:r>
              <w:rPr>
                <w:rFonts w:asciiTheme="majorHAnsi" w:hAnsiTheme="majorHAnsi" w:cstheme="majorHAnsi"/>
                <w:highlight w:val="yellow"/>
                <w:sz w:val="18"/>
                <w:szCs w:val="18"/>
              </w:rPr>
              <w:t xml:space="preserve">service</w:t>
            </w:r>
            <w:r>
              <w:rPr>
                <w:rFonts w:asciiTheme="majorHAnsi" w:hAnsiTheme="majorHAnsi" w:cstheme="majorHAnsi"/>
                <w:sz w:val="18"/>
                <w:szCs w:val="18"/>
              </w:rPr>
              <w:t xml:space="preserve"> and impact to the Bank in the event of a disruption to service or breach of security and confidentiality (e.g. reduced due diligence may be sufficient where the outsourcing arrangements are made within the Bank’s group8). A Bank should ensure that the information used for due diligence evaluation is sufficiently current. A Bank should also consider the findings from the due diligence evaluation to determine the frequency and scope of audit on the service provider.</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8</w:t>
            </w:r>
            <w:r>
              <w:rPr>
                <w:rFonts w:asciiTheme="majorHAnsi" w:hAnsiTheme="majorHAnsi" w:cstheme="majorHAnsi"/>
                <w:sz w:val="16"/>
                <w:szCs w:val="16"/>
              </w:rPr>
              <w:t xml:space="preserve"> – Please see paragraph 3.11 on provision of outsourced relevant services within a group.</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[5.4.5]</w:t>
            </w:r>
            <w:r>
              <w:rPr>
                <w:rFonts w:asciiTheme="majorHAnsi" w:hAnsiTheme="majorHAnsi" w:cstheme="majorHAnsi"/>
                <w:sz w:val="18"/>
                <w:szCs w:val="18"/>
              </w:rPr>
              <w:t xml:space="preserve"> Due diligence undertaken during the assessment process should be documented and re-performed periodically as part of the monitoring and control processes of outsourcing arrangements. A risk-based approach may be used to determine the frequency for the re-performance of due diligence for outsourcing arrangements (including intragroup arrangements). The due diligence process may vary depending on the nature, and extent of </w:t>
            </w:r>
            <w:r>
              <w:rPr>
                <w:rFonts w:asciiTheme="majorHAnsi" w:hAnsiTheme="majorHAnsi" w:cstheme="majorHAnsi"/>
                <w:highlight w:val="yellow"/>
                <w:sz w:val="18"/>
                <w:szCs w:val="18"/>
              </w:rPr>
              <w:t xml:space="preserve">risk of the arrangement and impact</w:t>
            </w:r>
            <w:r>
              <w:rPr>
                <w:rFonts w:asciiTheme="majorHAnsi" w:hAnsiTheme="majorHAnsi" w:cstheme="majorHAnsi"/>
                <w:sz w:val="18"/>
                <w:szCs w:val="18"/>
              </w:rPr>
              <w:t xml:space="preserve"> to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in the event of a disruption to service or breach of security and confidentiality (e.g. reduced due diligence may be sufficient where the outsourcing arrangements are made within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group8).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that the information used for due diligence evaluation is sufficiently current.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also consider the findings from the due diligence evaluation to determine the frequency and scope of audit on the service provider.</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8</w:t>
            </w:r>
            <w:r>
              <w:rPr>
                <w:rFonts w:asciiTheme="majorHAnsi" w:hAnsiTheme="majorHAnsi" w:cstheme="majorHAnsi"/>
                <w:sz w:val="16"/>
                <w:szCs w:val="16"/>
              </w:rPr>
              <w:t xml:space="preserve"> – Please see </w:t>
            </w:r>
            <w:r>
              <w:rPr>
                <w:rFonts w:asciiTheme="majorHAnsi" w:hAnsiTheme="majorHAnsi" w:cstheme="majorHAnsi"/>
                <w:highlight w:val="yellow"/>
                <w:sz w:val="16"/>
                <w:szCs w:val="16"/>
              </w:rPr>
              <w:t xml:space="preserve">paragraph 5.11 on arrangements relating to outsourcing within a group</w:t>
            </w:r>
            <w:r>
              <w:rPr>
                <w:rFonts w:asciiTheme="majorHAnsi" w:hAnsiTheme="majorHAnsi" w:cstheme="majorHAnsi"/>
                <w:sz w:val="16"/>
                <w:szCs w:val="16"/>
              </w:rPr>
              <w:t xml:space="preserv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3.3.5 of the Bank Guidelines corresponds to 5.4.5 of the FI Guidelines; 5.4.5 reads “risk of the arrangement” for “risk of the service”.</w:t>
            </w:r>
          </w:p>
        </w:tc>
      </w:tr>
      <w:tr w:rsidR="004F6066" w:rsidRPr="00DD537D" w14:paraId="3A21747E" w14:textId="77777777" w:rsidTr="00DC7DDC">
        <w:tc>
          <w:tcPr>
            <w:tcW w:w="625" w:type="dxa"/>
          </w:tcPr>
          <w:p w14:paraId="61938341" w14:textId="37FCE060"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3.3.6</w:t>
            </w:r>
          </w:p>
        </w:tc>
        <w:tc>
          <w:tcPr>
            <w:tcW w:w="5670"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For the purposes of paragraph 5.2(b) of the Notices on policies on frequencies of checks, a Bank may, but is not required to, set a specific policy for each MOORS. Banks may set policies for groups or types of MOORS so long as banks ensure that the review frequency is commensurate with the risks posed by the MOORS.</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3.3.6 interprets paragraph 5.2(b) of the Notices, which applies to Banks only. The closest FI analogue is the annual review of material outsourcing arrangements in 5.8.2(d) of the FI Guidelines.</w:t>
            </w:r>
          </w:p>
        </w:tc>
      </w:tr>
      <w:tr w:rsidR="004F6066" w:rsidRPr="00DD537D" w14:paraId="3130258A" w14:textId="77777777" w:rsidTr="00DC7DDC">
        <w:tc>
          <w:tcPr>
            <w:tcW w:w="625" w:type="dxa"/>
          </w:tcPr>
          <w:p w14:paraId="307EE3CF" w14:textId="2F43D677"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3.4</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Outsourcing agreement</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[5.5]</w:t>
            </w:r>
            <w:r>
              <w:rPr>
                <w:rFonts w:asciiTheme="majorHAnsi" w:hAnsiTheme="majorHAnsi" w:cstheme="majorHAnsi"/>
                <w:i/>
                <w:iCs/>
                <w:sz w:val="18"/>
                <w:szCs w:val="18"/>
              </w:rPr>
              <w:t xml:space="preserve"> Outsourcing agreement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5.5 of the FI Guidelines.</w:t>
            </w:r>
          </w:p>
        </w:tc>
      </w:tr>
      <w:tr w:rsidR="004F6066" w:rsidRPr="00DD537D" w14:paraId="4F6A76F5" w14:textId="77777777" w:rsidTr="00DC7DDC">
        <w:tc>
          <w:tcPr>
            <w:tcW w:w="625" w:type="dxa"/>
          </w:tcPr>
          <w:p w14:paraId="1F1CE81E" w14:textId="070E42A7"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3.4.1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Contractual terms and conditions governing relationships, obligations, responsibilities, rights and expectations of the contracting parties in the outsourcing arrangement should be carefully and properly defined in written agreements. They should also be vetted by a competent authority (e.g. the Banks’ legal counsel) on their legality and enforceability.</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[5.5.1]</w:t>
            </w:r>
            <w:r>
              <w:rPr>
                <w:rFonts w:asciiTheme="majorHAnsi" w:hAnsiTheme="majorHAnsi" w:cstheme="majorHAnsi"/>
                <w:sz w:val="18"/>
                <w:szCs w:val="18"/>
              </w:rPr>
              <w:t xml:space="preserve"> Contractual terms and conditions governing relationships, obligations, responsibilities, rights and expectations of the contracting parties in the outsourcing arrangement should be carefully and properly defined in written agreements. They should also be vetted by a competent authority (e.g.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legal counsel) on their legality and enforceability.</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3.4.1 of the Bank Guidelines corresponds verbatim to 5.5.1 of the FI Guidelines.</w:t>
            </w:r>
          </w:p>
        </w:tc>
      </w:tr>
      <w:tr w:rsidR="004F6066" w:rsidRPr="00DD537D" w14:paraId="6D5C074A" w14:textId="77777777" w:rsidTr="00DC7DDC">
        <w:tc>
          <w:tcPr>
            <w:tcW w:w="625" w:type="dxa"/>
          </w:tcPr>
          <w:p w14:paraId="42628193" w14:textId="1B20688D"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3.4.2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ensure that every outsourcing agreement addresses the risks identified at the risk evaluation and due diligence stages. Each outsourcing agreement should allow for timely renegotiation and renewal to enable the Bank to retain an appropriate level of control over the outsourcing arrangement and the right to intervene with appropriate measures to meet its legal and regulatory obligations. It should at the very least, have provisions to address the following aspects of outsourcing: (a) scope of the outsourcing arrangement; (b) performance, operational, internal control and risk management standards; (c) confidentiality and security</w:t>
            </w:r>
            <w:r>
              <w:rPr>
                <w:rFonts w:asciiTheme="majorHAnsi" w:hAnsiTheme="majorHAnsi" w:cstheme="majorHAnsi"/>
                <w:highlight w:val="yellow"/>
                <w:sz w:val="18"/>
                <w:szCs w:val="18"/>
              </w:rPr>
              <w:t xml:space="preserve">9</w:t>
            </w:r>
            <w:r>
              <w:rPr>
                <w:rFonts w:asciiTheme="majorHAnsi" w:hAnsiTheme="majorHAnsi" w:cstheme="majorHAnsi"/>
                <w:sz w:val="18"/>
                <w:szCs w:val="18"/>
              </w:rPr>
              <w:t xml:space="preserve">; (d) business continuity management; (e) monitoring and control; (f) audit and inspection</w:t>
            </w:r>
            <w:r>
              <w:rPr>
                <w:rFonts w:asciiTheme="majorHAnsi" w:hAnsiTheme="majorHAnsi" w:cstheme="majorHAnsi"/>
                <w:highlight w:val="yellow"/>
                <w:sz w:val="18"/>
                <w:szCs w:val="18"/>
              </w:rPr>
              <w:t xml:space="preserve">12</w:t>
            </w:r>
            <w:r>
              <w:rPr>
                <w:rFonts w:asciiTheme="majorHAnsi" w:hAnsiTheme="majorHAnsi" w:cstheme="majorHAnsi"/>
                <w:sz w:val="18"/>
                <w:szCs w:val="18"/>
              </w:rPr>
              <w:t xml:space="preserve">; (g) notification of adverse developments — A Bank should specify in its outsourcing agreement the type of events and the circumstances under which the service provider should report to the Bank in order for the Bank to take prompt risk mitigation measures and notify MAS of such developments under paragraph 2.2; (h) dispute resolution — A Bank should specify in its outsourcing agreement the resolution process, events of default, and the indemnities, remedies and recourse of the respective parties in the agreement. The Bank should ensure that its contractual rights can be exercised in the event of a breach of the outsourcing agreement by the service provider; (i) default termination and early exit</w:t>
            </w:r>
            <w:r>
              <w:rPr>
                <w:rFonts w:asciiTheme="majorHAnsi" w:hAnsiTheme="majorHAnsi" w:cstheme="majorHAnsi"/>
                <w:sz w:val="18"/>
                <w:szCs w:val="18"/>
                <w:vertAlign w:val="superscript"/>
              </w:rPr>
              <w:t xml:space="preserve">13</w:t>
            </w:r>
            <w:r>
              <w:rPr>
                <w:rFonts w:asciiTheme="majorHAnsi" w:hAnsiTheme="majorHAnsi" w:cstheme="majorHAnsi"/>
                <w:sz w:val="18"/>
                <w:szCs w:val="18"/>
              </w:rPr>
              <w:t xml:space="preserve">; (j) applicable laws — Agreements should include choice-of-law provisions, agreement covenants and jurisdictional covenants that provide for adjudication of disputes between the parties under the laws of a specific jurisdiction.</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9</w:t>
            </w:r>
            <w:r>
              <w:rPr>
                <w:rFonts w:asciiTheme="majorHAnsi" w:hAnsiTheme="majorHAnsi" w:cstheme="majorHAnsi"/>
                <w:sz w:val="16"/>
                <w:szCs w:val="16"/>
              </w:rPr>
              <w:t xml:space="preserve"> – The provisions of the outsourcing agreement for a MOORS that relate to confidentiality and security should include the requirements set out in paragraph 7.1(a) to (c) of the Notices. Refer also to paragraph 3.6.</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12</w:t>
            </w:r>
            <w:r>
              <w:rPr>
                <w:rFonts w:asciiTheme="majorHAnsi" w:hAnsiTheme="majorHAnsi" w:cstheme="majorHAnsi"/>
                <w:sz w:val="16"/>
                <w:szCs w:val="16"/>
              </w:rPr>
              <w:t xml:space="preserve"> – The provisions of the outsourcing agreement for a MOORS that relate to audit and inspection should include the requirements set out in paragraph 7.1(d) of the Notices. Refer also to paragraph 3.9.</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13</w:t>
            </w:r>
            <w:r>
              <w:rPr>
                <w:rFonts w:asciiTheme="majorHAnsi" w:hAnsiTheme="majorHAnsi" w:cstheme="majorHAnsi"/>
                <w:sz w:val="16"/>
                <w:szCs w:val="16"/>
              </w:rPr>
              <w:t xml:space="preserve"> – Refer to paragraphs 3.4.3 to 3.4.8.</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[5.5.2] </w:t>
            </w:r>
            <w:r>
              <w:rPr>
                <w:rFonts w:asciiTheme="majorHAnsi" w:hAnsiTheme="majorHAnsi" w:cstheme="majorHAnsi"/>
                <w:sz w:val="18"/>
                <w:szCs w:val="18"/>
              </w:rPr>
              <w:t xml:space="preserve">An institution should ensure that every outsourcing agreement addresses the risks identified at the risk evaluation and due diligence stages. Each outsourcing agreement should allow for timely renegotiation and renewal to enable the institution to retain an appropriate level of control over the outsourcing arrangement and the right to intervene with appropriate measures to meet its legal and regulatory obligations. It should at the very least, have provisions to address the following aspects of outsourcing:</w:t>
            </w:r>
          </w:p>
          <w:p>
            <w:pPr>
              <w:pStyle w:val="BodyText"/>
              <w:rPr>
                <w:rFonts w:asciiTheme="majorHAnsi" w:hAnsiTheme="majorHAnsi" w:cstheme="majorHAnsi"/>
                <w:sz w:val="18"/>
                <w:szCs w:val="18"/>
              </w:rPr>
            </w:pPr>
            <w:r>
              <w:rPr>
                <w:rFonts w:asciiTheme="majorHAnsi" w:hAnsiTheme="majorHAnsi" w:cstheme="majorHAnsi"/>
                <w:sz w:val="18"/>
                <w:szCs w:val="18"/>
              </w:rPr>
              <w:t xml:space="preserve">(a) scope of the outsourcing arrangement;</w:t>
            </w:r>
          </w:p>
          <w:p>
            <w:pPr>
              <w:pStyle w:val="BodyText"/>
              <w:rPr>
                <w:rFonts w:asciiTheme="majorHAnsi" w:hAnsiTheme="majorHAnsi" w:cstheme="majorHAnsi"/>
                <w:sz w:val="18"/>
                <w:szCs w:val="18"/>
              </w:rPr>
            </w:pPr>
            <w:r>
              <w:rPr>
                <w:rFonts w:asciiTheme="majorHAnsi" w:hAnsiTheme="majorHAnsi" w:cstheme="majorHAnsi"/>
                <w:sz w:val="18"/>
                <w:szCs w:val="18"/>
              </w:rPr>
              <w:t xml:space="preserve">(b) performance, operational, internal control and risk management standards;</w:t>
            </w:r>
          </w:p>
          <w:p>
            <w:pPr>
              <w:pStyle w:val="BodyText"/>
              <w:rPr>
                <w:rFonts w:asciiTheme="majorHAnsi" w:hAnsiTheme="majorHAnsi" w:cstheme="majorHAnsi"/>
                <w:sz w:val="18"/>
                <w:szCs w:val="18"/>
              </w:rPr>
            </w:pPr>
            <w:r>
              <w:rPr>
                <w:rFonts w:asciiTheme="majorHAnsi" w:hAnsiTheme="majorHAnsi" w:cstheme="majorHAnsi"/>
                <w:sz w:val="18"/>
                <w:szCs w:val="18"/>
              </w:rPr>
              <w:t xml:space="preserve">(c) confidentiality and security</w:t>
            </w:r>
            <w:r>
              <w:rPr>
                <w:rFonts w:asciiTheme="majorHAnsi" w:hAnsiTheme="majorHAnsi" w:cstheme="majorHAnsi"/>
                <w:sz w:val="18"/>
                <w:szCs w:val="18"/>
                <w:vertAlign w:val="superscript"/>
              </w:rPr>
              <w:t xml:space="preserve">9</w:t>
            </w:r>
            <w:r>
              <w:rPr>
                <w:rFonts w:asciiTheme="majorHAnsi" w:hAnsiTheme="majorHAnsi" w:cstheme="majorHAnsi"/>
                <w:sz w:val="18"/>
                <w:szCs w:val="18"/>
              </w:rPr>
              <w:t xml:space="preserve">;</w:t>
            </w:r>
          </w:p>
          <w:p>
            <w:pPr>
              <w:pStyle w:val="BodyText"/>
              <w:rPr>
                <w:rFonts w:asciiTheme="majorHAnsi" w:hAnsiTheme="majorHAnsi" w:cstheme="majorHAnsi"/>
                <w:sz w:val="18"/>
                <w:szCs w:val="18"/>
              </w:rPr>
            </w:pPr>
            <w:r>
              <w:rPr>
                <w:rFonts w:asciiTheme="majorHAnsi" w:hAnsiTheme="majorHAnsi" w:cstheme="majorHAnsi"/>
                <w:sz w:val="18"/>
                <w:szCs w:val="18"/>
              </w:rPr>
              <w:t xml:space="preserve">(d) business continuity management</w:t>
            </w:r>
            <w:r>
              <w:rPr>
                <w:rFonts w:asciiTheme="majorHAnsi" w:hAnsiTheme="majorHAnsi" w:cstheme="majorHAnsi"/>
                <w:sz w:val="18"/>
                <w:szCs w:val="18"/>
                <w:vertAlign w:val="superscript"/>
              </w:rPr>
              <w:t xml:space="preserve">10</w:t>
            </w:r>
            <w:r>
              <w:rPr>
                <w:rFonts w:asciiTheme="majorHAnsi" w:hAnsiTheme="majorHAnsi" w:cstheme="majorHAnsi"/>
                <w:sz w:val="18"/>
                <w:szCs w:val="18"/>
              </w:rPr>
              <w:t xml:space="preserve">;</w:t>
            </w:r>
          </w:p>
          <w:p>
            <w:pPr>
              <w:pStyle w:val="BodyText"/>
              <w:rPr>
                <w:rFonts w:asciiTheme="majorHAnsi" w:hAnsiTheme="majorHAnsi" w:cstheme="majorHAnsi"/>
                <w:sz w:val="18"/>
                <w:szCs w:val="18"/>
              </w:rPr>
            </w:pPr>
            <w:r>
              <w:rPr>
                <w:rFonts w:asciiTheme="majorHAnsi" w:hAnsiTheme="majorHAnsi" w:cstheme="majorHAnsi"/>
                <w:sz w:val="18"/>
                <w:szCs w:val="18"/>
              </w:rPr>
              <w:t xml:space="preserve">(e) monitoring and control</w:t>
            </w:r>
            <w:r>
              <w:rPr>
                <w:rFonts w:asciiTheme="majorHAnsi" w:hAnsiTheme="majorHAnsi" w:cstheme="majorHAnsi"/>
                <w:sz w:val="18"/>
                <w:szCs w:val="18"/>
                <w:vertAlign w:val="superscript"/>
              </w:rPr>
              <w:t xml:space="preserve">11</w:t>
            </w:r>
            <w:r>
              <w:rPr>
                <w:rFonts w:asciiTheme="majorHAnsi" w:hAnsiTheme="majorHAnsi" w:cstheme="majorHAnsi"/>
                <w:sz w:val="18"/>
                <w:szCs w:val="18"/>
              </w:rPr>
              <w:t xml:space="preserve">;</w:t>
            </w:r>
          </w:p>
          <w:p>
            <w:pPr>
              <w:pStyle w:val="BodyText"/>
              <w:rPr>
                <w:rFonts w:asciiTheme="majorHAnsi" w:hAnsiTheme="majorHAnsi" w:cstheme="majorHAnsi"/>
                <w:sz w:val="18"/>
                <w:szCs w:val="18"/>
              </w:rPr>
            </w:pPr>
            <w:r>
              <w:rPr>
                <w:rFonts w:asciiTheme="majorHAnsi" w:hAnsiTheme="majorHAnsi" w:cstheme="majorHAnsi"/>
                <w:sz w:val="18"/>
                <w:szCs w:val="18"/>
              </w:rPr>
              <w:t xml:space="preserve">(f) audit and inspection</w:t>
            </w:r>
            <w:r>
              <w:rPr>
                <w:rFonts w:asciiTheme="majorHAnsi" w:hAnsiTheme="majorHAnsi" w:cstheme="majorHAnsi"/>
                <w:sz w:val="18"/>
                <w:szCs w:val="18"/>
                <w:vertAlign w:val="superscript"/>
              </w:rPr>
              <w:t xml:space="preserve">12</w:t>
            </w:r>
            <w:r>
              <w:rPr>
                <w:rFonts w:asciiTheme="majorHAnsi" w:hAnsiTheme="majorHAnsi" w:cstheme="majorHAnsi"/>
                <w:sz w:val="18"/>
                <w:szCs w:val="18"/>
              </w:rPr>
              <w:t xml:space="preserve">;</w:t>
            </w:r>
          </w:p>
          <w:p>
            <w:pPr>
              <w:pStyle w:val="BodyText"/>
              <w:rPr>
                <w:rFonts w:asciiTheme="majorHAnsi" w:hAnsiTheme="majorHAnsi" w:cstheme="majorHAnsi"/>
                <w:sz w:val="18"/>
                <w:szCs w:val="18"/>
              </w:rPr>
            </w:pPr>
            <w:r>
              <w:rPr>
                <w:rFonts w:asciiTheme="majorHAnsi" w:hAnsiTheme="majorHAnsi" w:cstheme="majorHAnsi"/>
                <w:sz w:val="18"/>
                <w:szCs w:val="18"/>
              </w:rPr>
              <w:t xml:space="preserve">(g) notification of adverse developments – An institution should specify in its outsourcing agreement the type of events and the circumstances under which the service provider should report to the institution in order for an institution to take prompt risk mitigation measures and notify MAS of such developments under paragraph 4.2.1;</w:t>
            </w:r>
          </w:p>
          <w:p>
            <w:pPr>
              <w:pStyle w:val="BodyText"/>
              <w:rPr>
                <w:rFonts w:asciiTheme="majorHAnsi" w:hAnsiTheme="majorHAnsi" w:cstheme="majorHAnsi"/>
                <w:sz w:val="18"/>
                <w:szCs w:val="18"/>
              </w:rPr>
            </w:pPr>
            <w:r>
              <w:rPr>
                <w:rFonts w:asciiTheme="majorHAnsi" w:hAnsiTheme="majorHAnsi" w:cstheme="majorHAnsi"/>
                <w:sz w:val="18"/>
                <w:szCs w:val="18"/>
              </w:rPr>
              <w:t xml:space="preserve">(h) dispute resolution – An institution should specify in its outsourcing agreement the resolution process, events of default, and the indemnities, remedies and recourse of the respective parties in the agreement. The institution should ensure that its contractual rights can be exercised in the event of a breach of the outsourcing agreement by the service provider;</w:t>
            </w:r>
          </w:p>
          <w:p>
            <w:pPr>
              <w:pStyle w:val="BodyText"/>
              <w:rPr>
                <w:rFonts w:asciiTheme="majorHAnsi" w:hAnsiTheme="majorHAnsi" w:cstheme="majorHAnsi"/>
                <w:sz w:val="18"/>
                <w:szCs w:val="18"/>
              </w:rPr>
            </w:pPr>
            <w:r>
              <w:rPr>
                <w:rFonts w:asciiTheme="majorHAnsi" w:hAnsiTheme="majorHAnsi" w:cstheme="majorHAnsi"/>
                <w:sz w:val="18"/>
                <w:szCs w:val="18"/>
              </w:rPr>
              <w:t xml:space="preserve">(i) default termination and early exit – An institution should, have the right to terminate the outsourcing agreement in the event of default, or under circumstances where: </w:t>
            </w:r>
            <w:r>
              <w:rPr>
                <w:rFonts w:asciiTheme="majorHAnsi" w:hAnsiTheme="majorHAnsi" w:cstheme="majorHAnsi"/>
                <w:highlight w:val="yellow"/>
                <w:sz w:val="18"/>
                <w:szCs w:val="18"/>
              </w:rPr>
              <w:t xml:space="preserve">(i) the service provider undergoes a change in ownership; (ii) the service provider becomes insolvent or goes into liquidation; (iii) the service provider goes into receivership or judicial management whether in Singapore or elsewhere; (iv) there has been a breach of security or confidentiality; or (v) there is a demonstrable deterioration in the ability of the service provider to perform the contracted service.</w:t>
            </w:r>
            <w:r>
              <w:rPr>
                <w:rFonts w:asciiTheme="majorHAnsi" w:hAnsiTheme="majorHAnsi" w:cstheme="majorHAnsi"/>
                <w:sz w:val="18"/>
                <w:szCs w:val="18"/>
              </w:rPr>
              <w:t xml:space="preserve"> The minimum period to execute a termination provision should be specified in the outsourcing agreement. Other provisions should also be put in place to ensure a smooth transition when the agreement is terminated or being amended. Such provisions may facilitate transferability of the outsourced services to a bridge-institution</w:t>
            </w:r>
            <w:r>
              <w:rPr>
                <w:rFonts w:asciiTheme="majorHAnsi" w:hAnsiTheme="majorHAnsi" w:cstheme="majorHAnsi"/>
                <w:sz w:val="18"/>
                <w:szCs w:val="18"/>
                <w:vertAlign w:val="superscript"/>
              </w:rPr>
              <w:t xml:space="preserve">13</w:t>
            </w:r>
            <w:r>
              <w:rPr>
                <w:rFonts w:asciiTheme="majorHAnsi" w:hAnsiTheme="majorHAnsi" w:cstheme="majorHAnsi"/>
                <w:sz w:val="18"/>
                <w:szCs w:val="18"/>
              </w:rPr>
              <w:t xml:space="preserve"> or a third party. Where the outsourcing agreement involves an intra-group entity, the agreement should be legally enforceable against the intra-group entity providing the outsourced service;</w:t>
            </w:r>
          </w:p>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(j) sub-contracting – An institution should retain the ability to monitor and control its outsourcing arrangements when a service provider uses a sub-contractor. An outsourcing agreement should contain clauses setting out the rules and limitations on sub-contracting. An institution should include clauses making the service provider contractually liable for the performance and risk management practices of its sub-contractor and for the sub-contractor’s compliance with the provisions in its agreement with the service provider, including the prudent practices set out in these Guidelines. The institution should ensure that the sub-contracting of any part of material outsourcing arrangements is subject to the institution’s prior approval;</w:t>
            </w:r>
          </w:p>
          <w:p>
            <w:pPr>
              <w:pStyle w:val="BodyText"/>
              <w:rPr>
                <w:rFonts w:asciiTheme="majorHAnsi" w:hAnsiTheme="majorHAnsi" w:cstheme="majorHAnsi"/>
                <w:sz w:val="18"/>
                <w:szCs w:val="18"/>
              </w:rPr>
            </w:pPr>
            <w:r>
              <w:rPr>
                <w:rFonts w:asciiTheme="majorHAnsi" w:hAnsiTheme="majorHAnsi" w:cstheme="majorHAnsi"/>
                <w:sz w:val="18"/>
                <w:szCs w:val="18"/>
              </w:rPr>
              <w:t xml:space="preserve">(k) applicable laws – Agreements should include choice-of-law provisions, agreement covenants and jurisdictional covenants that provide for adjudication of disputes between the parties under the laws of a specific jurisdiction.</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3.4.2 of the Bank Guidelines corresponds to 5.5.2 of the FI Guidelines, with the following differences:</w:t>
            </w:r>
          </w:p>
          <w:p>
            <w:pPr>
              <w:pStyle w:val="BodyText"/>
              <w:rPr>
                <w:rFonts w:asciiTheme="majorHAnsi" w:hAnsiTheme="majorHAnsi" w:cstheme="majorHAnsi"/>
                <w:sz w:val="18"/>
                <w:szCs w:val="18"/>
              </w:rPr>
            </w:pPr>
            <w:r>
              <w:rPr>
                <w:rFonts w:asciiTheme="majorHAnsi" w:hAnsiTheme="majorHAnsi" w:cstheme="majorHAnsi"/>
                <w:sz w:val="18"/>
                <w:szCs w:val="18"/>
              </w:rPr>
              <w:t xml:space="preserve">1. The FI Guidelines add item (j) on sub-contracting; the Bank Guidelines deal with sub-contracting separately in section 3.5.</w:t>
            </w:r>
          </w:p>
          <w:p>
            <w:pPr>
              <w:pStyle w:val="BodyText"/>
              <w:rPr>
                <w:rFonts w:asciiTheme="majorHAnsi" w:hAnsiTheme="majorHAnsi" w:cstheme="majorHAnsi"/>
                <w:sz w:val="18"/>
                <w:szCs w:val="18"/>
              </w:rPr>
            </w:pPr>
            <w:r>
              <w:rPr>
                <w:rFonts w:asciiTheme="majorHAnsi" w:hAnsiTheme="majorHAnsi" w:cstheme="majorHAnsi"/>
                <w:sz w:val="18"/>
                <w:szCs w:val="18"/>
              </w:rPr>
              <w:t xml:space="preserve">2. Footnotes 9 and 12 of the Bank Guidelines require MOORS agreements to include the requirements of paragraphs 7.1(a)–(c) and 7.1(d) of the Notices; there is no FI equivalent.</w:t>
            </w:r>
          </w:p>
          <w:p>
            <w:pPr>
              <w:pStyle w:val="BodyText"/>
              <w:rPr>
                <w:rFonts w:asciiTheme="majorHAnsi" w:hAnsiTheme="majorHAnsi" w:cstheme="majorHAnsi"/>
                <w:sz w:val="18"/>
                <w:szCs w:val="18"/>
              </w:rPr>
            </w:pPr>
            <w:r>
              <w:rPr>
                <w:rFonts w:asciiTheme="majorHAnsi" w:hAnsiTheme="majorHAnsi" w:cstheme="majorHAnsi"/>
                <w:sz w:val="18"/>
                <w:szCs w:val="18"/>
              </w:rPr>
              <w:t xml:space="preserve">3. The FI Guidelines set out the termination and sub-contracting content in full within 5.5.2 itself (items (i) and (j)); the Bank Guidelines elaborate in 3.4.3–3.4.8 and 3.5.</w:t>
            </w:r>
          </w:p>
        </w:tc>
      </w:tr>
      <w:tr w:rsidR="004F6066" w:rsidRPr="00DD537D" w14:paraId="7A32CD09" w14:textId="77777777" w:rsidTr="00DC7DDC">
        <w:tc>
          <w:tcPr>
            <w:tcW w:w="625" w:type="dxa"/>
          </w:tcPr>
          <w:p w14:paraId="7E908994" w14:textId="57FB7AAB"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3.4.3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have the right to terminate the outsourcing agreement in the event of default, or under any of the following circumstances: </w:t>
            </w:r>
            <w:r>
              <w:rPr>
                <w:rFonts w:asciiTheme="majorHAnsi" w:hAnsiTheme="majorHAnsi" w:cstheme="majorHAnsi"/>
                <w:highlight w:val="yellow"/>
                <w:sz w:val="18"/>
                <w:szCs w:val="18"/>
              </w:rPr>
              <w:t xml:space="preserve">(a) by giving reasonable notice to the service provider; (b) if the service provider or a sub-contractor, as the case may be, failed to safeguard the confidentiality or integrity of customer information of the Bank; or (c) if there has been a demonstrable deterioration in the ability of the service provider or a sub-contractor to safeguard the confidentiality of customer information.</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[5.5.2(i)] </w:t>
            </w: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5.5.2(i) of the FI Guidelines (quoted at 3.4.2 above). The termination triggers differ: the FI Guidelines allow termination on change in ownership, insolvency or liquidation, receivership or judicial management, breach of security or confidentiality, or deterioration in ability to perform the contracted service; the Bank Guidelines focus instead on failure to safeguard the confidentiality or integrity of customer information (including by sub-contractors) and add termination by reasonable notice. The Bank Guidelines do not set out the corporate-event triggers; the binding contractual requirements for Banks are in paragraph 7.1 of the Notices.</w:t>
            </w:r>
          </w:p>
        </w:tc>
      </w:tr>
      <w:tr w:rsidR="004F6066" w:rsidRPr="00DD537D" w14:paraId="5D24ECD7" w14:textId="77777777" w:rsidTr="00DC7DDC">
        <w:tc>
          <w:tcPr>
            <w:tcW w:w="625" w:type="dxa"/>
          </w:tcPr>
          <w:p w14:paraId="09F0C4EA" w14:textId="2E7AC065"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3.4.4</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 minimum period to execute a termination provision should be specified in the outsourcing agreement. Other provisions should also be put in place to ensure a smooth transition when the agreement is terminated or being amended. Such provisions may facilitate transferability of the outsourced services to a bridge-institution</w:t>
            </w:r>
            <w:r>
              <w:rPr>
                <w:rFonts w:asciiTheme="majorHAnsi" w:hAnsiTheme="majorHAnsi" w:cstheme="majorHAnsi"/>
                <w:sz w:val="18"/>
                <w:szCs w:val="18"/>
                <w:vertAlign w:val="superscript"/>
              </w:rPr>
              <w:t xml:space="preserve">14</w:t>
            </w:r>
            <w:r>
              <w:rPr>
                <w:rFonts w:asciiTheme="majorHAnsi" w:hAnsiTheme="majorHAnsi" w:cstheme="majorHAnsi"/>
                <w:sz w:val="18"/>
                <w:szCs w:val="18"/>
              </w:rPr>
              <w:t xml:space="preserve"> or a third party. Where the outsourcing agreement involves an intra-group entity, the agreement should be legally enforceable against the intra-group entity providing the outsourced service.</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14</w:t>
            </w:r>
            <w:r>
              <w:rPr>
                <w:rFonts w:asciiTheme="majorHAnsi" w:hAnsiTheme="majorHAnsi" w:cstheme="majorHAnsi"/>
                <w:sz w:val="16"/>
                <w:szCs w:val="16"/>
              </w:rPr>
              <w:t xml:space="preserve"> – “bridge-institution” means an institution, whether incorporated in Singapore or outside Singapore, to temporarily take over and maintain certain assets, liabilities and operations of a distressed financial institution, as part of a resolution Authority’s exercise of a resolution.</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[5.5.2(i)]</w:t>
            </w:r>
            <w:r>
              <w:rPr>
                <w:rFonts w:asciiTheme="majorHAnsi" w:hAnsiTheme="majorHAnsi" w:cstheme="majorHAnsi"/>
                <w:sz w:val="18"/>
                <w:szCs w:val="18"/>
              </w:rPr>
              <w:t xml:space="preserve"> The minimum period to execute a termination provision should be specified in the outsourcing agreement. Other provisions should also be put in place to ensure a smooth transition when the agreement is terminated or being amended. Such provisions may facilitate transferability of the outsourced services to a </w:t>
            </w:r>
            <w:r>
              <w:rPr>
                <w:rFonts w:asciiTheme="majorHAnsi" w:hAnsiTheme="majorHAnsi" w:cstheme="majorHAnsi"/>
                <w:highlight w:val="yellow"/>
                <w:sz w:val="18"/>
                <w:szCs w:val="18"/>
              </w:rPr>
              <w:t xml:space="preserve">bridge-institution</w:t>
            </w:r>
            <w:r>
              <w:rPr>
                <w:rFonts w:asciiTheme="majorHAnsi" w:hAnsiTheme="majorHAnsi" w:cstheme="majorHAnsi"/>
                <w:highlight w:val="yellow"/>
                <w:sz w:val="18"/>
                <w:szCs w:val="18"/>
                <w:vertAlign w:val="superscript"/>
              </w:rPr>
              <w:t xml:space="preserve">13</w:t>
            </w:r>
            <w:r>
              <w:rPr>
                <w:rFonts w:asciiTheme="majorHAnsi" w:hAnsiTheme="majorHAnsi" w:cstheme="majorHAnsi"/>
                <w:sz w:val="18"/>
                <w:szCs w:val="18"/>
              </w:rPr>
              <w:t xml:space="preserve"> or a third party. Where the outsourcing agreement involves an intra-group entity, the agreement should be legally enforceable against the intra-group entity providing the outsourced service.</w:t>
            </w:r>
          </w:p>
          <w:p>
            <w:pPr>
              <w:pStyle w:val="BodyText"/>
              <w:rPr>
                <w:rFonts w:asciiTheme="majorHAnsi" w:hAnsiTheme="majorHAnsi" w:cstheme="majorHAnsi"/>
                <w:sz w:val="16"/>
                <w:szCs w:val="16"/>
              </w:rPr>
            </w:pPr>
            <w:r>
              <w:rPr>
                <w:rFonts w:asciiTheme="majorHAnsi" w:hAnsiTheme="majorHAnsi" w:cstheme="majorHAnsi"/>
                <w:highlight w:val="yellow"/>
                <w:sz w:val="16"/>
                <w:szCs w:val="16"/>
                <w:vertAlign w:val="superscript"/>
              </w:rPr>
              <w:t xml:space="preserve">13</w:t>
            </w:r>
            <w:r>
              <w:rPr>
                <w:rFonts w:asciiTheme="majorHAnsi" w:hAnsiTheme="majorHAnsi" w:cstheme="majorHAnsi"/>
                <w:highlight w:val="yellow"/>
                <w:sz w:val="16"/>
                <w:szCs w:val="16"/>
              </w:rPr>
              <w:t xml:space="preserve"> – “bridge-institution”</w:t>
            </w:r>
            <w:r>
              <w:rPr>
                <w:rFonts w:asciiTheme="majorHAnsi" w:hAnsiTheme="majorHAnsi" w:cstheme="majorHAnsi"/>
                <w:sz w:val="16"/>
                <w:szCs w:val="16"/>
              </w:rPr>
              <w:t xml:space="preserve"> means an institution, whether incorporated in Singapore or outside Singapore, to temporarily take over and maintain certain assets, liabilities and operations of a distressed financial institution, as part of a resolution Authority’s exercise of a resolution.</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the closing text of 5.5.2(i) of the FI Guidelines, worded identically (“bridge-institution” is defined identically at footnote 13 of the FI Guidelines).</w:t>
            </w:r>
          </w:p>
        </w:tc>
      </w:tr>
      <w:tr w:rsidR="004F6066" w:rsidRPr="00DD537D" w14:paraId="291BAB9D" w14:textId="77777777" w:rsidTr="00DC7DDC">
        <w:tc>
          <w:tcPr>
            <w:tcW w:w="625" w:type="dxa"/>
          </w:tcPr>
          <w:p w14:paraId="6C9EDF7A" w14:textId="2AE3086E"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3.4.5</w:t>
            </w:r>
          </w:p>
        </w:tc>
        <w:tc>
          <w:tcPr>
            <w:tcW w:w="5670"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For the purposes of paragraph 7.1(g) in the Notices, MAS will consider directing a Bank to terminate the contract, or to stop obtaining or receiving the MOORS15, when</w:t>
            </w:r>
            <w:r>
              <w:rPr>
                <w:rFonts w:asciiTheme="majorHAnsi" w:hAnsiTheme="majorHAnsi" w:cstheme="majorHAnsi"/>
                <w:sz w:val="18"/>
                <w:szCs w:val="18"/>
              </w:rPr>
              <w:t xml:space="preserve"> (a) circumstances referred to in paragraph 10.3 of the Notices arise and the service provider is unwilling or unable to remediate the issues; (b) the service provider is unable or unwilling to remediate issues and the Bank did not elect to terminate the outsourcing agreement of its own accord; (c) a Bank fails or is unable to demonstrate a satisfactory level of understanding of the nature and extent of risk arising from the MOORS; (d) a Bank fails or is unable to implement adequate measures to address the risks arising from its ongoing outsourced relevant services in a satisfactory and timely manner; (e) adverse developments arise from the MOORS that could impact a Bank; (f) </w:t>
            </w:r>
            <w:r>
              <w:rPr>
                <w:rFonts w:asciiTheme="majorHAnsi" w:hAnsiTheme="majorHAnsi" w:cstheme="majorHAnsi"/>
                <w:highlight w:val="yellow"/>
                <w:sz w:val="18"/>
                <w:szCs w:val="18"/>
              </w:rPr>
              <w:t xml:space="preserve">MAS or an auditor appointed by MAS, is prevented by the service provider from auditing the books, systems and premises of the service provider for any of the purposes mentioned in section 47A(10) of the Banking Act 1970 (the “Act”)</w:t>
            </w:r>
            <w:r>
              <w:rPr>
                <w:rFonts w:asciiTheme="majorHAnsi" w:hAnsiTheme="majorHAnsi" w:cstheme="majorHAnsi"/>
                <w:sz w:val="18"/>
                <w:szCs w:val="18"/>
              </w:rPr>
              <w:t xml:space="preserve">; (g) where the sub-contracting agreement provides for the matter mentioned in paragraph 3.5.3(b)(iv), the Bank or any auditor appointed by the Bank, is prevented by the sub-contractor from auditing the books, systems and premises of the sub-contractor for any of the purposes mentioned in paragraph 3.5.3(b)(iv); or (h) where the sub-contracting agreement provides for the matter mentioned in paragraph 3.5.3(b)(v), the Bank, or any person appointed by the Bank, is prevented by the sub-contractor from obtaining any record, document, report or information relating to the sub-contracting arrangement.</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15</w:t>
            </w:r>
            <w:r>
              <w:rPr>
                <w:rFonts w:asciiTheme="majorHAnsi" w:hAnsiTheme="majorHAnsi" w:cstheme="majorHAnsi"/>
                <w:sz w:val="16"/>
                <w:szCs w:val="16"/>
              </w:rPr>
              <w:t xml:space="preserve"> – MAS will only direct Banks to terminate outsourcing agreements for MOORS as a last resort. Banks do not have to exercise the termination rights if they are able to work with the service provider to remediate the issues giving rise to the ground(s) for termination.</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[4.1.3] </w:t>
            </w: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Closest counterpart is 4.1.3 of the FI Guidelines: MAS may require an institution to modify, make alternative arrangements or re-integrate an outsourced service where (a) the institution fails to demonstrate a satisfactory understanding of the risks; (b) it fails to implement adequate measures in a satisfactory and timely manner; (c) adverse developments arise; (d) MAS’ supervisory powers or functions are hindered; or (e) the security and confidentiality of customer information is lowered due to changes in the service provider’s control environment.</w:t>
            </w:r>
          </w:p>
          <w:p>
            <w:pPr>
              <w:pStyle w:val="BodyText"/>
              <w:rPr>
                <w:rFonts w:asciiTheme="majorHAnsi" w:hAnsiTheme="majorHAnsi" w:cstheme="majorHAnsi"/>
                <w:sz w:val="18"/>
                <w:szCs w:val="18"/>
              </w:rPr>
            </w:pPr>
            <w:r>
              <w:rPr>
                <w:rFonts w:asciiTheme="majorHAnsi" w:hAnsiTheme="majorHAnsi" w:cstheme="majorHAnsi"/>
                <w:sz w:val="18"/>
                <w:szCs w:val="18"/>
              </w:rPr>
              <w:t xml:space="preserve">The FI Guidelines do not provide for MAS-directed termination, the audit-obstruction grounds (section 47A(10) of the Banking Act), or the last-resort assurance in footnote 15.</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3.4.6</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MAS will endeavour to provide the Bank reasonable notice of MAS’ intent to direct the Bank to terminate its outsourcing arrangement(s).</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No reasonable-notice assurance attaches to the powers in 4.1.3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3.4.7</w:t>
            </w:r>
          </w:p>
        </w:tc>
        <w:tc>
          <w:tcPr>
            <w:tcW w:w="5670"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To better protect its information, a Bank should endeavour for the requirement in paragraph 7.1(f) of the Notices on deleting, destroying or rendering unusable information upon termination to go beyond the minimally required customer information to also include non-customer information given to the service provider, except for situations where the Bank assesses that the service provider has legitimate reason(s) to retain non-customer information.</w:t>
            </w:r>
            <w:r>
              <w:rPr>
                <w:rFonts w:asciiTheme="majorHAnsi" w:hAnsiTheme="majorHAnsi" w:cstheme="majorHAnsi"/>
                <w:sz w:val="18"/>
                <w:szCs w:val="18"/>
              </w:rPr>
              <w:t xml:space="preserve"> The Bank should also ensure the minimum period to execute a termination provision is specified in the outsourcing agreement.</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The only FI deletion expectation is the business continuity provision in 5.7.2(c) (which corresponds to 3.7.2(c) of the Bank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3.4.8</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Each agreement should be tailored to address issues arising from country risks and potential obstacles in exercising oversight and management of the outsourcing arrangements made with a service provider outside Singapore16.</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16</w:t>
            </w:r>
            <w:r>
              <w:rPr>
                <w:rFonts w:asciiTheme="majorHAnsi" w:hAnsiTheme="majorHAnsi" w:cstheme="majorHAnsi"/>
                <w:sz w:val="16"/>
                <w:szCs w:val="16"/>
              </w:rPr>
              <w:t xml:space="preserve"> – Refer to paragraph 3.10.</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[5.5.3]</w:t>
            </w:r>
            <w:r>
              <w:rPr>
                <w:rFonts w:asciiTheme="majorHAnsi" w:hAnsiTheme="majorHAnsi" w:cstheme="majorHAnsi"/>
                <w:sz w:val="18"/>
                <w:szCs w:val="18"/>
              </w:rPr>
              <w:t xml:space="preserve"> Each agreement should be tailored to address issues arising from country risks and potential obstacles in exercising oversight and management of the outsourcing arrangements made with a service provider outside </w:t>
            </w:r>
            <w:r>
              <w:rPr>
                <w:rFonts w:asciiTheme="majorHAnsi" w:hAnsiTheme="majorHAnsi" w:cstheme="majorHAnsi"/>
                <w:highlight w:val="yellow"/>
                <w:sz w:val="18"/>
                <w:szCs w:val="18"/>
              </w:rPr>
              <w:t xml:space="preserve">Singapore</w:t>
            </w:r>
            <w:r>
              <w:rPr>
                <w:rFonts w:asciiTheme="majorHAnsi" w:hAnsiTheme="majorHAnsi" w:cstheme="majorHAnsi"/>
                <w:highlight w:val="yellow"/>
                <w:sz w:val="18"/>
                <w:szCs w:val="18"/>
                <w:vertAlign w:val="superscript"/>
              </w:rPr>
              <w:t xml:space="preserve">14</w:t>
            </w:r>
            <w:r>
              <w:rPr>
                <w:rFonts w:asciiTheme="majorHAnsi" w:hAnsiTheme="majorHAnsi" w:cstheme="majorHAnsi"/>
                <w:sz w:val="18"/>
                <w:szCs w:val="18"/>
              </w:rPr>
              <w:t xml:space="preserve">.</w:t>
            </w:r>
          </w:p>
          <w:p>
            <w:pPr>
              <w:pStyle w:val="BodyText"/>
              <w:rPr>
                <w:rFonts w:asciiTheme="majorHAnsi" w:hAnsiTheme="majorHAnsi" w:cstheme="majorHAnsi"/>
                <w:sz w:val="16"/>
                <w:szCs w:val="16"/>
              </w:rPr>
            </w:pPr>
            <w:r>
              <w:rPr>
                <w:rFonts w:asciiTheme="majorHAnsi" w:hAnsiTheme="majorHAnsi" w:cstheme="majorHAnsi"/>
                <w:highlight w:val="yellow"/>
                <w:sz w:val="16"/>
                <w:szCs w:val="16"/>
                <w:vertAlign w:val="superscript"/>
              </w:rPr>
              <w:t xml:space="preserve">14</w:t>
            </w:r>
            <w:r>
              <w:rPr>
                <w:rFonts w:asciiTheme="majorHAnsi" w:hAnsiTheme="majorHAnsi" w:cstheme="majorHAnsi"/>
                <w:highlight w:val="yellow"/>
                <w:sz w:val="16"/>
                <w:szCs w:val="16"/>
              </w:rPr>
              <w:t xml:space="preserve"> – Refer</w:t>
            </w:r>
            <w:r>
              <w:rPr>
                <w:rFonts w:asciiTheme="majorHAnsi" w:hAnsiTheme="majorHAnsi" w:cstheme="majorHAnsi"/>
                <w:sz w:val="16"/>
                <w:szCs w:val="16"/>
              </w:rPr>
              <w:t xml:space="preserve"> to </w:t>
            </w:r>
            <w:r>
              <w:rPr>
                <w:rFonts w:asciiTheme="majorHAnsi" w:hAnsiTheme="majorHAnsi" w:cstheme="majorHAnsi"/>
                <w:highlight w:val="yellow"/>
                <w:sz w:val="16"/>
                <w:szCs w:val="16"/>
              </w:rPr>
              <w:t xml:space="preserve">paragraph 5.10</w:t>
            </w:r>
            <w:r>
              <w:rPr>
                <w:rFonts w:asciiTheme="majorHAnsi" w:hAnsiTheme="majorHAnsi" w:cstheme="majorHAnsi"/>
                <w:sz w:val="16"/>
                <w:szCs w:val="16"/>
              </w:rPr>
              <w:t xml:space="preserv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3.4.8 of the Bank Guidelines corresponds verbatim to 5.5.3 of the FI Guidelines.</w:t>
            </w:r>
          </w:p>
        </w:tc>
      </w:tr>
      <w:tr w:rsidR="004F6066" w:rsidRPr="00DD537D" w14:paraId="79BF7B15" w14:textId="77777777" w:rsidTr="00DC7DDC">
        <w:tc>
          <w:tcPr>
            <w:tcW w:w="625" w:type="dxa"/>
          </w:tcPr>
          <w:p w14:paraId="25937E27" w14:textId="0617D48E" w:rsidR="004F6066" w:rsidRDefault="004F6066" w:rsidP="000C51EC">
            <w:pPr>
              <w:pStyle w:val="BodyText"/>
              <w:rPr>
                <w:rFonts w:asciiTheme="majorHAnsi" w:hAnsiTheme="majorHAnsi" w:cstheme="majorHAnsi"/>
                <w:sz w:val="18"/>
                <w:szCs w:val="18"/>
              </w:rPr>
            </w:pPr>
            <w:r>
              <w:rPr>
                <w:rFonts w:asciiTheme="majorHAnsi" w:hAnsiTheme="majorHAnsi" w:cstheme="majorHAnsi"/>
                <w:sz w:val="18"/>
                <w:szCs w:val="18"/>
              </w:rPr>
              <w:t>3.5</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Use of sub-contractor(s)</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[5.5.2(j)]</w:t>
            </w:r>
            <w:r>
              <w:rPr>
                <w:rFonts w:asciiTheme="majorHAnsi" w:hAnsiTheme="majorHAnsi" w:cstheme="majorHAnsi"/>
                <w:i/>
                <w:iCs/>
                <w:sz w:val="18"/>
                <w:szCs w:val="18"/>
              </w:rPr>
              <w:t xml:space="preserve"> sub-contracting</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 sub-contracting provisions are found in 5.5.2(j) of the FI Guidelines (quoted at 3.4.2 above).</w:t>
            </w:r>
          </w:p>
        </w:tc>
      </w:tr>
      <w:tr w:rsidR="004F6066" w:rsidRPr="00DD537D" w14:paraId="2C3DB652" w14:textId="77777777" w:rsidTr="00DC7DDC">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3.5.1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retain the ability to monitor and control the risks arising from its outsourcing arrangements when a service provider uses a sub-contractor. An outsourcing agreement should contain clauses setting out the rules and limitations on sub-contracting. A Bank should include clauses making the service provider contractually liable for the performance and risk management practices of its sub-contractor and for the sub-contractor’s compliance with the provisions in its agreement with the service provider, including the prudent practices set out in these Guidelines. A Bank should ensure that the sub-contracting of any part of </w:t>
            </w:r>
            <w:r>
              <w:rPr>
                <w:rFonts w:asciiTheme="majorHAnsi" w:hAnsiTheme="majorHAnsi" w:cstheme="majorHAnsi"/>
                <w:highlight w:val="yellow"/>
                <w:sz w:val="18"/>
                <w:szCs w:val="18"/>
              </w:rPr>
              <w:t xml:space="preserve">MOORS</w:t>
            </w:r>
            <w:r>
              <w:rPr>
                <w:rFonts w:asciiTheme="majorHAnsi" w:hAnsiTheme="majorHAnsi" w:cstheme="majorHAnsi"/>
                <w:sz w:val="18"/>
                <w:szCs w:val="18"/>
              </w:rPr>
              <w:t xml:space="preserve"> is subject to the Bank’s prior approval.</w:t>
            </w:r>
          </w:p>
        </w:tc>
        <w:tc>
          <w:tcPr>
            <w:tcW w:w="5731" w:type="dxa"/>
          </w:tcPr>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3.5.1 of the Bank Guidelines corresponds to 5.5.2(j) of the FI Guidelines, worded identically (“material outsourcing arrangements” for “MOORS”).</w:t>
            </w:r>
          </w:p>
        </w:tc>
      </w:tr>
      <w:tr w:rsidR="004F6066" w:rsidRPr="00DD537D" w14:paraId="2A966C94" w14:textId="77777777" w:rsidTr="00DC7DDC">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3.5.2</w:t>
            </w:r>
          </w:p>
        </w:tc>
        <w:tc>
          <w:tcPr>
            <w:tcW w:w="5670"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Before a Bank allows a MOORS that involves the disclosure of customer information to be sub-contracted, it must obtain the written consent of the customer for the Bank to disclose the customer information to the sub-contractor. Such consent need not name the service providers to whom customer information is to be disclosed, though the scope and purpose for the disclosure should be made known17.</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17</w:t>
            </w:r>
            <w:r>
              <w:rPr>
                <w:rFonts w:asciiTheme="majorHAnsi" w:hAnsiTheme="majorHAnsi" w:cstheme="majorHAnsi"/>
                <w:sz w:val="16"/>
                <w:szCs w:val="16"/>
              </w:rPr>
              <w:t xml:space="preserve"> – For instance, the consent can be obtained via the terms and conditions at the point of onboarding but Banks should take reasonable steps to ensure customers are apprised that they are granting such consent to the Bank.</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 the word “consent” does not appear anywhere in the FI Guidelines. The written-consent requirement flows from banking secrecy under the Banking Act.</w:t>
            </w:r>
          </w:p>
        </w:tc>
      </w:tr>
      <w:tr w:rsidR="004F6066" w:rsidRPr="00DD537D" w14:paraId="5F585E20" w14:textId="77777777" w:rsidTr="00DC7DDC">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3.5.3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For MOORS, a Bank should take reasonable steps, on a risk proportionate and best effort basis, to ensure that sub-contractors are held to similar standards as service providers. This could be through inclusion of appropriate provisions in its outsourcing agreement with service providers. A Bank should endeavour to ensure the following: (a) where a sub-contracting arrangement involves the disclosure of customer information to a sub-contractor: (i) the sub-contractor is notified in writing of the Bank’s obligations of confidentiality under the Act and common law; (ii) customer information is disclosed to, or accessed, collected, copied, modified, used, stored or processed by, a sub-contractor only to the extent that is necessary for the sub-contractor to perform its duties under a sub-contracting arrangement; and (iii) the sub-contractor and its employees do not disclose any customer information of the Bank to any third party unless compelled by law, in which case the sub-contractor must notify the Bank directly or through the service provider as soon as practicable to the extent permitted by law; (b) that a sub-contracting agreement includes the following provisions: (i) the sub-contractor protects the confidentiality and integrity of all information of the Bank in its custody, in relation to the provision of the MOORS under the sub-contracting arrangement; (ii) the sub-contractor ensures that it and its employees only access, collect, copy, modify, use, store, or process any customer information of the Bank to the extent that is necessary for it and its employees to provide the MOORS under the sub-contracting arrangement; (iii) the sub-contractor ensures that it and its employees do not disclose any customer information of the Bank to any third party unless compelled by law, in which case the sub-contractor must notify the Bank directly or through the service provider as soon as practicable to the extent permitted by law; (iv) </w:t>
            </w:r>
            <w:r>
              <w:rPr>
                <w:rFonts w:asciiTheme="majorHAnsi" w:hAnsiTheme="majorHAnsi" w:cstheme="majorHAnsi"/>
                <w:highlight w:val="yellow"/>
                <w:sz w:val="18"/>
                <w:szCs w:val="18"/>
              </w:rPr>
              <w:t xml:space="preserve">MAS, or an auditor appointed by MAS, be allowed to audit the sub-contractor</w:t>
            </w:r>
            <w:r>
              <w:rPr>
                <w:rFonts w:asciiTheme="majorHAnsi" w:hAnsiTheme="majorHAnsi" w:cstheme="majorHAnsi"/>
                <w:sz w:val="18"/>
                <w:szCs w:val="18"/>
              </w:rPr>
              <w:t xml:space="preserve"> for the purposes of determining whether the sub-contractor is properly providing the MOORS under the sub-contracting arrangement and assessing: (A) the ability of the sub-contractor to: (AA) ensure continuity of the MOORS under the sub-contracting arrangement; (BB) safeguard the confidentiality and integrity of all information in its custody, in relation to the provision of the MOORS under the sub-contracting arrangement; and (CC) manage its legal, reputational, technological and operational risks arising from the provision of the MOORS under the sub-contracting arrangement; and (B) the level of compliance of the sub-contractor with written laws related to the provision of the MOORS under the sub-contracting arrangement; (v) a provision that the sub-contractor, on a request by the Bank, directly or through the service provider, provides to the Bank or MAS, or any person appointed by the Bank or MAS, any record, document, report or information relating to the provision of the MOORS under the sub-contracting arrangement; and (vi) a provision that if the Bank stops obtaining or receiving the MOORS under the sub-contracting arrangement provided by the sub-contractor, the sub-contractor ensures that </w:t>
            </w:r>
            <w:r>
              <w:rPr>
                <w:rFonts w:asciiTheme="majorHAnsi" w:hAnsiTheme="majorHAnsi" w:cstheme="majorHAnsi"/>
                <w:highlight w:val="yellow"/>
                <w:sz w:val="18"/>
                <w:szCs w:val="18"/>
              </w:rPr>
              <w:t xml:space="preserve">customer information</w:t>
            </w:r>
            <w:r>
              <w:rPr>
                <w:rFonts w:asciiTheme="majorHAnsi" w:hAnsiTheme="majorHAnsi" w:cstheme="majorHAnsi"/>
                <w:highlight w:val="yellow"/>
                <w:sz w:val="18"/>
                <w:szCs w:val="18"/>
                <w:vertAlign w:val="superscript"/>
              </w:rPr>
              <w:t xml:space="preserve">18</w:t>
            </w:r>
            <w:r>
              <w:rPr>
                <w:rFonts w:asciiTheme="majorHAnsi" w:hAnsiTheme="majorHAnsi" w:cstheme="majorHAnsi"/>
                <w:highlight w:val="yellow"/>
                <w:sz w:val="18"/>
                <w:szCs w:val="18"/>
              </w:rPr>
              <w:t xml:space="preserve"> given to the sub-contractor are deleted, destroyed or rendered unusable as soon as possible</w:t>
            </w:r>
            <w:r>
              <w:rPr>
                <w:rFonts w:asciiTheme="majorHAnsi" w:hAnsiTheme="majorHAnsi" w:cstheme="majorHAnsi"/>
                <w:sz w:val="18"/>
                <w:szCs w:val="18"/>
              </w:rPr>
              <w:t xml:space="preserve"> except where: (A) the sub-contractor is prohibited from doing so by written law or foreign laws, in the case where the MOORS under the sub-contracting arrangement is obtained or received overseas; or (B) in the case where the sub-contractor is a branch or office, the record, document or information is stored in a system used by the Bank which upon the termination of the sub-contracting agreement, can only be accessed by the Bank.</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18</w:t>
            </w:r>
            <w:r>
              <w:rPr>
                <w:rFonts w:asciiTheme="majorHAnsi" w:hAnsiTheme="majorHAnsi" w:cstheme="majorHAnsi"/>
                <w:sz w:val="16"/>
                <w:szCs w:val="16"/>
              </w:rPr>
              <w:t xml:space="preserve"> – Banks may provide flexibility to sub-contractors on the deletion of non-customer information.</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The FI Guidelines do not prescribe the contents of the sub-contract itself; sub-contractors are reached through the service-provider liability clause in 5.5.2(j) and the audit and access clauses in 5.9.2–5.9.4.</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3.5.4</w:t>
            </w:r>
          </w:p>
        </w:tc>
        <w:tc>
          <w:tcPr>
            <w:tcW w:w="5670"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For the purposes of paragraph 6.3(a) of the Notices, MAS expects the notification</w:t>
            </w:r>
            <w:r>
              <w:rPr>
                <w:rFonts w:asciiTheme="majorHAnsi" w:hAnsiTheme="majorHAnsi" w:cstheme="majorHAnsi"/>
                <w:highlight w:val="yellow"/>
                <w:sz w:val="18"/>
                <w:szCs w:val="18"/>
                <w:vertAlign w:val="superscript"/>
              </w:rPr>
              <w:t xml:space="preserve">19</w:t>
            </w:r>
            <w:r>
              <w:rPr>
                <w:rFonts w:asciiTheme="majorHAnsi" w:hAnsiTheme="majorHAnsi" w:cstheme="majorHAnsi"/>
                <w:highlight w:val="yellow"/>
                <w:sz w:val="18"/>
                <w:szCs w:val="18"/>
              </w:rPr>
              <w:t xml:space="preserve"> to take place no later than 30 days.</w:t>
            </w:r>
            <w:r>
              <w:rPr>
                <w:rFonts w:asciiTheme="majorHAnsi" w:hAnsiTheme="majorHAnsi" w:cstheme="majorHAnsi"/>
                <w:sz w:val="18"/>
                <w:szCs w:val="18"/>
              </w:rPr>
              <w:t xml:space="preserve"> Where a notification occurs after 30 days, Banks should assess if the service provider has good reasons to do so and work with the service provider to ensure notifications are provided more promptly in the future.</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19</w:t>
            </w:r>
            <w:r>
              <w:rPr>
                <w:rFonts w:asciiTheme="majorHAnsi" w:hAnsiTheme="majorHAnsi" w:cstheme="majorHAnsi"/>
                <w:sz w:val="16"/>
                <w:szCs w:val="16"/>
              </w:rPr>
              <w:t xml:space="preserve"> – This refers to the service provider’s notification to the Bank of its engagement of a sub-contractor.</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No 30-day (or any) period for notification of sub-contractor engagement appears in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3.6</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Confidentiality and Security</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[5.6]</w:t>
            </w:r>
            <w:r>
              <w:rPr>
                <w:rFonts w:asciiTheme="majorHAnsi" w:hAnsiTheme="majorHAnsi" w:cstheme="majorHAnsi"/>
                <w:i/>
                <w:iCs/>
                <w:sz w:val="18"/>
                <w:szCs w:val="18"/>
              </w:rPr>
              <w:t xml:space="preserve"> Confidentiality and Security</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5.6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3.6.1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As public confidence in financial institutions is a cornerstone in the stability and reputation of the financial industry, it is vital that a Bank satisfies itself that the service provider’s security policies, procedures and controls will enable the Bank to protect the confidentiality and security of customer information.</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[5.6.1]</w:t>
            </w:r>
            <w:r>
              <w:rPr>
                <w:rFonts w:asciiTheme="majorHAnsi" w:hAnsiTheme="majorHAnsi" w:cstheme="majorHAnsi"/>
                <w:sz w:val="18"/>
                <w:szCs w:val="18"/>
              </w:rPr>
              <w:t xml:space="preserve"> As public confidence in financial institutions is a cornerstone in the stability and reputation of the financial industry, it is vital that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satisfies itself that the service provider’s security policies, procedures and controls will enable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to protect the confidentiality and security of customer information.</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3.6.1 of the Bank Guidelines corresponds verbatim to 5.6.1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3.6.2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be proactive in identifying and specifying requirements for confidentiality and security for the outsourcing arrangement. A Bank should take the following steps to protect the confidentiality and security of customer information: (a) State the responsibilities of contracting parties in the outsourcing agreement to ensure the adequacy and effectiveness of security policies and practices, including the circumstances under which each party has the right to change security requirements. The outsourcing agreement should also address: (i) the issue of the party liable for losses in the event of a breach of security or confidentiality and the service provider’s obligation to inform the Bank; and (ii) the issue of access to and disclosure of customer information by the service provider. Customer information should be used by the service provider and its staff strictly for the purpose of the contracted service; (b) Disclose customer information to the service provider only on a need-to-know basis; (c) Ensure the service provider is able to protect the confidentiality of customer information, documents, records, and assets, particularly where multi-tenancy</w:t>
            </w:r>
            <w:r>
              <w:rPr>
                <w:rFonts w:asciiTheme="majorHAnsi" w:hAnsiTheme="majorHAnsi" w:cstheme="majorHAnsi"/>
                <w:sz w:val="18"/>
                <w:szCs w:val="18"/>
                <w:vertAlign w:val="superscript"/>
              </w:rPr>
              <w:t xml:space="preserve">20</w:t>
            </w:r>
            <w:r>
              <w:rPr>
                <w:rFonts w:asciiTheme="majorHAnsi" w:hAnsiTheme="majorHAnsi" w:cstheme="majorHAnsi"/>
                <w:sz w:val="18"/>
                <w:szCs w:val="18"/>
              </w:rPr>
              <w:t xml:space="preserve"> arrangements are present at the service provider; and (d) Review and monitor the security practices and control processes of the service provider on a regular basis, including commissioning audits or obtaining periodic expert reports on confidentiality, security adequacy and compliance in respect of the operations of the service provider, and requiring the service provider to disclose to the Bank breaches of confidentiality in relation to customer information.</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20</w:t>
            </w:r>
            <w:r>
              <w:rPr>
                <w:rFonts w:asciiTheme="majorHAnsi" w:hAnsiTheme="majorHAnsi" w:cstheme="majorHAnsi"/>
                <w:sz w:val="16"/>
                <w:szCs w:val="16"/>
              </w:rPr>
              <w:t xml:space="preserve"> – Multi-tenancy generally refers to a mode of operation adopted by service providers where a single computing infrastructure (e.g. servers, databases) is used to serve multiple customers (tenants).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[5.6.2]</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be proactive in identifying and specifying </w:t>
            </w:r>
            <w:r>
              <w:rPr>
                <w:rFonts w:asciiTheme="majorHAnsi" w:hAnsiTheme="majorHAnsi" w:cstheme="majorHAnsi"/>
                <w:highlight w:val="yellow"/>
                <w:sz w:val="18"/>
                <w:szCs w:val="18"/>
              </w:rPr>
              <w:t xml:space="preserve">requirements for confidentiality and security in the outsourcing arrangement</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take the following steps to protect the confidentiality and security of customer information: (a) State the responsibilities of contracting parties in the outsourcing agreement to ensure the adequacy and effectiveness of security policies and practices, including the circumstances under which each party has the right to change security requirements. The outsourcing agreement should also address: (i) the issue of the party liable for losses in the event of a breach of security or confidentiality and the service provider’s obligation to inform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(ii) the issue of access to and disclosure of customer information by the service provider. Customer information should be used by the service provider and its staff strictly for the purpose of the contracted service; (b) Disclose customer information to the service provider only on a need-to-know basis; (c) Ensure the service provider is able to protect the confidentiality of customer information, documents, records, and assets, particularly where </w:t>
            </w:r>
            <w:r>
              <w:rPr>
                <w:rFonts w:asciiTheme="majorHAnsi" w:hAnsiTheme="majorHAnsi" w:cstheme="majorHAnsi"/>
                <w:highlight w:val="yellow"/>
                <w:sz w:val="18"/>
                <w:szCs w:val="18"/>
              </w:rPr>
              <w:t xml:space="preserve">multi-tenancy</w:t>
            </w:r>
            <w:r>
              <w:rPr>
                <w:rFonts w:asciiTheme="majorHAnsi" w:hAnsiTheme="majorHAnsi" w:cstheme="majorHAnsi"/>
                <w:highlight w:val="yellow"/>
                <w:sz w:val="18"/>
                <w:szCs w:val="18"/>
                <w:vertAlign w:val="superscript"/>
              </w:rPr>
              <w:t xml:space="preserve">15</w:t>
            </w:r>
            <w:r>
              <w:rPr>
                <w:rFonts w:asciiTheme="majorHAnsi" w:hAnsiTheme="majorHAnsi" w:cstheme="majorHAnsi"/>
                <w:sz w:val="18"/>
                <w:szCs w:val="18"/>
              </w:rPr>
              <w:t xml:space="preserve"> arrangements are present at the service provider; and (d) Review and monitor the security practices and control processes of the service provider on a regular basis, including commissioning audits or obtaining periodic expert reports on confidentiality, security adequacy and compliance in respect of the operations of the service provider, and requiring the service provider to disclose to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breaches of confidentiality in relation to customer information.</w:t>
            </w:r>
          </w:p>
          <w:p>
            <w:pPr>
              <w:pStyle w:val="BodyText"/>
              <w:rPr>
                <w:rFonts w:asciiTheme="majorHAnsi" w:hAnsiTheme="majorHAnsi" w:cstheme="majorHAnsi"/>
                <w:sz w:val="16"/>
                <w:szCs w:val="16"/>
              </w:rPr>
            </w:pPr>
            <w:r>
              <w:rPr>
                <w:rFonts w:asciiTheme="majorHAnsi" w:hAnsiTheme="majorHAnsi" w:cstheme="majorHAnsi"/>
                <w:highlight w:val="yellow"/>
                <w:sz w:val="16"/>
                <w:szCs w:val="16"/>
                <w:vertAlign w:val="superscript"/>
              </w:rPr>
              <w:t xml:space="preserve">15</w:t>
            </w:r>
            <w:r>
              <w:rPr>
                <w:rFonts w:asciiTheme="majorHAnsi" w:hAnsiTheme="majorHAnsi" w:cstheme="majorHAnsi"/>
                <w:highlight w:val="yellow"/>
                <w:sz w:val="16"/>
                <w:szCs w:val="16"/>
              </w:rPr>
              <w:t xml:space="preserve"> – Multi-tenancy</w:t>
            </w:r>
            <w:r>
              <w:rPr>
                <w:rFonts w:asciiTheme="majorHAnsi" w:hAnsiTheme="majorHAnsi" w:cstheme="majorHAnsi"/>
                <w:sz w:val="16"/>
                <w:szCs w:val="16"/>
              </w:rPr>
              <w:t xml:space="preserve"> generally refers to a mode of operation adopted by service providers where a single computing infrastructure (e.g. servers, databases) is used to serve multiple customers (tenants).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3.6.2 of the Bank Guidelines corresponds verbatim to 5.6.2 of the FI Guidelines (“in the outsourcing arrangement” for “for the outsourcing arrangement”; multi-tenancy is defined identically at footnote 15 of the FI Guidelines). Footnote 9 of the Bank Guidelines additionally anchors MOORS agreement provisions to paragraphs 7.1(a)–(c) of the Notices; no FI equivalent.</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Business Continuity Management</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[5.7]</w:t>
            </w:r>
            <w:r>
              <w:rPr>
                <w:rFonts w:asciiTheme="majorHAnsi" w:hAnsiTheme="majorHAnsi" w:cstheme="majorHAnsi"/>
                <w:i/>
                <w:iCs/>
                <w:sz w:val="18"/>
                <w:szCs w:val="18"/>
              </w:rPr>
              <w:t xml:space="preserve"> Business Continuity Management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5.7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ensure that its business continuity is not compromised by outsourcing arrangements, in particular, the operation of its critical business services and functions as stipulated under the MAS Business Continuity Management (BCM) Guidelines and critical systems as stipulated under the MAS Notice on Technology Risk Management. A Bank should adopt the sound practices and standards contained in the BCM Guidelines, in evaluating the impact of outsourcing on its risk profile and for effective BCM.</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[5.7.1]</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that its business continuity is not compromised by outsourcing arrangements, in particular, the operation of its critical business services and functions as stipulated under the MAS Business Continuity Management (BCM) Guidelines and critical systems as stipulated under the MAS Notice on Technology Risk Management.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adopt the sound practices and standards contained in the BCM Guidelines, in evaluating the impact of outsourcing on its risk profile and for effective BCM.</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3.7.1 of the Bank Guidelines corresponds verbatim to 5.7.1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In line with the BCM Guidelines, a Bank should take steps to evaluate and satisfy itself that the interdependency risk arising from the outsourcing arrangements can be adequately mitigated such that the Bank remains able to meet its business obligations in the event of a service disruption or failure, or unexpected termination of the outsourcing arrangement or liquidation of the service provider. These should include taking the following steps: (a) Incorporate the necessary contractual requirements and verify that the service provider has in place satisfactory business continuity plans (BCP) that are commensurate with the nature, scope and complexity of the outsourcing arrangement; (b) Proactively seek assurance on the state of BCP preparedness of the service provider. It should ensure the service provider regularly tests its BCP to ascertain that the recovery objectives can be met. The Bank should require the service provider to notify it of any test finding that may affect the service provider’s performance. The Bank should also require the service provider to notify it of any substantial changes in the service provider’s BCP and of any adverse development that could substantially impact the service provided to the Bank; and (c) Ensure that there are plans and procedures in place to address adverse conditions or termination of the outsourcing arrangement such that the Bank will be able to continue business operations and that all documents, records of transactions and information previously given to the service provider should be promptly removed from the possession of the service provider or deleted, destroyed or rendered unusable.</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[5.7.2]</w:t>
            </w:r>
            <w:r>
              <w:rPr>
                <w:rFonts w:asciiTheme="majorHAnsi" w:hAnsiTheme="majorHAnsi" w:cstheme="majorHAnsi"/>
                <w:sz w:val="18"/>
                <w:szCs w:val="18"/>
              </w:rPr>
              <w:t xml:space="preserve"> In line with the BCM Guidelines,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take steps to evaluate and satisfy itself that the </w:t>
            </w:r>
            <w:r>
              <w:rPr>
                <w:rFonts w:asciiTheme="majorHAnsi" w:hAnsiTheme="majorHAnsi" w:cstheme="majorHAnsi"/>
                <w:highlight w:val="yellow"/>
                <w:sz w:val="18"/>
                <w:szCs w:val="18"/>
              </w:rPr>
              <w:t xml:space="preserve">interdependency risk arising from the outsourcing arrangement can</w:t>
            </w:r>
            <w:r>
              <w:rPr>
                <w:rFonts w:asciiTheme="majorHAnsi" w:hAnsiTheme="majorHAnsi" w:cstheme="majorHAnsi"/>
                <w:sz w:val="18"/>
                <w:szCs w:val="18"/>
              </w:rPr>
              <w:t xml:space="preserve"> be adequately mitigated such that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remains able to meet its business obligations in the event of a service disruption or failure, or unexpected termination of the outsourcing arrangement or liquidation of the service provider. These should include taking the following steps: (a) Incorporate the necessary contractual requirements and verify that the service provider has in place satisfactory business continuity plans (BCP) that are commensurate with the nature, scope and complexity of the outsourcing arrangement; (b) Proactively seek assurance on the state of BCP preparedness of the service provider. It should ensure the service provider regularly tests its BCP to ascertain that the recovery objectives can be met.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should require the service provider to notify it of any test finding that may affect the service provider’s performance.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should also require the service provider to notify it of any substantial changes in the service provider’s BCP and of any adverse development that could substantially impact the service provided to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(c) Ensure that there are plans and procedures in place to address adverse conditions or termination of the outsourcing arrangement such that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will be able to continue business operations and that all documents, records of transactions and information previously given to the service provider should be promptly removed from the possession of the service provider or deleted, destroyed or rendered unusable.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3.7.2 of the Bank Guidelines corresponds verbatim to 5.7.2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involve its service providers, where applicable, in the validation and testing of its BCPs to ensure that BCP testing is complete and meaningful, and to gain assurance on the functionality and effectiveness of its BCPs. Similarly, a Bank could take part in its service providers’ business continuity and disaster recovery tests. Such tests would also serve to familiarise the Bank and the service provider with the recovery processes, as well as improve the coordination between the parties involved.</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[5.7.3]</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involve its service providers, where applicable, in the validation and testing of its BCPs to ensure that BCP testing is complete and meaningful, and to gain assurance on the functionality and effectiveness of its BCPs. Similarly,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could take part in its service providers’ business continuity and disaster recovery tests. Such tests would also serve to familiarise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the service provider with the recovery processes, as well as improve the coordination between the parties involved.</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3.7.3 of the Bank Guidelines corresponds verbatim to 5.7.3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3.7.4</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consider worst case scenarios in developing its BCPs for its outsourcing arrangements. Some examples of these scenarios are unavailability of service provider due to unexpected termination of the outsourcing agreement, liquidation of the service provider and wide-area disruptions that result in collateral impact on both the Bank and the service provider. Where the interdependency on a Bank in the financial system is high, the Bank should maintain a higher state of business continuity preparedness. The identification of viable alternatives for resuming operations without incurring prohibitive costs is also essential to mitigate interdependency risk.</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[5.7.4]</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consider worst case scenarios in developing its BCPs for its outsourcing arrangements. Some examples of these scenarios are unavailability of service provider due to unexpected termination of the outsourcing agreement, liquidation of the service provider and wide-area disruptions that result in collateral impact on both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the service provider. Where the interdependency on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in the financial system is high,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should maintain a higher state of business continuity preparedness. The identification of viable alternatives for resuming operations without incurring prohibitive costs is also essential to mitigate interdependency risk.</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3.7.4 of the Bank Guidelines corresponds verbatim to 5.7.4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3.8</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Monitoring and control of outsourcing arrangements</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[5.8]</w:t>
            </w:r>
            <w:r>
              <w:rPr>
                <w:rFonts w:asciiTheme="majorHAnsi" w:hAnsiTheme="majorHAnsi" w:cstheme="majorHAnsi"/>
                <w:i/>
                <w:iCs/>
                <w:sz w:val="18"/>
                <w:szCs w:val="18"/>
              </w:rPr>
              <w:t xml:space="preserve"> Monitoring and control of outsourcing arrangements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5.8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3.8.1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establish a structure for the management and control of its outsourcing arrangements. Such a structure will vary depending on the nature and extent of risks in the outsourcing arrangements. As relationships and interdependencies in respect of outsourcing arrangements increase in materiality and complexity, a more rigorous risk management approach should be adopted. A Bank also has to be more proactive in its relationship with the service provider (e.g. having frequent meetings) to ensure that performance, operational, internal control and risk management standards are upheld. A Bank should ensure that outsourcing agreements with service providers contain clauses to address the Bank’s monitoring and control of outsourcing arrangements.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[5.8.1]</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establish a structure for the management and control of its outsourcing arrangements. Such a structure will vary depending on the nature and extent of risks in the outsourcing arrangements. As relationships and interdependencies in respect of outsourcing arrangements increase in materiality and complexity, a more rigorous risk management approach should be adopted.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also has to be more proactive in its relationship with the service provider (e.g. having frequent meetings) to ensure that performance, operational, internal control and risk management standards are upheld.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that outsourcing agreements with service providers contain clauses to address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monitoring and control of outsourcing arrangements.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3.8.1 of the Bank Guidelines corresponds verbatim to 5.8.1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3.8.2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put in place all the following measures for effective monitoring and control of any </w:t>
            </w:r>
            <w:r>
              <w:rPr>
                <w:rFonts w:asciiTheme="majorHAnsi" w:hAnsiTheme="majorHAnsi" w:cstheme="majorHAnsi"/>
                <w:highlight w:val="yellow"/>
                <w:sz w:val="18"/>
                <w:szCs w:val="18"/>
              </w:rPr>
              <w:t xml:space="preserve">MOORS</w:t>
            </w:r>
            <w:r>
              <w:rPr>
                <w:rFonts w:asciiTheme="majorHAnsi" w:hAnsiTheme="majorHAnsi" w:cstheme="majorHAnsi"/>
                <w:sz w:val="18"/>
                <w:szCs w:val="18"/>
              </w:rPr>
              <w:t xml:space="preserve">: (a) Maintain a register</w:t>
            </w:r>
            <w:r>
              <w:rPr>
                <w:rFonts w:asciiTheme="majorHAnsi" w:hAnsiTheme="majorHAnsi" w:cstheme="majorHAnsi"/>
                <w:highlight w:val="yellow"/>
                <w:sz w:val="18"/>
                <w:szCs w:val="18"/>
              </w:rPr>
              <w:t xml:space="preserve">21</w:t>
            </w:r>
            <w:r>
              <w:rPr>
                <w:rFonts w:asciiTheme="majorHAnsi" w:hAnsiTheme="majorHAnsi" w:cstheme="majorHAnsi"/>
                <w:sz w:val="18"/>
                <w:szCs w:val="18"/>
              </w:rPr>
              <w:t xml:space="preserve"> of outsourcing arrangements and ensure that the register is readily accessible for review by the board and senior management of the Bank. The register should be updated promptly and form part of the oversight and governance reviews undertaken by the board and senior management of the Bank, similar to those described in paragraph 3.1; (b) Establish multi-disciplinary outsourcing management groups with members from different risk and internal control functions including legal, compliance and finance, to ensure that all relevant technical issues and legal and regulatory requirements are met. The Bank should allocate sufficient resources, in terms of both time and skilled manpower, to the management groups to enable its staff to adequately plan and oversee the entire outsourcing lifecycle; (c) Establish outsourcing management control groups to monitor and control the outsourced relevant service on an ongoing basis. There should be policies and procedures to monitor service delivery and the confidentiality and security of customer information, for the purpose of gauging ongoing compliance with agreed service levels and the viability of the Bank’s operations. Such monitoring should be regular and validated through the review of reports by auditors of the service provider or audits commissioned by the Bank; (d) Reporting policies and procedures — Reports on the monitoring and control activities of the Bank should be reviewed by its senior management</w:t>
            </w:r>
            <w:r>
              <w:rPr>
                <w:rFonts w:asciiTheme="majorHAnsi" w:hAnsiTheme="majorHAnsi" w:cstheme="majorHAnsi"/>
                <w:sz w:val="18"/>
                <w:szCs w:val="18"/>
                <w:vertAlign w:val="superscript"/>
              </w:rPr>
              <w:t xml:space="preserve">22</w:t>
            </w:r>
            <w:r>
              <w:rPr>
                <w:rFonts w:asciiTheme="majorHAnsi" w:hAnsiTheme="majorHAnsi" w:cstheme="majorHAnsi"/>
                <w:sz w:val="18"/>
                <w:szCs w:val="18"/>
              </w:rPr>
              <w:t xml:space="preserve"> and provided to the board for information. The Bank should ensure that monitoring metrics and performance data are not aggregated with those belonging to other customers of the service provider. The Bank should also ensure that any adverse development arising in any outsourcing arrangement is brought to the attention of the senior management of the Bank and service provider, or to the Bank’s board, where warranted, on a timely basis. When an adverse development occurs, prompt actions should be taken by a Bank to review the outsourcing relationship for modification or termination of the agreement; and (e) Perform comprehensive pre- and post- implementation reviews of new outsourcing arrangements or when amendments are made to the outsourcing arrangements. If an outsourcing arrangement is materially amended, a comprehensive due diligence of the outsourcing arrangement should also be conducted.</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21</w:t>
            </w:r>
            <w:r>
              <w:rPr>
                <w:rFonts w:asciiTheme="majorHAnsi" w:hAnsiTheme="majorHAnsi" w:cstheme="majorHAnsi"/>
                <w:sz w:val="16"/>
                <w:szCs w:val="16"/>
              </w:rPr>
              <w:t xml:space="preserve"> – Banks should submit their registers according to the template set out at this link.</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22</w:t>
            </w:r>
            <w:r>
              <w:rPr>
                <w:rFonts w:asciiTheme="majorHAnsi" w:hAnsiTheme="majorHAnsi" w:cstheme="majorHAnsi"/>
                <w:sz w:val="16"/>
                <w:szCs w:val="16"/>
              </w:rPr>
              <w:t xml:space="preserve"> – Refer to paragraph 3.1.3.</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[5.8.2] </w:t>
            </w:r>
            <w:r>
              <w:rPr>
                <w:rFonts w:asciiTheme="majorHAnsi" w:hAnsiTheme="majorHAnsi" w:cstheme="majorHAnsi"/>
                <w:sz w:val="18"/>
                <w:szCs w:val="18"/>
              </w:rPr>
              <w:t xml:space="preserve">An institution should put in place all the following measures for effective monitoring and control of any </w:t>
            </w:r>
            <w:r>
              <w:rPr>
                <w:rFonts w:asciiTheme="majorHAnsi" w:hAnsiTheme="majorHAnsi" w:cstheme="majorHAnsi"/>
                <w:highlight w:val="yellow"/>
                <w:sz w:val="18"/>
                <w:szCs w:val="18"/>
              </w:rPr>
              <w:t xml:space="preserve">material outsourcing arrangement</w:t>
            </w:r>
            <w:r>
              <w:rPr>
                <w:rFonts w:asciiTheme="majorHAnsi" w:hAnsiTheme="majorHAnsi" w:cstheme="majorHAnsi"/>
                <w:sz w:val="18"/>
                <w:szCs w:val="18"/>
              </w:rPr>
              <w:t xml:space="preserve">: (a) Maintain a register of outsourcing arrangements and ensure that the register is readily accessible for review by the board and senior management of the institution. </w:t>
            </w:r>
            <w:r>
              <w:rPr>
                <w:rFonts w:asciiTheme="majorHAnsi" w:hAnsiTheme="majorHAnsi" w:cstheme="majorHAnsi"/>
                <w:highlight w:val="yellow"/>
                <w:sz w:val="18"/>
                <w:szCs w:val="18"/>
              </w:rPr>
              <w:t xml:space="preserve">Information maintained in the register should include those set out in Annex 4.</w:t>
            </w:r>
            <w:r>
              <w:rPr>
                <w:rFonts w:asciiTheme="majorHAnsi" w:hAnsiTheme="majorHAnsi" w:cstheme="majorHAnsi"/>
                <w:sz w:val="18"/>
                <w:szCs w:val="18"/>
              </w:rPr>
              <w:t xml:space="preserve"> The register should be updated promptly and form part of the oversight and governance reviews undertaken by the board and senior management of the institution, similar to those described in paragraph 5.2; (b) Establish multi-disciplinary outsourcing management groups with members from different risk and internal control functions including legal, compliance and finance, to ensure that all relevant technical issues and legal and regulatory requirements are met. The institution should allocate sufficient resources, in terms of both time and skilled manpower, to the management groups to enable its staff to adequately plan and oversee the entire outsourcing lifecycle; (c) Establish outsourcing management control groups to monitor and control the outsourced service on an ongoing basis. There should be policies and procedures to monitor service delivery and the confidentiality and security of customer information, for the purpose of gauging ongoing compliance with agreed service levels and the viability of the institution’s operations. Such monitoring should be regular and validated through the review of reports by auditors of the service provider or audits commissioned by the institution; </w:t>
            </w:r>
            <w:r>
              <w:rPr>
                <w:rFonts w:asciiTheme="majorHAnsi" w:hAnsiTheme="majorHAnsi" w:cstheme="majorHAnsi"/>
                <w:highlight w:val="yellow"/>
                <w:sz w:val="18"/>
                <w:szCs w:val="18"/>
              </w:rPr>
              <w:t xml:space="preserve">(d) Periodic reviews, at least on an annual basis, on all material outsourcing arrangements. This is to ensure that the institution’s outsourcing risk management policies and procedures, and these Guidelines, are effectively implemented. Such reviews should ascertain the adequacy of internal risk management and management information systems established by the institution (e.g. assessing the effectiveness of processes and metrics used to evaluate the performance and security of the service provider) and highlight any deficiency in the institution’s systems of control;</w:t>
            </w:r>
            <w:r>
              <w:rPr>
                <w:rFonts w:asciiTheme="majorHAnsi" w:hAnsiTheme="majorHAnsi" w:cstheme="majorHAnsi"/>
                <w:sz w:val="18"/>
                <w:szCs w:val="18"/>
              </w:rPr>
              <w:t xml:space="preserve"> (e) Reporting policies and procedures — Reports on the monitoring and control activities of the institution should be reviewed by its senior management</w:t>
            </w:r>
            <w:r>
              <w:rPr>
                <w:rFonts w:asciiTheme="majorHAnsi" w:hAnsiTheme="majorHAnsi" w:cstheme="majorHAnsi"/>
                <w:sz w:val="18"/>
                <w:szCs w:val="18"/>
                <w:vertAlign w:val="superscript"/>
              </w:rPr>
              <w:t xml:space="preserve">16</w:t>
            </w:r>
            <w:r>
              <w:rPr>
                <w:rFonts w:asciiTheme="majorHAnsi" w:hAnsiTheme="majorHAnsi" w:cstheme="majorHAnsi"/>
                <w:sz w:val="18"/>
                <w:szCs w:val="18"/>
              </w:rPr>
              <w:t xml:space="preserve"> and provided to the board for information. The institution should ensure that monitoring metrics and performance data are not aggregated with those belonging to other customers of the service provider. The institution should also ensure that any adverse development arising in any outsourcing arrangement is brought to the attention of the senior management of the institution and service provider, or to the institution’s board, where warranted, on a timely basis. When adverse development occurs, prompt actions should be taken by an institution to review the outsourcing relationship for modification or termination of the agreement; and (f) Perform comprehensive pre- and post- implementation reviews of new outsourcing arrangements or when amendments are made to the outsourcing arrangements. If an outsourcing arrangement is materially amended, a comprehensive due diligence of the outsourcing arrangement should also be conducted.</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16</w:t>
            </w:r>
            <w:r>
              <w:rPr>
                <w:rFonts w:asciiTheme="majorHAnsi" w:hAnsiTheme="majorHAnsi" w:cstheme="majorHAnsi"/>
                <w:sz w:val="16"/>
                <w:szCs w:val="16"/>
              </w:rPr>
              <w:t xml:space="preserve"> – Refer to paragraph 5.2.3.</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3.8.2 of the Bank Guidelines corresponds to 5.8.2 of the FI Guidelines, with the following differences:</w:t>
            </w:r>
          </w:p>
          <w:p>
            <w:pPr>
              <w:pStyle w:val="BodyText"/>
              <w:rPr>
                <w:rFonts w:asciiTheme="majorHAnsi" w:hAnsiTheme="majorHAnsi" w:cstheme="majorHAnsi"/>
                <w:sz w:val="18"/>
                <w:szCs w:val="18"/>
              </w:rPr>
            </w:pPr>
            <w:r>
              <w:rPr>
                <w:rFonts w:asciiTheme="majorHAnsi" w:hAnsiTheme="majorHAnsi" w:cstheme="majorHAnsi"/>
                <w:sz w:val="18"/>
                <w:szCs w:val="18"/>
              </w:rPr>
              <w:t xml:space="preserve">1. The FI Guidelines add item (d): periodic reviews of all material outsourcing arrangements at least annually. There is no Bank counterpart; Banks’ periodic-review obligations arise under the Notices (see 3.3.6 above).</w:t>
            </w:r>
          </w:p>
          <w:p>
            <w:pPr>
              <w:pStyle w:val="BodyText"/>
              <w:rPr>
                <w:rFonts w:asciiTheme="majorHAnsi" w:hAnsiTheme="majorHAnsi" w:cstheme="majorHAnsi"/>
                <w:sz w:val="18"/>
                <w:szCs w:val="18"/>
              </w:rPr>
            </w:pPr>
            <w:r>
              <w:rPr>
                <w:rFonts w:asciiTheme="majorHAnsi" w:hAnsiTheme="majorHAnsi" w:cstheme="majorHAnsi"/>
                <w:sz w:val="18"/>
                <w:szCs w:val="18"/>
              </w:rPr>
              <w:t xml:space="preserve">2. The register: the Bank Guidelines point to a template link (footnote 21) with no stated frequency; the FI Guidelines require the register to contain the Annex 4 information and to be submitted at least annually or upon request (4.1.1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Audit and inspection</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[5.9]</w:t>
            </w:r>
            <w:r>
              <w:rPr>
                <w:rFonts w:asciiTheme="majorHAnsi" w:hAnsiTheme="majorHAnsi" w:cstheme="majorHAnsi"/>
                <w:i/>
                <w:iCs/>
                <w:sz w:val="18"/>
                <w:szCs w:val="18"/>
              </w:rPr>
              <w:t xml:space="preserve"> Audit and inspection</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5.9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Bank’s outsourcing arrangements should not interfere with the ability of the Bank to effectively manage its business activities or impede MAS in carrying out its supervisory functions.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[5.9.1]</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’s outsourcing arrangements should not interfere with the ability of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to effectively manage its business activities or impede MAS in carrying out its supervisory functions.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3.9.1 of the Bank Guidelines corresponds verbatim to 5.9.1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include, in all its outsourcing agreements for MOORS, clauses that allow the Bank to conduct audits on the service provider and its sub-contractors, whether by its internal or external auditors, or by agents appointed by the Bank. The Bank should also obtain copies of any report and finding made on the service provider and its sub-contractors, whether produced by the service provider’s or its sub-contractors’ internal or external auditors, or by agents appointed by the service provider and its sub-contractor, in relation to the outsourcing arrangement.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[5.9.2] </w:t>
            </w:r>
            <w:r>
              <w:rPr>
                <w:rFonts w:asciiTheme="majorHAnsi" w:hAnsiTheme="majorHAnsi" w:cstheme="majorHAnsi"/>
                <w:sz w:val="18"/>
                <w:szCs w:val="18"/>
              </w:rPr>
              <w:t xml:space="preserve">An institution should include, in all its outsourcing agreements for material outsourcing arrangements, clauses that: (a) allow the institution to conduct audits on the service provider and its sub-contractors, whether by its internal or external auditors, or by agents appointed by the institution; and to obtain copies of any report and finding made on the service provider and its sub-contractors, whether produced by the service provider’s or its sub-contractors’ internal or external auditors, or by agents appointed by the service provider and its sub-contractor, in relation to the outsourcing arrangement; </w:t>
            </w:r>
            <w:r>
              <w:rPr>
                <w:rFonts w:asciiTheme="majorHAnsi" w:hAnsiTheme="majorHAnsi" w:cstheme="majorHAnsi"/>
                <w:highlight w:val="yellow"/>
                <w:sz w:val="18"/>
                <w:szCs w:val="18"/>
              </w:rPr>
              <w:t xml:space="preserve">(b) allow MAS, or any agent appointed by MAS, where necessary or expedient, to exercise the contractual rights of the institution to: (i) access and inspect the service provider and its sub-contractors, and obtain records and documents, of transactions, and information of the institution given to, stored at or processed by the service provider and its sub-contractors; and (ii) access any report and finding made on the service provider and its sub-contractors, whether produced by the service provider’s and its sub-contractors’ internal or external auditors, or by agents appointed by the service provider and its sub-contractors, in relation to the outsourcing arrangement.</w:t>
            </w:r>
          </w:p>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5.9.3: Outsourcing agreements for material outsourcing arrangements should also include clauses that require the service provider to comply, as soon as possible, with any request from MAS or the institution, to the service provider or its sub-contractors, to submit any reports on the security and control environment of the service provider and its sub-contractors to MAS, in relation to the outsourcing arrangement.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3.9.2 of the Bank Guidelines corresponds to 5.9.2(a) of the FI Guidelines.</w:t>
            </w:r>
          </w:p>
          <w:p>
            <w:pPr>
              <w:pStyle w:val="BodyText"/>
              <w:rPr>
                <w:rFonts w:asciiTheme="majorHAnsi" w:hAnsiTheme="majorHAnsi" w:cstheme="majorHAnsi"/>
                <w:sz w:val="18"/>
                <w:szCs w:val="18"/>
              </w:rPr>
            </w:pPr>
            <w:r>
              <w:rPr>
                <w:rFonts w:asciiTheme="majorHAnsi" w:hAnsiTheme="majorHAnsi" w:cstheme="majorHAnsi"/>
                <w:sz w:val="18"/>
                <w:szCs w:val="18"/>
              </w:rPr>
              <w:t xml:space="preserve">1. 5.9.2(b) of the FI Guidelines (clauses allowing MAS or its agents to exercise the institution’s access and inspection rights) has no Bank counterpart: for Banks, MAS has statutory inspection powers over service providers under section 47A(10) of the Banking Act, and paragraph 7.1(d) of the Notices prescribes the audit clauses.</w:t>
            </w:r>
          </w:p>
          <w:p>
            <w:pPr>
              <w:pStyle w:val="BodyText"/>
              <w:rPr>
                <w:rFonts w:asciiTheme="majorHAnsi" w:hAnsiTheme="majorHAnsi" w:cstheme="majorHAnsi"/>
                <w:sz w:val="18"/>
                <w:szCs w:val="18"/>
              </w:rPr>
            </w:pPr>
            <w:r>
              <w:rPr>
                <w:rFonts w:asciiTheme="majorHAnsi" w:hAnsiTheme="majorHAnsi" w:cstheme="majorHAnsi"/>
                <w:sz w:val="18"/>
                <w:szCs w:val="18"/>
              </w:rPr>
              <w:t xml:space="preserve">2. 5.9.3 of the FI Guidelines (service provider to submit security and control reports to MAS on request) also has no Bank counterpart.</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w:t>
            </w:r>
            <w:r>
              <w:rPr>
                <w:rFonts w:asciiTheme="majorHAnsi" w:hAnsiTheme="majorHAnsi" w:cstheme="majorHAnsi"/>
                <w:highlight w:val="yellow"/>
                <w:sz w:val="18"/>
                <w:szCs w:val="18"/>
              </w:rPr>
              <w:t xml:space="preserve">endeavour to subject</w:t>
            </w:r>
            <w:r>
              <w:rPr>
                <w:rFonts w:asciiTheme="majorHAnsi" w:hAnsiTheme="majorHAnsi" w:cstheme="majorHAnsi"/>
                <w:sz w:val="18"/>
                <w:szCs w:val="18"/>
              </w:rPr>
              <w:t xml:space="preserve"> any sub-contractor, that a service provider (including any disaster recovery and backup service providers) may engage in the Bank’s MOORS, to the audit requirements and expectations applied to the service provider. MAS will endeavour to provide the Bank reasonable notice of MAS’ intent to exercise its inspection rights and share its findings with the Bank where appropriate.</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[5.9.4]</w:t>
            </w:r>
            <w:r>
              <w:rPr>
                <w:rFonts w:asciiTheme="majorHAnsi" w:hAnsiTheme="majorHAnsi" w:cstheme="majorHAnsi"/>
                <w:sz w:val="18"/>
                <w:szCs w:val="18"/>
              </w:rPr>
              <w:t xml:space="preserve"> An institution should </w:t>
            </w:r>
            <w:r>
              <w:rPr>
                <w:rFonts w:asciiTheme="majorHAnsi" w:hAnsiTheme="majorHAnsi" w:cstheme="majorHAnsi"/>
                <w:highlight w:val="yellow"/>
                <w:sz w:val="18"/>
                <w:szCs w:val="18"/>
              </w:rPr>
              <w:t xml:space="preserve">ensure that these expectations are met</w:t>
            </w:r>
            <w:r>
              <w:rPr>
                <w:rFonts w:asciiTheme="majorHAnsi" w:hAnsiTheme="majorHAnsi" w:cstheme="majorHAnsi"/>
                <w:sz w:val="18"/>
                <w:szCs w:val="18"/>
              </w:rPr>
              <w:t xml:space="preserve"> in its outsourcing arrangements with the service provider as well as any sub-contractor that the service provider may engage in the outsourcing arrangement, including any disaster recovery and backup service providers. MAS will endeavour to provide the institution reasonable notice of MAS’ intent to exercise its inspection rights and share its findings with the institution where appropriate.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5.9.4 of the FI Guidelines, with two differences: the Bank should “endeavour to subject” sub-contractors to the audit requirements, while the institution should “ensure that these expectations are met” (stricter); and “these expectations” in 5.9.4 covers both 5.9.2 and 5.9.3, so the FI obligation is broader than audit alone.</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3.9.4</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ensure that independent audits and/or expert assessments of its outsourcing arrangements are conducted. In determining the frequency of audit and expert assessment, the Bank should consider the nature and extent of risk and impact to the Bank from the outsourcing arrangements. The scope of the audits and expert assessments should include an assessment of the service providers’ and its sub-contractors’ security</w:t>
            </w:r>
            <w:r>
              <w:rPr>
                <w:rFonts w:asciiTheme="majorHAnsi" w:hAnsiTheme="majorHAnsi" w:cstheme="majorHAnsi"/>
                <w:sz w:val="18"/>
                <w:szCs w:val="18"/>
                <w:vertAlign w:val="superscript"/>
              </w:rPr>
              <w:t xml:space="preserve">23</w:t>
            </w:r>
            <w:r>
              <w:rPr>
                <w:rFonts w:asciiTheme="majorHAnsi" w:hAnsiTheme="majorHAnsi" w:cstheme="majorHAnsi"/>
                <w:sz w:val="18"/>
                <w:szCs w:val="18"/>
              </w:rPr>
              <w:t xml:space="preserve"> and control environment, incident management process (for material breaches, service disruptions or other material issues) and the Bank’s observance of the expectations in these Guidelines in relation to the outsourcing arrangement.</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23</w:t>
            </w:r>
            <w:r>
              <w:rPr>
                <w:rFonts w:asciiTheme="majorHAnsi" w:hAnsiTheme="majorHAnsi" w:cstheme="majorHAnsi"/>
                <w:sz w:val="16"/>
                <w:szCs w:val="16"/>
              </w:rPr>
              <w:t xml:space="preserve"> – The security environment refers to both the physical and IT security environments.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[5.9.5]</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ensure that independent audits and/or expert </w:t>
            </w:r>
            <w:r>
              <w:rPr>
                <w:rFonts w:asciiTheme="majorHAnsi" w:hAnsiTheme="majorHAnsi" w:cstheme="majorHAnsi"/>
                <w:highlight w:val="yellow"/>
                <w:sz w:val="18"/>
                <w:szCs w:val="18"/>
              </w:rPr>
              <w:t xml:space="preserve">assessments of all its outsourcing arrangements are conducted</w:t>
            </w:r>
            <w:r>
              <w:rPr>
                <w:rFonts w:asciiTheme="majorHAnsi" w:hAnsiTheme="majorHAnsi" w:cstheme="majorHAnsi"/>
                <w:sz w:val="18"/>
                <w:szCs w:val="18"/>
              </w:rPr>
              <w:t xml:space="preserve">. In determining the frequency of audit and expert assessment,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should consider the nature and extent of risk and impact to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from the outsourcing arrangements. The scope of the audits and expert assessments should include an assessment of the service providers’ and its sub-contractors’ </w:t>
            </w:r>
            <w:r>
              <w:rPr>
                <w:rFonts w:asciiTheme="majorHAnsi" w:hAnsiTheme="majorHAnsi" w:cstheme="majorHAnsi"/>
                <w:highlight w:val="yellow"/>
                <w:sz w:val="18"/>
                <w:szCs w:val="18"/>
              </w:rPr>
              <w:t xml:space="preserve">security</w:t>
            </w:r>
            <w:r>
              <w:rPr>
                <w:rFonts w:asciiTheme="majorHAnsi" w:hAnsiTheme="majorHAnsi" w:cstheme="majorHAnsi"/>
                <w:highlight w:val="yellow"/>
                <w:sz w:val="18"/>
                <w:szCs w:val="18"/>
                <w:vertAlign w:val="superscript"/>
              </w:rPr>
              <w:t xml:space="preserve">17</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and control environment incident management</w:t>
            </w:r>
            <w:r>
              <w:rPr>
                <w:rFonts w:asciiTheme="majorHAnsi" w:hAnsiTheme="majorHAnsi" w:cstheme="majorHAnsi"/>
                <w:sz w:val="18"/>
                <w:szCs w:val="18"/>
              </w:rPr>
              <w:t xml:space="preserve"> process (for material breaches, service disruptions or other material issues) and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observance of the expectations in these Guidelines in relation to the outsourcing arrangement.</w:t>
            </w:r>
          </w:p>
          <w:p>
            <w:pPr>
              <w:pStyle w:val="BodyText"/>
              <w:rPr>
                <w:rFonts w:asciiTheme="majorHAnsi" w:hAnsiTheme="majorHAnsi" w:cstheme="majorHAnsi"/>
                <w:sz w:val="16"/>
                <w:szCs w:val="16"/>
              </w:rPr>
            </w:pPr>
            <w:r>
              <w:rPr>
                <w:rFonts w:asciiTheme="majorHAnsi" w:hAnsiTheme="majorHAnsi" w:cstheme="majorHAnsi"/>
                <w:highlight w:val="yellow"/>
                <w:sz w:val="16"/>
                <w:szCs w:val="16"/>
                <w:vertAlign w:val="superscript"/>
              </w:rPr>
              <w:t xml:space="preserve">17</w:t>
            </w:r>
            <w:r>
              <w:rPr>
                <w:rFonts w:asciiTheme="majorHAnsi" w:hAnsiTheme="majorHAnsi" w:cstheme="majorHAnsi"/>
                <w:highlight w:val="yellow"/>
                <w:sz w:val="16"/>
                <w:szCs w:val="16"/>
              </w:rPr>
              <w:t xml:space="preserve"> – The security environment</w:t>
            </w:r>
            <w:r>
              <w:rPr>
                <w:rFonts w:asciiTheme="majorHAnsi" w:hAnsiTheme="majorHAnsi" w:cstheme="majorHAnsi"/>
                <w:sz w:val="16"/>
                <w:szCs w:val="16"/>
              </w:rPr>
              <w:t xml:space="preserve"> refers to both the physical and IT security environments.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3.9.4 of the Bank Guidelines corresponds verbatim to 5.9.5 of the FI Guidelines, save that 5.9.5 reads “of all its outsourcing arrangements”.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3.9.5</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 independent audit and/or expert assessment on the service provider and its sub-contractors may be performed by the Bank’s internal or external auditors, the service provider’s external auditors</w:t>
            </w:r>
            <w:r>
              <w:rPr>
                <w:rFonts w:asciiTheme="majorHAnsi" w:hAnsiTheme="majorHAnsi" w:cstheme="majorHAnsi"/>
                <w:sz w:val="18"/>
                <w:szCs w:val="18"/>
                <w:vertAlign w:val="superscript"/>
              </w:rPr>
              <w:t xml:space="preserve">24</w:t>
            </w:r>
            <w:r>
              <w:rPr>
                <w:rFonts w:asciiTheme="majorHAnsi" w:hAnsiTheme="majorHAnsi" w:cstheme="majorHAnsi"/>
                <w:sz w:val="18"/>
                <w:szCs w:val="18"/>
              </w:rPr>
              <w:t xml:space="preserve"> or by agents appointed by the Bank </w:t>
            </w:r>
            <w:r>
              <w:rPr>
                <w:rFonts w:asciiTheme="majorHAnsi" w:hAnsiTheme="majorHAnsi" w:cstheme="majorHAnsi"/>
                <w:highlight w:val="yellow"/>
                <w:sz w:val="18"/>
                <w:szCs w:val="18"/>
              </w:rPr>
              <w:t xml:space="preserve">(e.g. audits commissioned by multiple Banks using the same service provider)</w:t>
            </w:r>
            <w:r>
              <w:rPr>
                <w:rFonts w:asciiTheme="majorHAnsi" w:hAnsiTheme="majorHAnsi" w:cstheme="majorHAnsi"/>
                <w:sz w:val="18"/>
                <w:szCs w:val="18"/>
              </w:rPr>
              <w:t xml:space="preserve">. The appointed persons should possess the requisite knowledge and skills to perform the audit, and be independent of the unit or function performing the outsourcing arrangement. Senior management should ensure that appropriate and timely remedial actions are taken to address the audit findings25. Banks and service providers should have adequate processes in place to ensure that remedial actions are satisfactorily completed. Actions taken by the service provider to address the audit findings should be appropriately validated by the Bank before closure. Where necessary, the relevant persons who possess the requisite knowledge and skills should be involved to validate the effectiveness of the security and control measures taken.</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24</w:t>
            </w:r>
            <w:r>
              <w:rPr>
                <w:rFonts w:asciiTheme="majorHAnsi" w:hAnsiTheme="majorHAnsi" w:cstheme="majorHAnsi"/>
                <w:sz w:val="16"/>
                <w:szCs w:val="16"/>
              </w:rPr>
              <w:t xml:space="preserve"> – </w:t>
            </w:r>
            <w:r>
              <w:rPr>
                <w:rFonts w:asciiTheme="majorHAnsi" w:hAnsiTheme="majorHAnsi" w:cstheme="majorHAnsi"/>
                <w:highlight w:val="yellow"/>
                <w:sz w:val="16"/>
                <w:szCs w:val="16"/>
              </w:rPr>
              <w:t xml:space="preserve">While audits need not be procured by banks</w:t>
            </w:r>
            <w:r>
              <w:rPr>
                <w:rFonts w:asciiTheme="majorHAnsi" w:hAnsiTheme="majorHAnsi" w:cstheme="majorHAnsi"/>
                <w:sz w:val="16"/>
                <w:szCs w:val="16"/>
              </w:rPr>
              <w:t xml:space="preserve">, a bank should conduct its own audits to supplement the audits performed by the service provider’s auditors, where necessary.</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25</w:t>
            </w:r>
            <w:r>
              <w:rPr>
                <w:rFonts w:asciiTheme="majorHAnsi" w:hAnsiTheme="majorHAnsi" w:cstheme="majorHAnsi"/>
                <w:sz w:val="16"/>
                <w:szCs w:val="16"/>
              </w:rPr>
              <w:t xml:space="preserve"> – Please refer to paragraph 3.1 on Responsibilities of Board and Senior Management.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[5.9.6]</w:t>
            </w:r>
            <w:r>
              <w:rPr>
                <w:rFonts w:asciiTheme="majorHAnsi" w:hAnsiTheme="majorHAnsi" w:cstheme="majorHAnsi"/>
                <w:sz w:val="18"/>
                <w:szCs w:val="18"/>
              </w:rPr>
              <w:t xml:space="preserve"> The independent audit and/or expert assessment on the service provider and its sub-contractors may be performed by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internal or external auditors, the service provider’s external </w:t>
            </w:r>
            <w:r>
              <w:rPr>
                <w:rFonts w:asciiTheme="majorHAnsi" w:hAnsiTheme="majorHAnsi" w:cstheme="majorHAnsi"/>
                <w:highlight w:val="yellow"/>
                <w:sz w:val="18"/>
                <w:szCs w:val="18"/>
              </w:rPr>
              <w:t xml:space="preserve">auditors</w:t>
            </w:r>
            <w:r>
              <w:rPr>
                <w:rFonts w:asciiTheme="majorHAnsi" w:hAnsiTheme="majorHAnsi" w:cstheme="majorHAnsi"/>
                <w:highlight w:val="yellow"/>
                <w:sz w:val="18"/>
                <w:szCs w:val="18"/>
                <w:vertAlign w:val="superscript"/>
              </w:rPr>
              <w:t xml:space="preserve">18</w:t>
            </w:r>
            <w:r>
              <w:rPr>
                <w:rFonts w:asciiTheme="majorHAnsi" w:hAnsiTheme="majorHAnsi" w:cstheme="majorHAnsi"/>
                <w:sz w:val="18"/>
                <w:szCs w:val="18"/>
              </w:rPr>
              <w:t xml:space="preserve"> or by agents appointed by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(e.g. audits commissioned by multiple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using the same service provider). The appointed persons should possess the requisite knowledge and skills to perform the audit, and be independent of the unit or function performing the outsourcing arrangement. Senior management should ensure that appropriate and timely remedial actions are taken to address the audit findings25.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and service providers should have adequate processes in place to ensure that remedial actions are satisfactorily completed. Actions taken by the service provider to address the audit findings should be appropriately validated by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before closure. Where necessary, the relevant persons who possess the requisite knowledge and skills should be involved to validate the effectiveness of the security and control measures taken.</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24</w:t>
            </w:r>
            <w:r>
              <w:rPr>
                <w:rFonts w:asciiTheme="majorHAnsi" w:hAnsiTheme="majorHAnsi" w:cstheme="majorHAnsi"/>
                <w:sz w:val="16"/>
                <w:szCs w:val="16"/>
              </w:rPr>
              <w:t xml:space="preserve"> – While audits need not be procured by </w:t>
            </w:r>
            <w:r>
              <w:rPr>
                <w:rFonts w:asciiTheme="majorHAnsi" w:hAnsiTheme="majorHAnsi" w:cstheme="majorHAnsi"/>
                <w:highlight w:val="yellow"/>
                <w:sz w:val="16"/>
                <w:szCs w:val="16"/>
              </w:rPr>
              <w:t xml:space="preserve">institutions</w:t>
            </w:r>
            <w:r>
              <w:rPr>
                <w:rFonts w:asciiTheme="majorHAnsi" w:hAnsiTheme="majorHAnsi" w:cstheme="majorHAnsi"/>
                <w:sz w:val="16"/>
                <w:szCs w:val="16"/>
              </w:rPr>
              <w:t xml:space="preserve">, </w:t>
            </w:r>
            <w:r>
              <w:rPr>
                <w:rFonts w:asciiTheme="majorHAnsi" w:hAnsiTheme="majorHAnsi" w:cstheme="majorHAnsi"/>
                <w:highlight w:val="yellow"/>
                <w:sz w:val="16"/>
                <w:szCs w:val="16"/>
              </w:rPr>
              <w:t xml:space="preserve">an institution</w:t>
            </w:r>
            <w:r>
              <w:rPr>
                <w:rFonts w:asciiTheme="majorHAnsi" w:hAnsiTheme="majorHAnsi" w:cstheme="majorHAnsi"/>
                <w:sz w:val="16"/>
                <w:szCs w:val="16"/>
              </w:rPr>
              <w:t xml:space="preserve"> should conduct its own audits to supplement the audits performed by the service provider’s auditors, where necessary.</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25</w:t>
            </w:r>
            <w:r>
              <w:rPr>
                <w:rFonts w:asciiTheme="majorHAnsi" w:hAnsiTheme="majorHAnsi" w:cstheme="majorHAnsi"/>
                <w:sz w:val="16"/>
                <w:szCs w:val="16"/>
              </w:rPr>
              <w:t xml:space="preserve"> – Please refer to paragraph 3.1 on Responsibilities of Board and Senior Management.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3.9.5 of the Bank Guidelines corresponds to 5.9.6 of the FI Guidelines, with two differences: the pooled-audit example “(e.g. audits commissioned by multiple Banks using the same service provider)” is Bank-only; and footnote 24 of the Bank Guidelines opens with “While audits need not be procured by banks”, a concession footnote 18 of the FI Guidelines omits.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3.9.6</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Significant issues and concerns should be brought to the attention of the senior management of the Bank and service provider, or to the Bank’s board, where warranted, on a timely basis. Actions should be taken by the Bank to review the outsourcing arrangement if the risk posed is no longer within the Bank’s risk tolerance.</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[5.9.7]</w:t>
            </w:r>
            <w:r>
              <w:rPr>
                <w:rFonts w:asciiTheme="majorHAnsi" w:hAnsiTheme="majorHAnsi" w:cstheme="majorHAnsi"/>
                <w:sz w:val="18"/>
                <w:szCs w:val="18"/>
              </w:rPr>
              <w:t xml:space="preserve"> Significant issues and concerns should be brought to the attention of the senior management of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service provider, or to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board, where warranted, on a timely basis. Actions should be taken by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to review the outsourcing arrangement if the risk posed is no longer within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risk tolerance.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3.9.6 of the Bank Guidelines corresponds verbatim to 5.9.7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3.9.7</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Copies of audit reports should be submitted by the Bank to MAS </w:t>
            </w:r>
            <w:r>
              <w:rPr>
                <w:rFonts w:asciiTheme="majorHAnsi" w:hAnsiTheme="majorHAnsi" w:cstheme="majorHAnsi"/>
                <w:highlight w:val="yellow"/>
                <w:sz w:val="18"/>
                <w:szCs w:val="18"/>
              </w:rPr>
              <w:t xml:space="preserve">upon request</w:t>
            </w:r>
            <w:r>
              <w:rPr>
                <w:rFonts w:asciiTheme="majorHAnsi" w:hAnsiTheme="majorHAnsi" w:cstheme="majorHAnsi"/>
                <w:sz w:val="18"/>
                <w:szCs w:val="18"/>
              </w:rPr>
              <w:t xml:space="preserve">. A Bank should also, upon request, provide MAS with other reports or information on the Bank and service provider that is related to the outsourcing arrangement.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[5.9.8]</w:t>
            </w:r>
            <w:r>
              <w:rPr>
                <w:rFonts w:asciiTheme="majorHAnsi" w:hAnsiTheme="majorHAnsi" w:cstheme="majorHAnsi"/>
                <w:sz w:val="18"/>
                <w:szCs w:val="18"/>
              </w:rPr>
              <w:t xml:space="preserve"> Copies of audit reports should be submitted by the institution to MAS</w:t>
            </w:r>
            <w:r>
              <w:rPr>
                <w:rFonts w:asciiTheme="majorHAnsi" w:hAnsiTheme="majorHAnsi" w:cstheme="majorHAnsi"/>
                <w:highlight w:val="yellow"/>
                <w:sz w:val="18"/>
                <w:szCs w:val="18"/>
              </w:rPr>
              <w:t xml:space="preserve">.</w:t>
            </w:r>
            <w:r>
              <w:rPr>
                <w:rFonts w:asciiTheme="majorHAnsi" w:hAnsiTheme="majorHAnsi" w:cstheme="majorHAnsi"/>
                <w:sz w:val="18"/>
                <w:szCs w:val="18"/>
              </w:rPr>
              <w:t xml:space="preserve"> An institution should also, upon request, provide MAS with other reports or information on the institution and service provider that is related to the outsourcing arrangement.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5.9.8 of the FI Guidelines, save that the FI Guidelines omit “upon request” for audit reports – on its face, the FI expectation to submit audit reports is unconditional. Both retain “upon request” for other reports and information.</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3.9.8</w:t>
            </w:r>
          </w:p>
        </w:tc>
        <w:tc>
          <w:tcPr>
            <w:tcW w:w="5670"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Audits and/or expert assessments performed as part of a certification process (but not self-attestations) may be relied on to meet requirements or expectations on audit</w:t>
            </w:r>
            <w:r>
              <w:rPr>
                <w:rFonts w:asciiTheme="majorHAnsi" w:hAnsiTheme="majorHAnsi" w:cstheme="majorHAnsi"/>
                <w:sz w:val="18"/>
                <w:szCs w:val="18"/>
              </w:rPr>
              <w:t xml:space="preserve"> provided that such audit or assessments are performed by independent and competent auditors. A Bank must also satisfy itself that the audit’s scope and methodology allow the Bank to determine the ability of the service provider to perform the outsourcing arrangement (e.g. design, implementation and effectiveness of controls) and the adequacy of the service provider’s risk management framework and capabilities. Audit reports must fulfil requirements set out in the Notices. </w:t>
            </w:r>
            <w:r>
              <w:rPr>
                <w:rFonts w:asciiTheme="majorHAnsi" w:hAnsiTheme="majorHAnsi" w:cstheme="majorHAnsi"/>
                <w:highlight w:val="yellow"/>
                <w:sz w:val="18"/>
                <w:szCs w:val="18"/>
              </w:rPr>
              <w:t xml:space="preserve">Banks may also rely on pooled audits or third-party certification (of their service providers) performed by independent parties.</w:t>
            </w:r>
          </w:p>
        </w:tc>
        <w:tc>
          <w:tcPr>
            <w:tcW w:w="5731"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FI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equivalent under the FI Guidelines. The FI Guidelines are silent on reliance on certification-based audits, pooled audits and third-party certification.</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3.10</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Outsourcing outside Singapore</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[5.10]</w:t>
            </w:r>
            <w:r>
              <w:rPr>
                <w:rFonts w:asciiTheme="majorHAnsi" w:hAnsiTheme="majorHAnsi" w:cstheme="majorHAnsi"/>
                <w:i/>
                <w:iCs/>
                <w:sz w:val="18"/>
                <w:szCs w:val="18"/>
              </w:rPr>
              <w:t xml:space="preserve"> Outsourcing outside Singapore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5.10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3.10.1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 engagement of a service provider in a foreign country, or an outsourcing arrangement whereby the outsourced function is performed in a foreign country may expose a Bank to country risk - economic, social and political conditions and events in a foreign country that may adversely affect the Bank. Such conditions and events could prevent the service provider from carrying out the terms of its agreement with the Bank. In its risk management of such outsourcing arrangements, a Bank should take into account, as part of its due diligence, and on a continuous basis: (a) government policies; (b) political, social, economic conditions; (c) legal and regulatory developments in the foreign country; and (d) the Bank’s ability to effectively monitor the service provider, and execute its business continuity management plans and exit strategy. A Bank should also be aware of the disaster recovery arrangements and locations established by the service provider in relation to the outsourcing arrangement. As information and data could be moved to primary or backup sites located in foreign countries, the risks associated with the medium of transport, be it physical or electronic, should also be considered.</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[5.10.1]</w:t>
            </w:r>
            <w:r>
              <w:rPr>
                <w:rFonts w:asciiTheme="majorHAnsi" w:hAnsiTheme="majorHAnsi" w:cstheme="majorHAnsi"/>
                <w:sz w:val="18"/>
                <w:szCs w:val="18"/>
              </w:rPr>
              <w:t xml:space="preserve"> The engagement of a service provider in a foreign country, or an outsourcing arrangement whereby the outsourced function is </w:t>
            </w:r>
            <w:r>
              <w:rPr>
                <w:rFonts w:asciiTheme="majorHAnsi" w:hAnsiTheme="majorHAnsi" w:cstheme="majorHAnsi"/>
                <w:highlight w:val="yellow"/>
                <w:sz w:val="18"/>
                <w:szCs w:val="18"/>
              </w:rPr>
              <w:t xml:space="preserve">performed in a foreign country, may expose</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to country risk - economic, social and political conditions and events in a foreign country that may adversely affect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Such conditions and events could prevent the service provider from carrying out the terms of its agreement with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In its risk management of such outsourcing arrangements,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take into account, as part of its due diligence, and on a continuous basis: (a) government policies; (b) political, social, economic conditions; (c) legal and regulatory developments in the foreign country; and (d) the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ability to effectively monitor the service provider, and execute its business continuity management plans and exit strategy.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also be aware of the disaster recovery arrangements and locations established by the service provider in relation to the outsourcing arrangement. As information and data could be moved to primary or backup sites located in foreign countries, the risks associated with the medium of transport, be it physical or electronic, should also be considered.</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3.10.1 of the Bank Guidelines corresponds verbatim to 5.10.1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3.10.2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MOORS with service providers located outside Singapore should be conducted in a manner so as not to hinder MAS’ efforts to supervise the Singapore business activities of the Bank (i.e. from its books, accounts and documents) in a timely manner, in particular: (a) A Bank should, in principle, enter into outsourcing arrangements only with service providers operating in jurisdictions that generally uphold confidentiality clauses and agreements. (b) A Bank should not enter into outsourcing arrangements with service providers in jurisdictions where prompt access to information by MAS or agents appointed by MAS to act on its behalf, at the service provider, may be impeded by legal or administrative restrictions. A Bank must at least commit to retrieve information readily from the service provider should MAS request for such information.</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[5.10.2] </w:t>
            </w:r>
            <w:r>
              <w:rPr>
                <w:rFonts w:asciiTheme="majorHAnsi" w:hAnsiTheme="majorHAnsi" w:cstheme="majorHAnsi"/>
                <w:sz w:val="18"/>
                <w:szCs w:val="18"/>
              </w:rPr>
              <w:t xml:space="preserve">Material outsourcing arrangements with service providers located outside Singapore should be conducted in a manner so as not to hinder MAS’ efforts to supervise the Singapore business activities of the institution (i.e., from its books, accounts and documents) in a timely manner, in particular: (a) An institution should, in principle, enter into outsourcing arrangements only with service providers operating in jurisdictions that generally uphold confidentiality clauses and agreements. (b) An institution should not enter into outsourcing arrangements with service providers in jurisdictions where prompt access to information by MAS or agents appointed by MAS to act on its behalf, at the service provider, may be impeded by legal or administrative restrictions. An institution must at least commit to retrieve information readily from the service provider should MAS request for such information. </w:t>
            </w:r>
            <w:r>
              <w:rPr>
                <w:rFonts w:asciiTheme="majorHAnsi" w:hAnsiTheme="majorHAnsi" w:cstheme="majorHAnsi"/>
                <w:highlight w:val="yellow"/>
                <w:sz w:val="18"/>
                <w:szCs w:val="18"/>
              </w:rPr>
              <w:t xml:space="preserve">The institution should confirm in writing to MAS, that the institution has provided, in its outsourcing agreements, for MAS to have the rights of inspecting the service provider, as well as the rights of access to the institution and service provider’s information, reports and findings related to the outsourcing arrangement, as set out in paragraph 5.9.</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(c) An institution should notify MAS if any overseas authority were to seek access to its customer information or if a situation were to arise where the rights of access of the institution and MAS set out in paragraph 5.9, have been restricted or denied.</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3.10.2 of the Bank Guidelines corresponds to 5.10.2(a) and the first part of 5.10.2(b) of the FI Guidelines. Two FI-only additions: the institution should confirm in writing to MAS that its agreements provide MAS the inspection and access rights in 5.9; and item (c) requires notification to MAS if any overseas authority seeks access to customer information, or if the access rights of the institution and MAS are restricted or denied. Neither appears in the Bank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3.11</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Outsourcing within a Group</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[5.11]</w:t>
            </w:r>
            <w:r>
              <w:rPr>
                <w:rFonts w:asciiTheme="majorHAnsi" w:hAnsiTheme="majorHAnsi" w:cstheme="majorHAnsi"/>
                <w:i/>
                <w:iCs/>
                <w:sz w:val="18"/>
                <w:szCs w:val="18"/>
              </w:rPr>
              <w:t xml:space="preserve"> Outsourcing within a Group</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5.11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3.11.1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These Guidelines are applicable to outsourcing arrangements with parties within a Bank’s group, </w:t>
            </w:r>
            <w:r>
              <w:rPr>
                <w:rFonts w:asciiTheme="majorHAnsi" w:hAnsiTheme="majorHAnsi" w:cstheme="majorHAnsi"/>
                <w:highlight w:val="yellow"/>
                <w:sz w:val="18"/>
                <w:szCs w:val="18"/>
              </w:rPr>
              <w:t xml:space="preserve">including subsidiaries of Singapore-incorporated banks</w:t>
            </w:r>
            <w:r>
              <w:rPr>
                <w:rFonts w:asciiTheme="majorHAnsi" w:hAnsiTheme="majorHAnsi" w:cstheme="majorHAnsi"/>
                <w:sz w:val="18"/>
                <w:szCs w:val="18"/>
              </w:rPr>
              <w:t xml:space="preserve">. The expectations may be addressed within group-wide risk management policies and procedure. The Bank would be expected to provide, when requested, information demonstrating the structure and processes by which its board and senior management discharge their role in the oversight and management of outsourcing risks on a group-wide basis. For a Bank incorporated or established outside Singapore, the roles and responsibilities of the local management are set out in paragraph 3.1.5.</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[5.11.1]</w:t>
            </w:r>
            <w:r>
              <w:rPr>
                <w:rFonts w:asciiTheme="majorHAnsi" w:hAnsiTheme="majorHAnsi" w:cstheme="majorHAnsi"/>
                <w:sz w:val="18"/>
                <w:szCs w:val="18"/>
              </w:rPr>
              <w:t xml:space="preserve"> These Guidelines are applicable to outsourcing arrangements with parties within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’s group, including subsidiaries of Singapore-incorporated </w:t>
            </w:r>
            <w:r>
              <w:rPr>
                <w:rFonts w:asciiTheme="majorHAnsi" w:hAnsiTheme="majorHAnsi" w:cstheme="majorHAnsi"/>
                <w:highlight w:val="yellow"/>
                <w:sz w:val="18"/>
                <w:szCs w:val="18"/>
              </w:rPr>
              <w:t xml:space="preserve">institutions</w:t>
            </w:r>
            <w:r>
              <w:rPr>
                <w:rFonts w:asciiTheme="majorHAnsi" w:hAnsiTheme="majorHAnsi" w:cstheme="majorHAnsi"/>
                <w:sz w:val="18"/>
                <w:szCs w:val="18"/>
              </w:rPr>
              <w:t xml:space="preserve">. The expectations may be addressed within group-wide risk management policies and procedure.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would be expected to provide, when requested, information demonstrating the structure and processes by which its board and senior management discharge their role in the oversight and management of outsourcing risks on a group-wide basis. For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incorporated or established outside Singapore, the roles and responsibilities of the local management are set out in </w:t>
            </w:r>
            <w:r>
              <w:rPr>
                <w:rFonts w:asciiTheme="majorHAnsi" w:hAnsiTheme="majorHAnsi" w:cstheme="majorHAnsi"/>
                <w:highlight w:val="yellow"/>
                <w:sz w:val="18"/>
                <w:szCs w:val="18"/>
              </w:rPr>
              <w:t xml:space="preserve">paragraph 5.2.5</w:t>
            </w:r>
            <w:r>
              <w:rPr>
                <w:rFonts w:asciiTheme="majorHAnsi" w:hAnsiTheme="majorHAnsi" w:cstheme="majorHAnsi"/>
                <w:sz w:val="18"/>
                <w:szCs w:val="18"/>
              </w:rPr>
              <w:t xml:space="preserv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3.11.1 of the Bank Guidelines corresponds to 5.11.1 of the FI Guidelines, save that the phrase “including subsidiaries of Singapore-incorporated banks” is Bank-only (the FI group-wide duty is at 2.3 of the FI Guidelines instead) and 5.11.1 reads “policies and procedures” (plural).</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3.11.2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Due diligence on an intra-group service provider may take the form of evaluating qualitative aspects of the service provider’s ability to address risks specific to the Bank, particularly those relating to business continuity management, monitoring and control, audit and inspection, including confirmation on the right of access to be provided to MAS, to retain effective supervision over the Bank, and compliance with local regulatory standards. The respective roles and responsibilities of each office in the outsourcing arrangement should be documented in writing in a service level agreement or an equivalent document.</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[5.11.2]</w:t>
            </w:r>
            <w:r>
              <w:rPr>
                <w:rFonts w:asciiTheme="majorHAnsi" w:hAnsiTheme="majorHAnsi" w:cstheme="majorHAnsi"/>
                <w:sz w:val="18"/>
                <w:szCs w:val="18"/>
              </w:rPr>
              <w:t xml:space="preserve"> Due diligence on an intra-group service provider may take the form of evaluating qualitative aspects of the service provider’s ability to address risks specific to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particularly those relating to business continuity management, monitoring and control, audit and inspection, including confirmation on the right of access to be provided to MAS, to retain effective supervision over the </w:t>
            </w:r>
            <w:r>
              <w:rPr>
                <w:rFonts w:asciiTheme="majorHAnsi" w:hAnsiTheme="majorHAnsi" w:cstheme="majorHAnsi"/>
                <w:highlight w:val="yellow"/>
                <w:sz w:val="18"/>
                <w:szCs w:val="18"/>
              </w:rPr>
              <w:t xml:space="preserve">institution</w:t>
            </w:r>
            <w:r>
              <w:rPr>
                <w:rFonts w:asciiTheme="majorHAnsi" w:hAnsiTheme="majorHAnsi" w:cstheme="majorHAnsi"/>
                <w:sz w:val="18"/>
                <w:szCs w:val="18"/>
              </w:rPr>
              <w:t xml:space="preserve">, and compliance with local regulatory standards. The respective roles and responsibilities of each office in the outsourcing arrangement should be documented in writing in a service level agreement or an equivalent document.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3.11.2 of the Bank Guidelines corresponds verbatim to 5.11.2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Outsourcing of Internal Audit to External Auditors</w:t>
            </w:r>
          </w:p>
        </w:tc>
        <w:tc>
          <w:tcPr>
            <w:tcW w:w="5731" w:type="dxa"/>
          </w:tcPr>
          <w:p>
            <w:pPr>
              <w:pStyle w:val="BodyText"/>
              <w:rPr>
                <w:rFonts w:asciiTheme="majorHAnsi" w:hAnsiTheme="majorHAnsi" w:cstheme="majorHAnsi"/>
                <w:sz w:val="18"/>
                <w:szCs w:val="18"/>
              </w:rPr>
            </w:pPr>
            <w:r>
              <w:rPr>
                <w:rFonts w:asciiTheme="majorHAnsi" w:hAnsiTheme="majorHAnsi" w:cstheme="majorHAnsi"/>
                <w:i/>
                <w:iCs/>
                <w:highlight w:val="yellow"/>
                <w:sz w:val="18"/>
                <w:szCs w:val="18"/>
              </w:rPr>
              <w:t xml:space="preserve">[5.12]</w:t>
            </w:r>
            <w:r>
              <w:rPr>
                <w:rFonts w:asciiTheme="majorHAnsi" w:hAnsiTheme="majorHAnsi" w:cstheme="majorHAnsi"/>
                <w:i/>
                <w:iCs/>
                <w:sz w:val="18"/>
                <w:szCs w:val="18"/>
              </w:rPr>
              <w:t xml:space="preserve"> Outsourcing of Internal Audit to External Auditors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Found in 5.12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Where the outsourced service is the internal audit function of a Bank, there are additional issues that a Bank should deliberate upon. One of these is the lack of independence or the appearance of impaired independence, when a service provider is handling multiple engagements for a Bank, such as internal and external audits, and consulting work. There is doubt that the service provider, in its internal audit role, would criticise itself for the quality of the external audit or consultancy services provided to the Bank. In addition, as operations of a Bank could be complex and involve large transaction volumes and amounts, it should ensure service providers have the expertise to adequately complete the engagement. A Bank should address these and other relevant issues before outsourcing the internal audit function. In addition, as a sound practice, a Bank should not outsource its internal audit function to the Bank’s external audit firm26.</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26</w:t>
            </w:r>
            <w:r>
              <w:rPr>
                <w:rFonts w:asciiTheme="majorHAnsi" w:hAnsiTheme="majorHAnsi" w:cstheme="majorHAnsi"/>
                <w:sz w:val="16"/>
                <w:szCs w:val="16"/>
              </w:rPr>
              <w:t xml:space="preserve"> – Any departure from this best practice should remain within the bounds of the applicable ethical standards for the statutory or external auditor.</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[5.12.1]</w:t>
            </w:r>
            <w:r>
              <w:rPr>
                <w:rFonts w:asciiTheme="majorHAnsi" w:hAnsiTheme="majorHAnsi" w:cstheme="majorHAnsi"/>
                <w:sz w:val="18"/>
                <w:szCs w:val="18"/>
              </w:rPr>
              <w:t xml:space="preserve"> Where the outsourced service is the internal audit function of an institution, there are additional issues that an institution should deliberate upon. One of these is the lack of independence or the appearance of impaired independence, when a service provider is handling multiple engagements for an institution, such as internal and external audits, and consulting work. There is doubt that the service provider, in its internal audit role, would criticise itself for the quality of the external audit or consultancy services provided to the institution. In addition, as operations of an institution could be complex and involve large transaction volumes and amounts, it should ensure service providers have the expertise to adequately complete the engagement. An institution should address these and other relevant issues before outsourcing the internal audit function. In addition, as a sound practice, institutions should not outsource their internal audit function to the institution’s external audit firm20.</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20</w:t>
            </w:r>
            <w:r>
              <w:rPr>
                <w:rFonts w:asciiTheme="majorHAnsi" w:hAnsiTheme="majorHAnsi" w:cstheme="majorHAnsi"/>
                <w:sz w:val="16"/>
                <w:szCs w:val="16"/>
              </w:rPr>
              <w:t xml:space="preserve"> – Any departure from this best practice should be </w:t>
            </w:r>
            <w:r>
              <w:rPr>
                <w:rFonts w:asciiTheme="majorHAnsi" w:hAnsiTheme="majorHAnsi" w:cstheme="majorHAnsi"/>
                <w:highlight w:val="yellow"/>
                <w:sz w:val="16"/>
                <w:szCs w:val="16"/>
              </w:rPr>
              <w:t xml:space="preserve">limited to small institutions</w:t>
            </w:r>
            <w:r>
              <w:rPr>
                <w:rFonts w:asciiTheme="majorHAnsi" w:hAnsiTheme="majorHAnsi" w:cstheme="majorHAnsi"/>
                <w:sz w:val="16"/>
                <w:szCs w:val="16"/>
              </w:rPr>
              <w:t xml:space="preserve"> and should remain within the bounds of the applicable ethical standards for the statutory or external auditor.</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3.12.1 of the Bank Guidelines corresponds to 5.12.1 of the FI Guidelines. The departure footnotes differ: footnote 20 of the FI Guidelines limits departures from this best practice to </w:t>
            </w:r>
            <w:r>
              <w:rPr>
                <w:rFonts w:asciiTheme="majorHAnsi" w:hAnsiTheme="majorHAnsi" w:cstheme="majorHAnsi"/>
                <w:highlight w:val="yellow"/>
                <w:sz w:val="18"/>
                <w:szCs w:val="18"/>
              </w:rPr>
              <w:t xml:space="preserve">small institutions</w:t>
            </w:r>
            <w:r>
              <w:rPr>
                <w:rFonts w:asciiTheme="majorHAnsi" w:hAnsiTheme="majorHAnsi" w:cstheme="majorHAnsi"/>
                <w:sz w:val="18"/>
                <w:szCs w:val="18"/>
              </w:rPr>
              <w:t xml:space="preserve">; footnote 26 of the Bank Guidelines contains no size limit.</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Before outsourcing the internal audit function to external auditors, a Bank should satisfy itself that the external auditor would be in compliance with the relevant auditor independence standards of the Singapore accounting profession.</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[5.12.2]</w:t>
            </w:r>
            <w:r>
              <w:rPr>
                <w:rFonts w:asciiTheme="majorHAnsi" w:hAnsiTheme="majorHAnsi" w:cstheme="majorHAnsi"/>
                <w:sz w:val="18"/>
                <w:szCs w:val="18"/>
              </w:rPr>
              <w:t xml:space="preserve"> Before outsourcing the internal audit function to external auditors,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satisfy itself that the external auditor would be in compliance with the relevant auditor independence standards of the Singapore accounting profession.</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3.12.2 of the Bank Guidelines corresponds verbatim to 5.12.2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 Bank should conduct periodic assessments to satisfy itself of the continuing ability of the service provider to perform the internal audit function satisfactorily. These may include assessments that are in line with the Quality Assurance and Improvement Program as per the International Standards for the Professional Practice of Internal Auditing.</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[5.12.3]</w:t>
            </w:r>
            <w:r>
              <w:rPr>
                <w:rFonts w:asciiTheme="majorHAnsi" w:hAnsiTheme="majorHAnsi" w:cstheme="majorHAnsi"/>
                <w:sz w:val="18"/>
                <w:szCs w:val="18"/>
              </w:rPr>
              <w:t xml:space="preserve"> </w:t>
            </w:r>
            <w:r>
              <w:rPr>
                <w:rFonts w:asciiTheme="majorHAnsi" w:hAnsiTheme="majorHAnsi" w:cstheme="majorHAnsi"/>
                <w:highlight w:val="yellow"/>
                <w:sz w:val="18"/>
                <w:szCs w:val="18"/>
              </w:rPr>
              <w:t xml:space="preserve">An institution</w:t>
            </w:r>
            <w:r>
              <w:rPr>
                <w:rFonts w:asciiTheme="majorHAnsi" w:hAnsiTheme="majorHAnsi" w:cstheme="majorHAnsi"/>
                <w:sz w:val="18"/>
                <w:szCs w:val="18"/>
              </w:rPr>
              <w:t xml:space="preserve"> should conduct periodic assessments to satisfy itself of the continuing ability of the service provider to perform the internal audit function satisfactorily. These may include assessments that are in line with the Quality Assurance and Improvement Program as per the International Standards for the Professional Practice of Internal Auditing.</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3.12.3 of the Bank Guidelines corresponds verbatim to 5.12.3 of the FI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1</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Material Outsourcing. 1. A Bank should assess the materiality in an outsourcing arrangement. In assessing materiality, MAS recognises that qualitative judgment is involved and the circumstances faced by Banks may vary. Factors that a Bank should consider include: (a) importance of the business activity to be outsourced (e.g. in terms of contribution to income and profit); (b) potential impact of the outsourcing on earnings, solvency, liquidity, funding and capital, and risk profile; (c) impact on the Bank’s reputation and brand value, and ability to achieve its business objectives, strategy and plans, should the service provider fail to perform the service or encounter a breach of confidentiality or security (e.g. compromise of customer information); (d) impact on the Bank’s customers, should the service provider fail to perform the service or encounter a breach of confidentiality or security; (e) impact on the Bank’s counterparties and the Singapore financial market, should the service provider fail to perform the service; (f) cost of the outsourcing as a proportion of total operating costs of the Bank; (g) cost of outsourcing failure, which will require the Bank to bring the outsourced activity in-house or seek similar service from another service provider, as a proportion of total operating costs of the Bank; (h) aggregate exposure to a particular service provider in cases where the Bank outsources various functions to the same service provider; and (i) ability to maintain appropriate internal controls and meet regulatory requirements, if the service provider faces operational problems. 2. Outsourcing of all or substantially all of its risk management or internal control functions, including compliance, internal audit, financial accounting and actuarial (other than performing certification activities) is to be considered a material outsourcing arrangement. 3. A Bank should undertake periodic reviews of its outsourcing arrangements to identify new outsourcing risks as they arise. An outsourcing arrangement that was previously not material may subsequently become material from incremental services outsourced to the same service provider or an increase in volume or change in nature of the service outsourced to the service provider. Outsourcing risks may also increase when the service provider sub-contracts the service or makes significant changes to its sub-contracting arrangements. 4. A Bank should consider materiality at both the Bank’s level and as a group, i.e. together with the Bank’s branches and corporations under its control.</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 Services wholly provided by Government Technology Agency (GovTech) or agents appointed by GovTech. The full list of services can be found at https://api.singpass.gov.sg/singpass-api-products. 2. Services that are not for the conduct of any financial business of the institution and where the service provider does not receive, handle or have access to the institution’s confidential information or customer information. Examples of such services include cleaning, gardening and pantry services including the maintenance of vending machines.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1 of the Bank Guidelines (Material Outsourcing) is found in Annex 3 of the FI Guidelines, worded identically.</w:t>
            </w:r>
          </w:p>
          <w:p>
            <w:pPr>
              <w:pStyle w:val="BodyText"/>
              <w:rPr>
                <w:rFonts w:asciiTheme="majorHAnsi" w:hAnsiTheme="majorHAnsi" w:cstheme="majorHAnsi"/>
                <w:sz w:val="18"/>
                <w:szCs w:val="18"/>
              </w:rPr>
            </w:pPr>
            <w:r>
              <w:rPr>
                <w:rFonts w:asciiTheme="majorHAnsi" w:hAnsiTheme="majorHAnsi" w:cstheme="majorHAnsi"/>
                <w:sz w:val="18"/>
                <w:szCs w:val="18"/>
              </w:rPr>
              <w:t xml:space="preserve">Annex 1 of the FI Guidelines (Exempted Outsourced Services) has no counterpart in the Bank Guidelines; the Bank exemption list is Annex D of the Notices.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2</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Cloud Computing. 1. Cloud services (CS) are a combination of a business and delivery model that enable on-demand access to a shared pool of resources such as applications, servers, storage and network security. The service is typically delivered in the form of Software as a Service (SaaS), Platform as a Service (PaaS) and Infrastructure as a Service (IaaS). 2. CS can potentially offer a number of advantages, which include economies of scale, cost-savings, access to quality system administration as well as operations that adhere to uniform security standards and best practices. CS may also be used to provide the flexibility and agility for Banks to scale up or pare down on computing resources quickly as usage requirements change, without major hardware and software outlay as well as lead-time. In addition, the distributed nature of CS may enhance system resilience during location-specific disasters or disruptions. 3. It has been noted that more and more Banks are adopting CS to fulfil their business and operational requirements. These CS deployments may be operated in-house or off-premises by service providers. While the latter can take the form of a private</w:t>
            </w:r>
            <w:r>
              <w:rPr>
                <w:rFonts w:asciiTheme="majorHAnsi" w:hAnsiTheme="majorHAnsi" w:cstheme="majorHAnsi"/>
                <w:sz w:val="18"/>
                <w:szCs w:val="18"/>
                <w:vertAlign w:val="superscript"/>
              </w:rPr>
              <w:t xml:space="preserve">27</w:t>
            </w:r>
            <w:r>
              <w:rPr>
                <w:rFonts w:asciiTheme="majorHAnsi" w:hAnsiTheme="majorHAnsi" w:cstheme="majorHAnsi"/>
                <w:sz w:val="18"/>
                <w:szCs w:val="18"/>
              </w:rPr>
              <w:t xml:space="preserve"> or public</w:t>
            </w:r>
            <w:r>
              <w:rPr>
                <w:rFonts w:asciiTheme="majorHAnsi" w:hAnsiTheme="majorHAnsi" w:cstheme="majorHAnsi"/>
                <w:sz w:val="18"/>
                <w:szCs w:val="18"/>
                <w:vertAlign w:val="superscript"/>
              </w:rPr>
              <w:t xml:space="preserve">28</w:t>
            </w:r>
            <w:r>
              <w:rPr>
                <w:rFonts w:asciiTheme="majorHAnsi" w:hAnsiTheme="majorHAnsi" w:cstheme="majorHAnsi"/>
                <w:sz w:val="18"/>
                <w:szCs w:val="18"/>
              </w:rPr>
              <w:t xml:space="preserve"> cloud, there is a growing trend for Banks to adopt a combination of private and public clouds to create a hybrid cloud. The different cloud models provide for distinct operational and security trade-offs. 4. In the recent years, cloud technology has evolved and matured considerably and CS providers have become aware of the technology and security requirements of Banks to protect sensitive customer data. In this regard, a number of CS providers have implemented strong authentication, access controls, tokenisation techniques and data encryption to bolster security to meet Banks’ requirements. 5. MAS considers CS operated by service providers as a form of outsourcing and recognises that Banks may leverage on such a service to enhance their operations and service efficiency while reaping the benefits of CS’ scalable, standardised and secured infrastructure. 6. The types of risks in CS that confront Banks are not distinct from that of other forms of outsourcing arrangements. Banks should perform the necessary due diligence and apply sound governance and risk management practices articulated in this set of Guidelines when subscribing to CS. 7. Banks should be aware of CS’ typical characteristics such as multi-tenancy, data commingling and the higher propensity for processing to be carried out in multiple locations. Hence, Banks should take active steps to address the risks associated with data access, confidentiality, integrity, sovereignty, recoverability, regulatory compliance and auditing. In particular, Banks should ensure that the service provider possesses the ability to clearly identify and segregate customer data using strong physical or logical controls. The service provider should have in place robust access controls to protect customer information and such access controls should survive the tenure of the contract of the CS. 8. Banks are ultimately responsible and accountable for maintaining oversight of CS and managing the attendant risks of adopting CS, as in any other form of outsourcing arrangements. A risk-based approach should be taken by Banks to ensure that the level of oversight and controls are commensurate with the materiality of the risks posed by the CS.</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27</w:t>
            </w:r>
            <w:r>
              <w:rPr>
                <w:rFonts w:asciiTheme="majorHAnsi" w:hAnsiTheme="majorHAnsi" w:cstheme="majorHAnsi"/>
                <w:sz w:val="16"/>
                <w:szCs w:val="16"/>
              </w:rPr>
              <w:t xml:space="preserve"> – A cloud infrastructure operated solely for an organisation.</w:t>
            </w:r>
          </w:p>
          <w:p>
            <w:pPr>
              <w:pStyle w:val="BodyText"/>
              <w:rPr>
                <w:rFonts w:asciiTheme="majorHAnsi" w:hAnsiTheme="majorHAnsi" w:cstheme="majorHAnsi"/>
                <w:sz w:val="16"/>
                <w:szCs w:val="16"/>
              </w:rPr>
            </w:pPr>
            <w:r>
              <w:rPr>
                <w:rFonts w:asciiTheme="majorHAnsi" w:hAnsiTheme="majorHAnsi" w:cstheme="majorHAnsi"/>
                <w:sz w:val="16"/>
                <w:szCs w:val="16"/>
                <w:vertAlign w:val="superscript"/>
              </w:rPr>
              <w:t xml:space="preserve">28</w:t>
            </w:r>
            <w:r>
              <w:rPr>
                <w:rFonts w:asciiTheme="majorHAnsi" w:hAnsiTheme="majorHAnsi" w:cstheme="majorHAnsi"/>
                <w:sz w:val="16"/>
                <w:szCs w:val="16"/>
              </w:rPr>
              <w:t xml:space="preserve"> – A cloud infrastructure made available to the general public or an industry group, and is owned by a third-party service provider.</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 The following are examples of some services that, when performed by a third party, would be regarded as outsourcing arrangements for the purposes of these Guidelines although they are not exhaustive: (a) application processing (e.g. loan origination, credit cards); (b) white-labelling arrangements such as for trading and hedging facilities; (c) middle and back office operations (e.g. electronic funds transfer, payroll processing, custody operations, quality control, purchasing, maintaining the register of participants of a collective investment scheme (CIS) and sending of accounts and reports to CIS participants, order processing, trade settlement and risk management); (d) business continuity and disaster recovery functions and activities; (e) claims administration (e.g. loan negotiations, loan processing, collateral management, collection of bad loans); (f) document processing (e.g. cheques, credit card and bill payments, bank statements, other corporate payments, customer statement printing); (g) information systems hosting (e.g. software-as-a-service, platform-as-a-service, infrastructure-as-a-service); (h) information systems management and maintenance (e.g. data entry and processing, data centres, data centre facilities management, end-user support, local area networks management, help desks, information technology security operations); (i) investment management (e.g. discretionary portfolio management, cash management); (j) management of policy issuance and claims operations by managing agents; (k) manpower management (e.g. benefits and compensation administration, staff appointment, training and development); (l) marketing and research (e.g. product development, data warehousing and mining, media relations, call centres, telemarketing); (m) professional services related to the business activities of the institution (e.g. accounting, internal audit, actuarial, compliance); (n) support services related to archival, storage and destruction of data and records; and (o) calculation of financial benchmarks.</w:t>
            </w:r>
          </w:p>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2. The following arrangements would generally not be considered outsourcing arrangements: (a) Arrangements in which certain industry characteristics require the use of third-party providers — (i) maintenance of custody account with specified custodians as required under Regulation 27 of the Securities and Futures (Licensing and Conduct of Business) Regulations; (ii) telecommunication services and public utilities (e.g. electricity, SMS gateway services); (iii) postal services; (iv) market information services (e.g. Bloomberg, Moody’s, Standard &amp; Poor’s); (v) common network infrastructure (e.g. Visa, MasterCard, MEPS+); (vi) clearing and settlement arrangements between clearing houses and settlement institutions and their members, and similar arrangements between members and non-members; (vii) global financial messaging infrastructure which are subject to oversight by relevant regulators (e.g. SWIFT); and (viii) correspondent banking services. (b) Introducer arrangements and arrangements that pertain to principal-agent relationships — (i) sale of insurance policies by agents, and ancillary services relating to those sales; (ii) acceptance of business by underwriting agents; and (iii) introducer arrangements (where the institution does not have any contractual relationship with customers). (c) Arrangements that the institution is not legally or administratively able to provide — (i) statutory audit and independent audit assessments; (ii) discrete advisory services (e.g. legal opinions, independent appraisals, trustees in bankruptcy, loss adjuster); and independent consulting (e.g. consultancy services for areas which the institution does not have the internal expertise to conduct)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2 of the Bank Guidelines (Cloud Computing) is found in Annex 5 of the FI Guidelines, worded identically.</w:t>
            </w:r>
          </w:p>
          <w:p>
            <w:pPr>
              <w:pStyle w:val="BodyText"/>
              <w:rPr>
                <w:rFonts w:asciiTheme="majorHAnsi" w:hAnsiTheme="majorHAnsi" w:cstheme="majorHAnsi"/>
                <w:sz w:val="18"/>
                <w:szCs w:val="18"/>
              </w:rPr>
            </w:pPr>
            <w:r>
              <w:rPr>
                <w:rFonts w:asciiTheme="majorHAnsi" w:hAnsiTheme="majorHAnsi" w:cstheme="majorHAnsi"/>
                <w:sz w:val="18"/>
                <w:szCs w:val="18"/>
              </w:rPr>
              <w:t xml:space="preserve">Annex 2 of the FI Guidelines (Examples of Outsourcing Arrangements) has no counterpart in the Bank Guidelines; for Banks the equivalent lists appear, in binding form, as Annexes A, B and C of Notice 658.</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3</w:t>
            </w:r>
          </w:p>
        </w:tc>
        <w:tc>
          <w:tcPr>
            <w:tcW w:w="5670"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Applicablity of Notices and Guidelines for Banks to Different Categories of Services [sic, as in the original]. Decision framework over “Relevant Services” as defined in s 47A(12) of the Banking Act 1970 (means any service obtained or received by the bank, other than a service provided in the course of employment by an employee of the bank or a service provided by a director or an officer of the bank in the course of the director’s or officer’s appointment, and does not include any service specified by the Authority by written notice): </w:t>
            </w:r>
            <w:r>
              <w:rPr>
                <w:rFonts w:asciiTheme="majorHAnsi" w:hAnsiTheme="majorHAnsi" w:cstheme="majorHAnsi"/>
                <w:highlight w:val="yellow"/>
                <w:sz w:val="18"/>
                <w:szCs w:val="18"/>
              </w:rPr>
              <w:t xml:space="preserve">1. Non-Outsourced Relevant Services — not subject to Notices and Guidelines; should still be subject to adequate risk management and sound internal controls. 2. Non-Ongoing ORS — not subject to Notices and Guidelines except where the ORS involves disclosure of customer information, in which case Section C of the Notices and the outsourcing-register requirement apply; still subject to adequate risk management and sound internal controls. 3. Non-material Ongoing ORS — subject to the register requirement in the Notices, and Section C where customer information is disclosed; the Bank should implement the Guidelines commensurate with the nature of risks. 4. Material Ongoing ORS (MOORS) — subject to the Notices and the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b/>
                <w:bCs/>
                <w:sz w:val="18"/>
                <w:szCs w:val="18"/>
              </w:rPr>
              <w:t xml:space="preserve">Material Outsourcing</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3 of the FI Guidelines corresponds verbatim to Annex 1 of the Bank Guidelines (quoted above).</w:t>
            </w:r>
          </w:p>
          <w:p>
            <w:pPr>
              <w:pStyle w:val="BodyText"/>
              <w:rPr>
                <w:rFonts w:asciiTheme="majorHAnsi" w:hAnsiTheme="majorHAnsi" w:cstheme="majorHAnsi"/>
                <w:sz w:val="18"/>
                <w:szCs w:val="18"/>
              </w:rPr>
            </w:pPr>
            <w:r>
              <w:rPr>
                <w:rFonts w:asciiTheme="majorHAnsi" w:hAnsiTheme="majorHAnsi" w:cstheme="majorHAnsi"/>
                <w:sz w:val="18"/>
                <w:szCs w:val="18"/>
              </w:rPr>
              <w:t xml:space="preserve">Annex 3 of the Bank Guidelines (applicability of the Notices and Guidelines to categories of relevant services) has no counterpart in the FI Guidelines; the taxonomy only exists because of the Notices and section 47A of the Banking Act.</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4</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 An institution should maintain an updated register of all existing outsourcing arrangements in the format as per the template available from MAS website.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4 of the FI Guidelines has no counterpart in the Bank Guidelines; Banks submit registers per the template link at footnote 21, with register requirements otherwise in the Notices.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5</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b/>
                <w:bCs/>
                <w:sz w:val="18"/>
                <w:szCs w:val="18"/>
              </w:rPr>
              <w:t xml:space="preserve">Cloud Computing</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5 of the FI Guidelines corresponds verbatim to Annex 2 of the Bank Guidelines (quoted above).</w:t>
            </w:r>
          </w:p>
        </w:tc>
      </w:tr>
      <w:tr>
        <w:tc>
          <w:tcPr>
            <w:tcW w:w="625" w:type="dxa"/>
          </w:tcPr>
          <w:p>
            <w:pPr>
              <w:pStyle w:val="BodyText"/>
              <w:rPr>
                <w:rFonts w:asciiTheme="majorHAnsi" w:hAnsiTheme="majorHAnsi" w:cstheme="majorHAnsi"/>
                <w:sz w:val="18"/>
                <w:szCs w:val="18"/>
              </w:rPr>
            </w:pPr>
          </w:p>
        </w:tc>
        <w:tc>
          <w:tcPr>
            <w:tcW w:w="5670" w:type="dxa"/>
          </w:tcPr>
          <w:p>
            <w:pPr>
              <w:pStyle w:val="BodyText"/>
              <w:rPr>
                <w:rFonts w:asciiTheme="majorHAnsi" w:hAnsiTheme="majorHAnsi" w:cstheme="majorHAnsi"/>
                <w:sz w:val="18"/>
                <w:szCs w:val="18"/>
              </w:rPr>
            </w:pPr>
          </w:p>
        </w:tc>
        <w:tc>
          <w:tcPr>
            <w:tcW w:w="5731" w:type="dxa"/>
          </w:tcPr>
          <w:p>
            <w:pPr>
              <w:pStyle w:val="BodyText"/>
              <w:rPr>
                <w:rFonts w:asciiTheme="majorHAnsi" w:hAnsiTheme="majorHAnsi" w:cstheme="majorHAnsi"/>
                <w:sz w:val="18"/>
                <w:szCs w:val="18"/>
              </w:rPr>
            </w:pPr>
            <w:r>
              <w:rPr>
                <w:rFonts w:asciiTheme="majorHAnsi" w:hAnsiTheme="majorHAnsi" w:cstheme="majorHAnsi"/>
                <w:b/>
                <w:bCs/>
                <w:sz w:val="18"/>
                <w:szCs w:val="18"/>
              </w:rPr>
              <w:t xml:space="preserve">FI Guidelines with no counterpart in the Bank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These provisions of the FI Guidelines have no comparable provision in the Bank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2.3</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 institution incorporated in Singapore should also consider the impact of outsourcing arrangements by its branches and any corporation under its control, including those located outside Singapore, on its consolidated operations. </w:t>
            </w:r>
            <w:r>
              <w:rPr>
                <w:rFonts w:asciiTheme="majorHAnsi" w:hAnsiTheme="majorHAnsi" w:cstheme="majorHAnsi"/>
                <w:highlight w:val="yellow"/>
                <w:sz w:val="18"/>
                <w:szCs w:val="18"/>
              </w:rPr>
              <w:t xml:space="preserve">Institutions incorporated in Singapore should ensure that these Guidelines are observed by branches and corporations under their control by applying a group-wide outsourcing risk management framework that complies with the Guidelines.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Group-wide observance duty for Singapore-incorporated institutions.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4.1.3</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MAS may require an institution to </w:t>
            </w:r>
            <w:r>
              <w:rPr>
                <w:rFonts w:asciiTheme="majorHAnsi" w:hAnsiTheme="majorHAnsi" w:cstheme="majorHAnsi"/>
                <w:highlight w:val="yellow"/>
                <w:sz w:val="18"/>
                <w:szCs w:val="18"/>
              </w:rPr>
              <w:t xml:space="preserve">modify, make alternative arrangements or re-integrate an outsourced service into the institution</w:t>
            </w:r>
            <w:r>
              <w:rPr>
                <w:rFonts w:asciiTheme="majorHAnsi" w:hAnsiTheme="majorHAnsi" w:cstheme="majorHAnsi"/>
                <w:sz w:val="18"/>
                <w:szCs w:val="18"/>
              </w:rPr>
              <w:t xml:space="preserve"> where one of the following circumstances arises: (a) An institution fails or is unable to demonstrate a satisfactory level of understanding of the nature and extent of risk arising from the outsourcing arrangement; (b) An institution fails or is unable to implement adequate measures to address the risks arising from its outsourcing arrangements in a satisfactory and timely manner; (c) Adverse developments arise from the outsourcing arrangement that could impact an institution; (d) </w:t>
            </w:r>
            <w:r>
              <w:rPr>
                <w:rFonts w:asciiTheme="majorHAnsi" w:hAnsiTheme="majorHAnsi" w:cstheme="majorHAnsi"/>
                <w:highlight w:val="yellow"/>
                <w:sz w:val="18"/>
                <w:szCs w:val="18"/>
              </w:rPr>
              <w:t xml:space="preserve">MAS’ supervisory powers over the institution and ability to carry out MAS’ supervisory functions in respect of the institution’s services are hindered</w:t>
            </w:r>
            <w:r>
              <w:rPr>
                <w:rFonts w:asciiTheme="majorHAnsi" w:hAnsiTheme="majorHAnsi" w:cstheme="majorHAnsi"/>
                <w:sz w:val="18"/>
                <w:szCs w:val="18"/>
              </w:rPr>
              <w:t xml:space="preserve">; or (e) </w:t>
            </w:r>
            <w:r>
              <w:rPr>
                <w:rFonts w:asciiTheme="majorHAnsi" w:hAnsiTheme="majorHAnsi" w:cstheme="majorHAnsi"/>
                <w:highlight w:val="yellow"/>
                <w:sz w:val="18"/>
                <w:szCs w:val="18"/>
              </w:rPr>
              <w:t xml:space="preserve">The security and confidentiality of the institution’s customer information is lowered due to changes in the control environment of the service provider</w:t>
            </w:r>
            <w:r>
              <w:rPr>
                <w:rFonts w:asciiTheme="majorHAnsi" w:hAnsiTheme="majorHAnsi" w:cstheme="majorHAnsi"/>
                <w:sz w:val="18"/>
                <w:szCs w:val="18"/>
              </w:rPr>
              <w:t xml:space="preserv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MAS may require modification, alternative arrangements or re-integration. Closest Bank analogue is 3.4.5–3.4.6.</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5.1.1</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In supervising an institution, MAS will review its implementation of these Guidelines, the quality of its board and senior management oversight and governance, internal controls and risk management with regard to managing outsourcing risks.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Supervisory overview; folded into 2.1 of the Bank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Section 3</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Definitions</w:t>
            </w:r>
            <w:r>
              <w:rPr>
                <w:rFonts w:asciiTheme="majorHAnsi" w:hAnsiTheme="majorHAnsi" w:cstheme="majorHAnsi"/>
                <w:sz w:val="18"/>
                <w:szCs w:val="18"/>
              </w:rPr>
              <w:t xml:space="preserve"> – the FI Guidelines contain a full glossary; the full text appears at row 3.1 above. The Bank Guidelines rely on the definitions in Notices 658 and 1121.</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No Definitions section in the Bank Guidelines.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5.2.5</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For an institution incorporated or established outside Singapore, the functions of the board described in paragraph 5.2.2 may be delegated to and performed by a management committee or body beyond local management that is charged to functionally oversee and supervise the local office (e.g. a regional risk management committee).</w:t>
            </w:r>
            <w:r>
              <w:rPr>
                <w:rFonts w:asciiTheme="majorHAnsi" w:hAnsiTheme="majorHAnsi" w:cstheme="majorHAnsi"/>
                <w:sz w:val="18"/>
                <w:szCs w:val="18"/>
              </w:rPr>
              <w:t xml:space="preserve"> (opening sentence)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Delegation of board functions for foreign-incorporated institutions.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5.5.2(j)</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sub-contracting appears as an express item (j) of the outsourcing-agreement checklist.</w:t>
            </w:r>
            <w:r>
              <w:rPr>
                <w:rFonts w:asciiTheme="majorHAnsi" w:hAnsiTheme="majorHAnsi" w:cstheme="majorHAnsi"/>
                <w:sz w:val="18"/>
                <w:szCs w:val="18"/>
              </w:rPr>
              <w:t xml:space="preserve"> The equivalent Bank content is in section 3.5.</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Its presence as a checklist item is FI-only.</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5.8.2(d)</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Periodic reviews, at least on an annual basis, on all material outsourcing arrangements … to ensure that the institution’s outsourcing risk management policies and procedures, and these Guidelines, are effectively implemented …</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Annual review; periodic-review obligations for Banks are in the Notices.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5.9.2(b)</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allow MAS, or any agent appointed by MAS … to exercise the contractual rights of the institution to access and inspect the service provider and its sub-contractors, and access any report and finding …</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Contractual MAS access; for Banks this is statutory (s 47A(10) Banking Act).</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5.9.3</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clauses that require the service provider to comply … with any request from MAS or the institution … to submit any reports on the security and control environment … to MAS …</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Service provider reports to MAS.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5.10.2(b)–(c)</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written confirmation to MAS that the agreements provide MAS the rights of inspection and access in 5.9; and notification to MAS if an overseas authority seeks access to customer information, or if the access rights of the institution and MAS are restricted or denied.</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Confirmation and notification for overseas outsourcing.</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1</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 Services wholly provided by Government Technology Agency (GovTech) or agents appointed by GovTech. The full list of services can be found at https://api.singpass.gov.sg/singpass-api-products. 2. Services that are not for the conduct of any financial business of the institution and where the service provider does not receive, handle or have access to the institution’s confidential information or customer information. Examples of such services include cleaning, gardening and pantry services including the maintenance of vending machines.</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Exempted outsourced services; the Bank exemption list is Annex D of the Notices.</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2</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 The following are examples of some services that, when performed by a third party, would be regarded as outsourcing arrangements for the purposes of these Guidelines although they are not exhaustive: (a) application processing (e.g. loan origination, credit cards); (b) white-labelling arrangements such as for trading and hedging facilities; (c) middle and back office operations (e.g. electronic funds transfer, payroll processing, custody operations, quality control, purchasing, maintaining the register of participants of a collective investment scheme (CIS) and sending of accounts and reports to CIS participants, order processing, trade settlement and risk management); (d) business continuity and disaster recovery functions and activities; (e) claims administration (e.g. loan negotiations, loan processing, collateral management, collection of bad loans); (f) document processing (e.g. cheques, credit card and bill payments, bank statements, other corporate payments, customer statement printing); (g) information systems hosting (e.g. software-as-a-service, platform-as-a-service, infrastructure-as-a-service); (h) information systems management and maintenance (e.g. data entry and processing, data centres, data centre facilities management, end-user support, local area networks management, help desks, information technology security operations); (i) investment management (e.g. discretionary portfolio management, cash management); (j) management of policy issuance and claims operations by managing agents; (k) manpower management (e.g. benefits and compensation administration, staff appointment, training and development); (l) marketing and research (e.g. product development, data warehousing and mining, media relations, call centres, telemarketing); (m) professional services related to the business activities of the institution (e.g. accounting, internal audit, actuarial, compliance); (n) support services related to archival, storage and destruction of data and records; and (o) calculation of financial benchmarks.</w:t>
            </w:r>
          </w:p>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2. The following arrangements would generally not be considered outsourcing arrangements: (a) Arrangements in which certain industry characteristics require the use of third-party providers — (i) maintenance of custody account with specified custodians as required under Regulation 27 of the Securities and Futures (Licensing and Conduct of Business) Regulations; (ii) telecommunication services and public utilities (e.g. electricity, SMS gateway services); (iii) postal services; (iv) market information services (e.g. Bloomberg, Moody’s, Standard &amp; Poor’s); (v) common network infrastructure (e.g. Visa, MasterCard, MEPS+); (vi) clearing and settlement arrangements between clearing houses and settlement institutions and their members, and similar arrangements between members and non-members; (vii) global financial messaging infrastructure which are subject to oversight by relevant regulators (e.g. SWIFT); and (viii) correspondent banking services. (b) Introducer arrangements and arrangements that pertain to principal-agent relationships — (i) sale of insurance policies by agents, and ancillary services relating to those sales; (ii) acceptance of business by underwriting agents; and (iii) introducer arrangements (where the institution does not have any contractual relationship with customers). (c) Arrangements that the institution is not legally or administratively able to provide — (i) statutory audit and independent audit assessments; (ii) discrete advisory services (e.g. legal opinions, independent appraisals, trustees in bankruptcy, loss adjuster); and independent consulting (e.g. consultancy services for areas which the institution does not have the internal expertise to conduct)</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Examples of outsourcing arrangements; for Banks the equivalent is Annexes A–C of Notice 658.</w:t>
            </w:r>
          </w:p>
        </w:tc>
      </w:tr>
      <w:tr>
        <w:tc>
          <w:tcPr>
            <w:tcW w:w="625"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Annex 4</w:t>
            </w:r>
          </w:p>
        </w:tc>
        <w:tc>
          <w:tcPr>
            <w:tcW w:w="5670" w:type="dxa"/>
          </w:tcPr>
          <w:p>
            <w:pPr>
              <w:pStyle w:val="BodyText"/>
              <w:rPr>
                <w:rFonts w:asciiTheme="majorHAnsi" w:hAnsiTheme="majorHAnsi" w:cstheme="majorHAnsi"/>
                <w:sz w:val="18"/>
                <w:szCs w:val="18"/>
              </w:rPr>
            </w:pPr>
            <w:r>
              <w:rPr>
                <w:rFonts w:asciiTheme="majorHAnsi" w:hAnsiTheme="majorHAnsi" w:cstheme="majorHAnsi"/>
                <w:i/>
                <w:iCs/>
                <w:sz w:val="18"/>
                <w:szCs w:val="18"/>
              </w:rPr>
              <w:t xml:space="preserve">No provision here under the Bank Guidelines.</w:t>
            </w:r>
          </w:p>
        </w:tc>
        <w:tc>
          <w:tcPr>
            <w:tcW w:w="5731" w:type="dxa"/>
          </w:tcPr>
          <w:p>
            <w:pPr>
              <w:pStyle w:val="BodyText"/>
              <w:rPr>
                <w:rFonts w:asciiTheme="majorHAnsi" w:hAnsiTheme="majorHAnsi" w:cstheme="majorHAnsi"/>
                <w:sz w:val="18"/>
                <w:szCs w:val="18"/>
              </w:rPr>
            </w:pPr>
            <w:r>
              <w:rPr>
                <w:rFonts w:asciiTheme="majorHAnsi" w:hAnsiTheme="majorHAnsi" w:cstheme="majorHAnsi"/>
                <w:highlight w:val="yellow"/>
                <w:sz w:val="18"/>
                <w:szCs w:val="18"/>
              </w:rPr>
              <w:t xml:space="preserve">1. An institution should maintain an updated register of all existing outsourcing arrangements in the format as per the template available from MAS website.</w:t>
            </w:r>
          </w:p>
        </w:tc>
        <w:tc>
          <w:tcPr>
            <w:tcW w:w="2189" w:type="dxa"/>
          </w:tcPr>
          <w:p>
            <w:pPr>
              <w:pStyle w:val="BodyText"/>
              <w:rPr>
                <w:rFonts w:asciiTheme="majorHAnsi" w:hAnsiTheme="majorHAnsi" w:cstheme="majorHAnsi"/>
                <w:sz w:val="18"/>
                <w:szCs w:val="18"/>
              </w:rPr>
            </w:pPr>
            <w:r>
              <w:rPr>
                <w:rFonts w:asciiTheme="majorHAnsi" w:hAnsiTheme="majorHAnsi" w:cstheme="majorHAnsi"/>
                <w:sz w:val="18"/>
                <w:szCs w:val="18"/>
              </w:rPr>
              <w:t xml:space="preserve">Register of outsourcing arrangements.</w:t>
            </w:r>
          </w:p>
        </w:tc>
      </w:tr>
    </w:tbl>
    <w:p w14:paraId="422A2D5F" w14:textId="77777777" w:rsidR="00E0177B" w:rsidRPr="00692871" w:rsidRDefault="00E0177B">
      <w:pPr>
        <w:spacing w:after="240" w:line="276" w:lineRule="auto"/>
        <w:rPr>
          <w:rFonts w:asciiTheme="majorHAnsi" w:hAnsiTheme="majorHAnsi" w:cstheme="majorHAnsi"/>
          <w:b/>
          <w:bCs/>
          <w:sz w:val="18"/>
          <w:szCs w:val="18"/>
        </w:rPr>
      </w:pPr>
      <w:r>
        <w:rPr>
          <w:rFonts w:asciiTheme="majorHAnsi" w:hAnsiTheme="majorHAnsi" w:cstheme="majorHAnsi"/>
          <w:sz w:val="18"/>
          <w:szCs w:val="18"/>
        </w:rPr>
        <w:br w:type="page"/>
      </w:r>
    </w:p>
    <w:p w14:paraId="2B0B9803" w14:textId="4E0F2583" w:rsidR="008B44E5" w:rsidRDefault="008B44E5">
      <w:pPr>
        <w:spacing w:after="240" w:line="276" w:lineRule="auto"/>
        <w:rPr>
          <w:rFonts w:asciiTheme="majorHAnsi" w:hAnsiTheme="majorHAnsi" w:cstheme="majorHAnsi"/>
          <w:b/>
          <w:bCs/>
          <w:sz w:val="18"/>
          <w:szCs w:val="18"/>
        </w:rPr>
      </w:pPr>
      <w:bookmarkStart w:id="3" w:name="SYSC"/>
      <w:bookmarkEnd w:id="3"/>
    </w:p>
    <w:sectPr w:rsidR="008B44E5" w:rsidSect="00B90CC3">
      <w:headerReference w:type="default" r:id="rId13"/>
      <w:footerReference w:type="even" r:id="rId14"/>
      <w:footerReference w:type="default" r:id="rId15"/>
      <w:footerReference w:type="first" r:id="rId16"/>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760B7" w14:textId="77777777" w:rsidR="003E1BA7" w:rsidRDefault="003E1BA7">
      <w:r>
        <w:separator/>
      </w:r>
    </w:p>
  </w:endnote>
  <w:endnote w:type="continuationSeparator" w:id="0">
    <w:p w14:paraId="4128A2FF" w14:textId="77777777" w:rsidR="003E1BA7" w:rsidRDefault="003E1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AG Rounded LT Pro Light">
    <w:altName w:val="Calibri"/>
    <w:charset w:val="00"/>
    <w:family w:val="auto"/>
    <w:pitch w:val="variable"/>
    <w:sig w:usb0="00000001" w:usb1="5000205A"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8D24" w14:textId="2B3EFFB2" w:rsidR="00FF0F02" w:rsidRDefault="00FF0F02">
    <w:pPr>
      <w:pStyle w:val="Footer"/>
    </w:pPr>
    <w:r>
      <w:rPr>
        <w:noProof/>
      </w:rPr>
      <mc:AlternateContent>
        <mc:Choice Requires="wps">
          <w:drawing>
            <wp:anchor distT="0" distB="0" distL="0" distR="0" simplePos="0" relativeHeight="251659264" behindDoc="0" locked="0" layoutInCell="1" allowOverlap="1" wp14:anchorId="2AE40FA8" wp14:editId="0F02D0A2">
              <wp:simplePos x="635" y="635"/>
              <wp:positionH relativeFrom="page">
                <wp:align>left</wp:align>
              </wp:positionH>
              <wp:positionV relativeFrom="page">
                <wp:align>bottom</wp:align>
              </wp:positionV>
              <wp:extent cx="443865" cy="443865"/>
              <wp:effectExtent l="0" t="0" r="6985" b="0"/>
              <wp:wrapNone/>
              <wp:docPr id="2" name="Text Box 2" descr="NTAC:3NS-20">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89BD2A" w14:textId="0B2AD9B7" w:rsidR="00FF0F02" w:rsidRPr="00FF0F02" w:rsidRDefault="00FF0F02" w:rsidP="00FF0F02">
                          <w:pPr>
                            <w:rPr>
                              <w:rFonts w:ascii="Calibri" w:eastAsia="Calibri" w:hAnsi="Calibri" w:cs="Calibri"/>
                              <w:noProof/>
                              <w:color w:val="008000"/>
                            </w:rPr>
                          </w:pPr>
                          <w:r w:rsidRPr="00FF0F02">
                            <w:rPr>
                              <w:rFonts w:ascii="Calibri" w:eastAsia="Calibri" w:hAnsi="Calibri" w:cs="Calibri"/>
                              <w:noProof/>
                              <w:color w:val="008000"/>
                            </w:rPr>
                            <w:t>NTAC:3NS-20</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E40FA8" id="_x0000_t202" coordsize="21600,21600" o:spt="202" path="m,l,21600r21600,l21600,xe">
              <v:stroke joinstyle="miter"/>
              <v:path gradientshapeok="t" o:connecttype="rect"/>
            </v:shapetype>
            <v:shape id="Text Box 2" o:spid="_x0000_s1026" type="#_x0000_t202" alt="NTAC:3NS-20"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3C89BD2A" w14:textId="0B2AD9B7" w:rsidR="00FF0F02" w:rsidRPr="00FF0F02" w:rsidRDefault="00FF0F02" w:rsidP="00FF0F02">
                    <w:pPr>
                      <w:rPr>
                        <w:rFonts w:ascii="Calibri" w:eastAsia="Calibri" w:hAnsi="Calibri" w:cs="Calibri"/>
                        <w:noProof/>
                        <w:color w:val="008000"/>
                      </w:rPr>
                    </w:pPr>
                    <w:r w:rsidRPr="00FF0F02">
                      <w:rPr>
                        <w:rFonts w:ascii="Calibri" w:eastAsia="Calibri" w:hAnsi="Calibri" w:cs="Calibri"/>
                        <w:noProof/>
                        <w:color w:val="008000"/>
                      </w:rPr>
                      <w:t>NTAC:3NS-20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3AF8" w14:textId="7FCB9CCF" w:rsidR="001372C9" w:rsidRDefault="00FF0F02">
    <w:pPr>
      <w:pStyle w:val="Footer"/>
      <w:tabs>
        <w:tab w:val="clear" w:pos="4513"/>
        <w:tab w:val="clear" w:pos="9026"/>
        <w:tab w:val="right" w:pos="3098"/>
        <w:tab w:val="right" w:pos="6142"/>
      </w:tabs>
    </w:pPr>
    <w:r>
      <w:rPr>
        <w:noProof/>
      </w:rPr>
      <mc:AlternateContent>
        <mc:Choice Requires="wps">
          <w:drawing>
            <wp:anchor distT="0" distB="0" distL="0" distR="0" simplePos="0" relativeHeight="251660288" behindDoc="0" locked="0" layoutInCell="1" allowOverlap="1" wp14:anchorId="414B9CB9" wp14:editId="4FD06A04">
              <wp:simplePos x="914400" y="6878320"/>
              <wp:positionH relativeFrom="page">
                <wp:align>left</wp:align>
              </wp:positionH>
              <wp:positionV relativeFrom="page">
                <wp:align>bottom</wp:align>
              </wp:positionV>
              <wp:extent cx="443865" cy="443865"/>
              <wp:effectExtent l="0" t="0" r="6985" b="0"/>
              <wp:wrapNone/>
              <wp:docPr id="3" name="Text Box 3" descr="NTAC:3NS-20">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251C8A" w14:textId="49C4B339" w:rsidR="00FF0F02" w:rsidRPr="00FF0F02" w:rsidRDefault="00FF0F02" w:rsidP="00FF0F02">
                          <w:pPr>
                            <w:rPr>
                              <w:rFonts w:ascii="Calibri" w:eastAsia="Calibri" w:hAnsi="Calibri" w:cs="Calibri"/>
                              <w:noProof/>
                              <w:color w:val="008000"/>
                            </w:rPr>
                          </w:pPr>
                          <w:r w:rsidRPr="00FF0F02">
                            <w:rPr>
                              <w:rFonts w:ascii="Calibri" w:eastAsia="Calibri" w:hAnsi="Calibri" w:cs="Calibri"/>
                              <w:noProof/>
                              <w:color w:val="008000"/>
                            </w:rPr>
                            <w:t>NTAC:3NS-20</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4B9CB9" id="_x0000_t202" coordsize="21600,21600" o:spt="202" path="m,l,21600r21600,l21600,xe">
              <v:stroke joinstyle="miter"/>
              <v:path gradientshapeok="t" o:connecttype="rect"/>
            </v:shapetype>
            <v:shape id="Text Box 3" o:spid="_x0000_s1027" type="#_x0000_t202" alt="NTAC:3NS-20"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2B251C8A" w14:textId="49C4B339" w:rsidR="00FF0F02" w:rsidRPr="00FF0F02" w:rsidRDefault="00FF0F02" w:rsidP="00FF0F02">
                    <w:pPr>
                      <w:rPr>
                        <w:rFonts w:ascii="Calibri" w:eastAsia="Calibri" w:hAnsi="Calibri" w:cs="Calibri"/>
                        <w:noProof/>
                        <w:color w:val="008000"/>
                      </w:rPr>
                    </w:pPr>
                    <w:r w:rsidRPr="00FF0F02">
                      <w:rPr>
                        <w:rFonts w:ascii="Calibri" w:eastAsia="Calibri" w:hAnsi="Calibri" w:cs="Calibri"/>
                        <w:noProof/>
                        <w:color w:val="008000"/>
                      </w:rPr>
                      <w:t>NTAC:3NS-20</w:t>
                    </w:r>
                  </w:p>
                </w:txbxContent>
              </v:textbox>
              <w10:wrap anchorx="page" anchory="page"/>
            </v:shape>
          </w:pict>
        </mc:Fallback>
      </mc:AlternateContent>
    </w:r>
    <w:r w:rsidR="00EC17DC">
      <w:t>13 January 2025</w:t>
    </w:r>
  </w:p>
  <w:p w14:paraId="26CD18C8" w14:textId="40D5C671" w:rsidR="001372C9" w:rsidRDefault="00000000">
    <w:pPr>
      <w:pStyle w:val="Footer"/>
      <w:tabs>
        <w:tab w:val="clear" w:pos="4513"/>
        <w:tab w:val="clear" w:pos="9026"/>
      </w:tabs>
    </w:pPr>
    <w:sdt>
      <w:sdtPr>
        <w:alias w:val="Outline Content"/>
        <w:tag w:val="CF7E35E163E14BC9B0FC6A98EE2CB1EB"/>
        <w:id w:val="318247441"/>
        <w:placeholder>
          <w:docPart w:val="8D5562405C4047B68A57B81B283E3E5D"/>
        </w:placeholder>
        <w:showingPlcHdr/>
      </w:sdtPr>
      <w:sdtContent/>
    </w:sdt>
    <w:r w:rsidR="005B5D94">
      <w:ptab w:relativeTo="margin" w:alignment="right" w:leader="none"/>
    </w:r>
    <w:sdt>
      <w:sdtPr>
        <w:alias w:val="Outline Content"/>
        <w:tag w:val="7B45B71A67584164AF165B4B4E0F59B9"/>
        <w:id w:val="-852097447"/>
        <w:placeholder>
          <w:docPart w:val="BB2DEBFA2C9E431A8CA8D437203CC909"/>
        </w:placeholder>
      </w:sdtPr>
      <w:sdtContent>
        <w:r w:rsidR="000318AE">
          <w:t>Page</w:t>
        </w:r>
      </w:sdtContent>
    </w:sdt>
    <w:r w:rsidR="005B5D94">
      <w:t xml:space="preserve"> </w:t>
    </w:r>
    <w:r w:rsidR="005B5D94">
      <w:rPr>
        <w:rStyle w:val="PageNumber"/>
      </w:rPr>
      <w:fldChar w:fldCharType="begin"/>
    </w:r>
    <w:r w:rsidR="005B5D94">
      <w:rPr>
        <w:rStyle w:val="PageNumber"/>
      </w:rPr>
      <w:instrText xml:space="preserve"> PAGE </w:instrText>
    </w:r>
    <w:r w:rsidR="005B5D94">
      <w:rPr>
        <w:rStyle w:val="PageNumber"/>
      </w:rPr>
      <w:fldChar w:fldCharType="separate"/>
    </w:r>
    <w:r w:rsidR="004E3650">
      <w:rPr>
        <w:rStyle w:val="PageNumber"/>
        <w:noProof/>
      </w:rPr>
      <w:t>1</w:t>
    </w:r>
    <w:r w:rsidR="005B5D94">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D10A" w14:textId="33F9A6B8" w:rsidR="00FF0F02" w:rsidRDefault="00FF0F02">
    <w:pPr>
      <w:pStyle w:val="Footer"/>
    </w:pPr>
    <w:r>
      <w:rPr>
        <w:noProof/>
      </w:rPr>
      <mc:AlternateContent>
        <mc:Choice Requires="wps">
          <w:drawing>
            <wp:anchor distT="0" distB="0" distL="0" distR="0" simplePos="0" relativeHeight="251658240" behindDoc="0" locked="0" layoutInCell="1" allowOverlap="1" wp14:anchorId="0B7DAC3A" wp14:editId="4E9ADF81">
              <wp:simplePos x="635" y="635"/>
              <wp:positionH relativeFrom="page">
                <wp:align>left</wp:align>
              </wp:positionH>
              <wp:positionV relativeFrom="page">
                <wp:align>bottom</wp:align>
              </wp:positionV>
              <wp:extent cx="443865" cy="443865"/>
              <wp:effectExtent l="0" t="0" r="6985" b="0"/>
              <wp:wrapNone/>
              <wp:docPr id="1" name="Text Box 1" descr="NTAC:3NS-20">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2F21E2" w14:textId="2E33C25B" w:rsidR="00FF0F02" w:rsidRPr="00FF0F02" w:rsidRDefault="00FF0F02" w:rsidP="00FF0F02">
                          <w:pPr>
                            <w:rPr>
                              <w:rFonts w:ascii="Calibri" w:eastAsia="Calibri" w:hAnsi="Calibri" w:cs="Calibri"/>
                              <w:noProof/>
                              <w:color w:val="008000"/>
                            </w:rPr>
                          </w:pPr>
                          <w:r w:rsidRPr="00FF0F02">
                            <w:rPr>
                              <w:rFonts w:ascii="Calibri" w:eastAsia="Calibri" w:hAnsi="Calibri" w:cs="Calibri"/>
                              <w:noProof/>
                              <w:color w:val="008000"/>
                            </w:rPr>
                            <w:t>NTAC:3NS-20</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7DAC3A" id="_x0000_t202" coordsize="21600,21600" o:spt="202" path="m,l,21600r21600,l21600,xe">
              <v:stroke joinstyle="miter"/>
              <v:path gradientshapeok="t" o:connecttype="rect"/>
            </v:shapetype>
            <v:shape id="Text Box 1" o:spid="_x0000_s1028" type="#_x0000_t202" alt="NTAC:3NS-20"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F2F21E2" w14:textId="2E33C25B" w:rsidR="00FF0F02" w:rsidRPr="00FF0F02" w:rsidRDefault="00FF0F02" w:rsidP="00FF0F02">
                    <w:pPr>
                      <w:rPr>
                        <w:rFonts w:ascii="Calibri" w:eastAsia="Calibri" w:hAnsi="Calibri" w:cs="Calibri"/>
                        <w:noProof/>
                        <w:color w:val="008000"/>
                      </w:rPr>
                    </w:pPr>
                    <w:r w:rsidRPr="00FF0F02">
                      <w:rPr>
                        <w:rFonts w:ascii="Calibri" w:eastAsia="Calibri" w:hAnsi="Calibri" w:cs="Calibri"/>
                        <w:noProof/>
                        <w:color w:val="008000"/>
                      </w:rPr>
                      <w:t>NTAC:3NS-20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92F12" w14:textId="77777777" w:rsidR="003E1BA7" w:rsidRDefault="003E1BA7">
      <w:r>
        <w:separator/>
      </w:r>
    </w:p>
  </w:footnote>
  <w:footnote w:type="continuationSeparator" w:id="0">
    <w:p w14:paraId="16AE9C4E" w14:textId="77777777" w:rsidR="003E1BA7" w:rsidRDefault="003E1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58EA" w14:textId="67028423" w:rsidR="00E84036" w:rsidRPr="00AF4A19" w:rsidRDefault="00AF4A19" w:rsidP="00E84036">
    <w:pPr>
      <w:pStyle w:val="Header"/>
      <w:rPr>
        <w:b/>
        <w:bCs/>
      </w:rPr>
    </w:pPr>
    <w:r>
      <w:rPr>
        <w:b/>
        <w:bCs/>
      </w:rPr>
      <w:tab/>
    </w:r>
    <w:r>
      <w:rPr>
        <w:b/>
        <w:bCs/>
      </w:rPr>
      <w:tab/>
    </w:r>
    <w:r>
      <w:rPr>
        <w:b/>
        <w:bCs/>
      </w:rPr>
      <w:tab/>
    </w:r>
    <w:r>
      <w:rPr>
        <w:b/>
        <w:bCs/>
      </w:rPr>
      <w:tab/>
    </w:r>
  </w:p>
  <w:p w14:paraId="5EBC0011" w14:textId="77777777" w:rsidR="00F9215F" w:rsidRDefault="00F92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2FF"/>
    <w:multiLevelType w:val="hybridMultilevel"/>
    <w:tmpl w:val="3E0E1A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31616"/>
    <w:multiLevelType w:val="hybridMultilevel"/>
    <w:tmpl w:val="4070625C"/>
    <w:lvl w:ilvl="0" w:tplc="C2084C18">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855D4E"/>
    <w:multiLevelType w:val="multilevel"/>
    <w:tmpl w:val="DDD25420"/>
    <w:styleLink w:val="Bullets"/>
    <w:lvl w:ilvl="0">
      <w:start w:val="1"/>
      <w:numFmt w:val="bullet"/>
      <w:pStyle w:val="Bullet"/>
      <w:lvlText w:val=""/>
      <w:lvlJc w:val="left"/>
      <w:pPr>
        <w:ind w:left="720" w:hanging="720"/>
      </w:pPr>
      <w:rPr>
        <w:rFonts w:ascii="Symbol" w:hAnsi="Symbol" w:cs="Symbol"/>
        <w:color w:val="auto"/>
      </w:rPr>
    </w:lvl>
    <w:lvl w:ilvl="1">
      <w:start w:val="1"/>
      <w:numFmt w:val="bullet"/>
      <w:pStyle w:val="Bullet1"/>
      <w:lvlText w:val=""/>
      <w:lvlJc w:val="left"/>
      <w:pPr>
        <w:ind w:left="1440" w:hanging="720"/>
      </w:pPr>
      <w:rPr>
        <w:rFonts w:ascii="Symbol" w:hAnsi="Symbol" w:cs="Times New Roman" w:hint="default"/>
        <w:color w:val="auto"/>
      </w:rPr>
    </w:lvl>
    <w:lvl w:ilvl="2">
      <w:start w:val="1"/>
      <w:numFmt w:val="bullet"/>
      <w:pStyle w:val="Bullet2"/>
      <w:lvlText w:val=""/>
      <w:lvlJc w:val="left"/>
      <w:pPr>
        <w:tabs>
          <w:tab w:val="num" w:pos="2160"/>
        </w:tabs>
        <w:ind w:left="2160" w:hanging="720"/>
      </w:pPr>
      <w:rPr>
        <w:rFonts w:ascii="Symbol" w:hAnsi="Symbol" w:cs="Times New Roman" w:hint="default"/>
        <w:color w:val="auto"/>
      </w:rPr>
    </w:lvl>
    <w:lvl w:ilvl="3">
      <w:start w:val="1"/>
      <w:numFmt w:val="bullet"/>
      <w:pStyle w:val="Bullet3"/>
      <w:lvlText w:val=""/>
      <w:lvlJc w:val="left"/>
      <w:pPr>
        <w:tabs>
          <w:tab w:val="num" w:pos="2880"/>
        </w:tabs>
        <w:ind w:left="2880" w:hanging="720"/>
      </w:pPr>
      <w:rPr>
        <w:rFonts w:ascii="Symbol" w:hAnsi="Symbol" w:cs="Times New Roman" w:hint="default"/>
        <w:color w:val="auto"/>
      </w:rPr>
    </w:lvl>
    <w:lvl w:ilvl="4">
      <w:start w:val="1"/>
      <w:numFmt w:val="bullet"/>
      <w:pStyle w:val="Bullet4"/>
      <w:lvlText w:val=""/>
      <w:lvlJc w:val="left"/>
      <w:pPr>
        <w:tabs>
          <w:tab w:val="num" w:pos="3600"/>
        </w:tabs>
        <w:ind w:left="3600" w:hanging="720"/>
      </w:pPr>
      <w:rPr>
        <w:rFonts w:ascii="Symbol" w:hAnsi="Symbol" w:cs="Times New Roman" w:hint="default"/>
        <w:color w:val="auto"/>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 w15:restartNumberingAfterBreak="0">
    <w:nsid w:val="028B4145"/>
    <w:multiLevelType w:val="hybridMultilevel"/>
    <w:tmpl w:val="65169B8E"/>
    <w:lvl w:ilvl="0" w:tplc="89DC3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668D3"/>
    <w:multiLevelType w:val="hybridMultilevel"/>
    <w:tmpl w:val="3E0E1A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FA5D23"/>
    <w:multiLevelType w:val="multilevel"/>
    <w:tmpl w:val="AC826F08"/>
    <w:lvl w:ilvl="0">
      <w:start w:val="1"/>
      <w:numFmt w:val="lowerLetter"/>
      <w:lvlText w:val="(%1)"/>
      <w:lvlJc w:val="left"/>
      <w:pPr>
        <w:tabs>
          <w:tab w:val="left" w:pos="36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CE1C0A"/>
    <w:multiLevelType w:val="hybridMultilevel"/>
    <w:tmpl w:val="FD42728C"/>
    <w:lvl w:ilvl="0" w:tplc="9B907C5A">
      <w:start w:val="2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2B0C4E"/>
    <w:multiLevelType w:val="multilevel"/>
    <w:tmpl w:val="FDB25602"/>
    <w:styleLink w:val="PrecNotes"/>
    <w:lvl w:ilvl="0">
      <w:start w:val="1"/>
      <w:numFmt w:val="decimal"/>
      <w:pStyle w:val="Prec1Heading"/>
      <w:lvlText w:val="%1"/>
      <w:lvlJc w:val="left"/>
      <w:pPr>
        <w:ind w:left="720" w:hanging="720"/>
      </w:pPr>
      <w:rPr>
        <w:rFonts w:hint="default"/>
      </w:rPr>
    </w:lvl>
    <w:lvl w:ilvl="1">
      <w:start w:val="1"/>
      <w:numFmt w:val="decimal"/>
      <w:pStyle w:val="Prec2Number"/>
      <w:lvlText w:val="%1.%2"/>
      <w:lvlJc w:val="left"/>
      <w:pPr>
        <w:ind w:left="720" w:hanging="720"/>
      </w:pPr>
      <w:rPr>
        <w:rFonts w:hint="default"/>
      </w:rPr>
    </w:lvl>
    <w:lvl w:ilvl="2">
      <w:start w:val="1"/>
      <w:numFmt w:val="lowerLetter"/>
      <w:pStyle w:val="Prec3Number"/>
      <w:lvlText w:val="(%3)"/>
      <w:lvlJc w:val="left"/>
      <w:pPr>
        <w:ind w:left="1440" w:hanging="720"/>
      </w:pPr>
      <w:rPr>
        <w:rFonts w:hint="default"/>
      </w:rPr>
    </w:lvl>
    <w:lvl w:ilvl="3">
      <w:start w:val="1"/>
      <w:numFmt w:val="lowerRoman"/>
      <w:pStyle w:val="Prec4Number"/>
      <w:lvlText w:val="(%4)"/>
      <w:lvlJc w:val="left"/>
      <w:pPr>
        <w:ind w:left="2160" w:hanging="720"/>
      </w:pPr>
      <w:rPr>
        <w:rFonts w:hint="default"/>
      </w:rPr>
    </w:lvl>
    <w:lvl w:ilvl="4">
      <w:start w:val="1"/>
      <w:numFmt w:val="upperLetter"/>
      <w:pStyle w:val="Prec5Number"/>
      <w:lvlText w:val="(%5)"/>
      <w:lvlJc w:val="left"/>
      <w:pPr>
        <w:tabs>
          <w:tab w:val="num" w:pos="2160"/>
        </w:tabs>
        <w:ind w:left="2880" w:hanging="72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11AD56A1"/>
    <w:multiLevelType w:val="multilevel"/>
    <w:tmpl w:val="1A6A9E06"/>
    <w:lvl w:ilvl="0">
      <w:start w:val="1"/>
      <w:numFmt w:val="lowerLetter"/>
      <w:lvlText w:val="(%1)"/>
      <w:lvlJc w:val="left"/>
      <w:pPr>
        <w:tabs>
          <w:tab w:val="left" w:pos="36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31E166B"/>
    <w:multiLevelType w:val="hybridMultilevel"/>
    <w:tmpl w:val="3E0E1A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BA1054"/>
    <w:multiLevelType w:val="hybridMultilevel"/>
    <w:tmpl w:val="6C98694E"/>
    <w:lvl w:ilvl="0" w:tplc="7A4E87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D718C"/>
    <w:multiLevelType w:val="hybridMultilevel"/>
    <w:tmpl w:val="5BBEF580"/>
    <w:lvl w:ilvl="0" w:tplc="C3D66DF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3179B"/>
    <w:multiLevelType w:val="hybridMultilevel"/>
    <w:tmpl w:val="3E0E1A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4C4528"/>
    <w:multiLevelType w:val="multilevel"/>
    <w:tmpl w:val="0ABE891C"/>
    <w:name w:val="Definitions"/>
    <w:styleLink w:val="Definitions"/>
    <w:lvl w:ilvl="0">
      <w:start w:val="1"/>
      <w:numFmt w:val="none"/>
      <w:pStyle w:val="Definition"/>
      <w:suff w:val="nothing"/>
      <w:lvlText w:val=""/>
      <w:lvlJc w:val="left"/>
      <w:pPr>
        <w:ind w:left="720" w:firstLine="0"/>
      </w:pPr>
      <w:rPr>
        <w:rFonts w:hint="default"/>
      </w:rPr>
    </w:lvl>
    <w:lvl w:ilvl="1">
      <w:start w:val="1"/>
      <w:numFmt w:val="lowerLetter"/>
      <w:pStyle w:val="Definition1"/>
      <w:lvlText w:val="(%2)"/>
      <w:lvlJc w:val="left"/>
      <w:pPr>
        <w:ind w:left="1440" w:hanging="720"/>
      </w:pPr>
      <w:rPr>
        <w:rFonts w:hint="default"/>
      </w:rPr>
    </w:lvl>
    <w:lvl w:ilvl="2">
      <w:start w:val="1"/>
      <w:numFmt w:val="lowerRoman"/>
      <w:pStyle w:val="Definition2"/>
      <w:lvlText w:val="(%3)"/>
      <w:lvlJc w:val="left"/>
      <w:pPr>
        <w:tabs>
          <w:tab w:val="num" w:pos="2160"/>
        </w:tabs>
        <w:ind w:left="2160" w:hanging="720"/>
      </w:pPr>
      <w:rPr>
        <w:rFonts w:hint="default"/>
      </w:rPr>
    </w:lvl>
    <w:lvl w:ilvl="3">
      <w:start w:val="1"/>
      <w:numFmt w:val="upperLetter"/>
      <w:pStyle w:val="Definition3"/>
      <w:lvlText w:val="(%4)"/>
      <w:lvlJc w:val="left"/>
      <w:pPr>
        <w:ind w:left="2880" w:hanging="720"/>
      </w:pPr>
      <w:rPr>
        <w:rFonts w:hint="default"/>
      </w:rPr>
    </w:lvl>
    <w:lvl w:ilvl="4">
      <w:start w:val="1"/>
      <w:numFmt w:val="decimal"/>
      <w:pStyle w:val="Definition4"/>
      <w:lvlText w:val="%5)"/>
      <w:lvlJc w:val="left"/>
      <w:pPr>
        <w:tabs>
          <w:tab w:val="num" w:pos="2880"/>
        </w:tabs>
        <w:ind w:left="3600" w:hanging="72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4" w15:restartNumberingAfterBreak="0">
    <w:nsid w:val="290B4D07"/>
    <w:multiLevelType w:val="multilevel"/>
    <w:tmpl w:val="9E5221FC"/>
    <w:lvl w:ilvl="0">
      <w:start w:val="1"/>
      <w:numFmt w:val="lowerLetter"/>
      <w:lvlText w:val="(%1)"/>
      <w:lvlJc w:val="left"/>
      <w:pPr>
        <w:tabs>
          <w:tab w:val="left" w:pos="36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A62202"/>
    <w:multiLevelType w:val="multilevel"/>
    <w:tmpl w:val="880A6F1A"/>
    <w:lvl w:ilvl="0">
      <w:start w:val="1"/>
      <w:numFmt w:val="decimal"/>
      <w:pStyle w:val="Level1"/>
      <w:lvlText w:val="%1."/>
      <w:lvlJc w:val="left"/>
      <w:pPr>
        <w:tabs>
          <w:tab w:val="num" w:pos="720"/>
        </w:tabs>
        <w:ind w:left="720" w:hanging="720"/>
      </w:pPr>
      <w:rPr>
        <w:rFonts w:ascii="Times New Roman" w:hAnsi="Times New Roman" w:hint="default"/>
        <w:sz w:val="24"/>
      </w:rPr>
    </w:lvl>
    <w:lvl w:ilvl="1">
      <w:start w:val="1"/>
      <w:numFmt w:val="decimal"/>
      <w:pStyle w:val="Level2"/>
      <w:lvlText w:val="%1.%2"/>
      <w:lvlJc w:val="left"/>
      <w:pPr>
        <w:tabs>
          <w:tab w:val="num" w:pos="720"/>
        </w:tabs>
        <w:ind w:left="720" w:hanging="720"/>
      </w:pPr>
    </w:lvl>
    <w:lvl w:ilvl="2">
      <w:start w:val="1"/>
      <w:numFmt w:val="lowerLetter"/>
      <w:pStyle w:val="Level3"/>
      <w:lvlText w:val="(%3)"/>
      <w:lvlJc w:val="left"/>
      <w:pPr>
        <w:tabs>
          <w:tab w:val="num" w:pos="1440"/>
        </w:tabs>
        <w:ind w:left="1440" w:hanging="720"/>
      </w:pPr>
    </w:lvl>
    <w:lvl w:ilvl="3">
      <w:start w:val="1"/>
      <w:numFmt w:val="lowerRoman"/>
      <w:pStyle w:val="Level4"/>
      <w:lvlText w:val="(%4)"/>
      <w:lvlJc w:val="left"/>
      <w:pPr>
        <w:tabs>
          <w:tab w:val="num" w:pos="2347"/>
        </w:tabs>
        <w:ind w:left="2347" w:hanging="907"/>
      </w:pPr>
    </w:lvl>
    <w:lvl w:ilvl="4">
      <w:start w:val="1"/>
      <w:numFmt w:val="decimal"/>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numFmt w:val="decimal"/>
      <w:lvlText w:val=""/>
      <w:lvlJc w:val="left"/>
      <w:pPr>
        <w:tabs>
          <w:tab w:val="num" w:pos="0"/>
        </w:tabs>
        <w:ind w:left="0" w:firstLine="0"/>
      </w:pPr>
    </w:lvl>
  </w:abstractNum>
  <w:abstractNum w:abstractNumId="16" w15:restartNumberingAfterBreak="0">
    <w:nsid w:val="2F267804"/>
    <w:multiLevelType w:val="hybridMultilevel"/>
    <w:tmpl w:val="5134B388"/>
    <w:lvl w:ilvl="0" w:tplc="69B0DD0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3F2E37"/>
    <w:multiLevelType w:val="multilevel"/>
    <w:tmpl w:val="5BD0C118"/>
    <w:lvl w:ilvl="0">
      <w:start w:val="1"/>
      <w:numFmt w:val="lowerLetter"/>
      <w:lvlText w:val="(%1)"/>
      <w:lvlJc w:val="left"/>
      <w:pPr>
        <w:tabs>
          <w:tab w:val="left" w:pos="36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4A3003"/>
    <w:multiLevelType w:val="hybridMultilevel"/>
    <w:tmpl w:val="1562C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D73C56"/>
    <w:multiLevelType w:val="hybridMultilevel"/>
    <w:tmpl w:val="0262E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62699C"/>
    <w:multiLevelType w:val="hybridMultilevel"/>
    <w:tmpl w:val="D3DA1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3E163E"/>
    <w:multiLevelType w:val="multilevel"/>
    <w:tmpl w:val="E5BE6CB0"/>
    <w:name w:val="Schedule"/>
    <w:styleLink w:val="Schedules"/>
    <w:lvl w:ilvl="0">
      <w:start w:val="1"/>
      <w:numFmt w:val="decimal"/>
      <w:pStyle w:val="Schedule"/>
      <w:suff w:val="nothing"/>
      <w:lvlText w:val="Schedule %1"/>
      <w:lvlJc w:val="left"/>
      <w:pPr>
        <w:ind w:left="0" w:firstLine="0"/>
      </w:pPr>
      <w:rPr>
        <w:rFonts w:hint="default"/>
      </w:rPr>
    </w:lvl>
    <w:lvl w:ilvl="1">
      <w:numFmt w:val="decimal"/>
      <w:pStyle w:val="SubSchedule"/>
      <w:suff w:val="nothing"/>
      <w:lvlText w:val="Schedule %2"/>
      <w:lvlJc w:val="left"/>
      <w:pPr>
        <w:ind w:left="0" w:firstLine="0"/>
      </w:pPr>
      <w:rPr>
        <w:rFonts w:hint="default"/>
      </w:rPr>
    </w:lvl>
    <w:lvl w:ilvl="2">
      <w:start w:val="1"/>
      <w:numFmt w:val="decimal"/>
      <w:pStyle w:val="Part"/>
      <w:suff w:val="nothing"/>
      <w:lvlText w:val="Part %3"/>
      <w:lvlJc w:val="left"/>
      <w:pPr>
        <w:ind w:left="0" w:firstLine="0"/>
      </w:pPr>
      <w:rPr>
        <w:rFonts w:hint="default"/>
      </w:rPr>
    </w:lvl>
    <w:lvl w:ilvl="3">
      <w:start w:val="1"/>
      <w:numFmt w:val="decimal"/>
      <w:pStyle w:val="Sch1Number"/>
      <w:lvlText w:val="%4"/>
      <w:lvlJc w:val="left"/>
      <w:pPr>
        <w:ind w:left="720" w:hanging="720"/>
      </w:pPr>
      <w:rPr>
        <w:rFonts w:hint="default"/>
      </w:rPr>
    </w:lvl>
    <w:lvl w:ilvl="4">
      <w:start w:val="1"/>
      <w:numFmt w:val="decimal"/>
      <w:pStyle w:val="Sch2Number"/>
      <w:lvlText w:val="%4.%5"/>
      <w:lvlJc w:val="left"/>
      <w:pPr>
        <w:ind w:left="720" w:hanging="720"/>
      </w:pPr>
      <w:rPr>
        <w:rFonts w:hint="default"/>
      </w:rPr>
    </w:lvl>
    <w:lvl w:ilvl="5">
      <w:start w:val="1"/>
      <w:numFmt w:val="decimal"/>
      <w:pStyle w:val="Sch3Number"/>
      <w:lvlText w:val="%4.%5.%6"/>
      <w:lvlJc w:val="left"/>
      <w:pPr>
        <w:ind w:left="720" w:hanging="720"/>
      </w:pPr>
      <w:rPr>
        <w:rFonts w:hint="default"/>
        <w:b w:val="0"/>
        <w:bCs w:val="0"/>
        <w:i w:val="0"/>
        <w:iCs w:val="0"/>
      </w:rPr>
    </w:lvl>
    <w:lvl w:ilvl="6">
      <w:start w:val="1"/>
      <w:numFmt w:val="lowerLetter"/>
      <w:pStyle w:val="Sch4Number"/>
      <w:lvlText w:val="(%7)"/>
      <w:lvlJc w:val="left"/>
      <w:pPr>
        <w:ind w:left="1440" w:hanging="720"/>
      </w:pPr>
      <w:rPr>
        <w:rFonts w:hint="default"/>
        <w:b w:val="0"/>
        <w:bCs w:val="0"/>
        <w:i w:val="0"/>
        <w:iCs w:val="0"/>
      </w:rPr>
    </w:lvl>
    <w:lvl w:ilvl="7">
      <w:start w:val="1"/>
      <w:numFmt w:val="lowerRoman"/>
      <w:pStyle w:val="Sch5Number"/>
      <w:lvlText w:val="(%8)"/>
      <w:lvlJc w:val="left"/>
      <w:pPr>
        <w:ind w:left="2160" w:hanging="720"/>
      </w:pPr>
      <w:rPr>
        <w:rFonts w:hint="default"/>
      </w:rPr>
    </w:lvl>
    <w:lvl w:ilvl="8">
      <w:start w:val="1"/>
      <w:numFmt w:val="upperLetter"/>
      <w:pStyle w:val="Sch6Number"/>
      <w:lvlText w:val="(%9)"/>
      <w:lvlJc w:val="left"/>
      <w:pPr>
        <w:ind w:left="2880" w:hanging="720"/>
      </w:pPr>
      <w:rPr>
        <w:rFonts w:hint="default"/>
      </w:rPr>
    </w:lvl>
  </w:abstractNum>
  <w:abstractNum w:abstractNumId="22" w15:restartNumberingAfterBreak="0">
    <w:nsid w:val="3E226B8E"/>
    <w:multiLevelType w:val="multilevel"/>
    <w:tmpl w:val="CE7E743A"/>
    <w:name w:val="Main"/>
    <w:styleLink w:val="MainNumbering"/>
    <w:lvl w:ilvl="0">
      <w:start w:val="1"/>
      <w:numFmt w:val="decimal"/>
      <w:pStyle w:val="Level1Heading"/>
      <w:lvlText w:val="%1"/>
      <w:lvlJc w:val="left"/>
      <w:pPr>
        <w:ind w:left="720" w:hanging="720"/>
      </w:pPr>
      <w:rPr>
        <w:rFonts w:hint="default"/>
      </w:rPr>
    </w:lvl>
    <w:lvl w:ilvl="1">
      <w:start w:val="1"/>
      <w:numFmt w:val="decimal"/>
      <w:pStyle w:val="Level2Number"/>
      <w:lvlText w:val="%1.%2"/>
      <w:lvlJc w:val="left"/>
      <w:pPr>
        <w:ind w:left="720" w:hanging="720"/>
      </w:pPr>
      <w:rPr>
        <w:rFonts w:hint="default"/>
      </w:rPr>
    </w:lvl>
    <w:lvl w:ilvl="2">
      <w:start w:val="1"/>
      <w:numFmt w:val="decimal"/>
      <w:pStyle w:val="Level3Number"/>
      <w:lvlText w:val="%1.%2.%3"/>
      <w:lvlJc w:val="left"/>
      <w:pPr>
        <w:ind w:left="720" w:hanging="720"/>
      </w:pPr>
      <w:rPr>
        <w:rFonts w:hint="default"/>
        <w:b w:val="0"/>
        <w:i w:val="0"/>
      </w:rPr>
    </w:lvl>
    <w:lvl w:ilvl="3">
      <w:start w:val="1"/>
      <w:numFmt w:val="lowerLetter"/>
      <w:pStyle w:val="Level4Number"/>
      <w:lvlText w:val="(%4)"/>
      <w:lvlJc w:val="left"/>
      <w:pPr>
        <w:ind w:left="1440" w:hanging="720"/>
      </w:pPr>
      <w:rPr>
        <w:rFonts w:ascii="Arial" w:eastAsia="Times New Roman" w:hAnsi="Arial" w:cs="Times New Roman"/>
        <w:b w:val="0"/>
        <w:bCs w:val="0"/>
        <w:i w:val="0"/>
        <w:iCs w:val="0"/>
      </w:rPr>
    </w:lvl>
    <w:lvl w:ilvl="4">
      <w:start w:val="1"/>
      <w:numFmt w:val="lowerRoman"/>
      <w:pStyle w:val="Level5Number"/>
      <w:lvlText w:val="(%5)"/>
      <w:lvlJc w:val="left"/>
      <w:pPr>
        <w:ind w:left="2160" w:hanging="720"/>
      </w:pPr>
      <w:rPr>
        <w:rFonts w:hint="default"/>
        <w:b w:val="0"/>
        <w:bCs w:val="0"/>
        <w:i w:val="0"/>
        <w:iCs w:val="0"/>
      </w:rPr>
    </w:lvl>
    <w:lvl w:ilvl="5">
      <w:start w:val="1"/>
      <w:numFmt w:val="upperLetter"/>
      <w:pStyle w:val="Level6Number"/>
      <w:lvlText w:val="(%6)"/>
      <w:lvlJc w:val="left"/>
      <w:pPr>
        <w:ind w:left="2880" w:hanging="720"/>
      </w:pPr>
      <w:rPr>
        <w:rFonts w:hint="default"/>
      </w:rPr>
    </w:lvl>
    <w:lvl w:ilvl="6">
      <w:start w:val="1"/>
      <w:numFmt w:val="decimal"/>
      <w:pStyle w:val="Level7Number"/>
      <w:lvlText w:val="%7)"/>
      <w:lvlJc w:val="left"/>
      <w:pPr>
        <w:ind w:left="3600" w:hanging="720"/>
      </w:pPr>
      <w:rPr>
        <w:rFonts w:hint="default"/>
      </w:rPr>
    </w:lvl>
    <w:lvl w:ilvl="7">
      <w:start w:val="1"/>
      <w:numFmt w:val="lowerLetter"/>
      <w:pStyle w:val="Level8Number"/>
      <w:lvlText w:val="%8)"/>
      <w:lvlJc w:val="left"/>
      <w:pPr>
        <w:ind w:left="4321" w:hanging="721"/>
      </w:pPr>
      <w:rPr>
        <w:rFonts w:hint="default"/>
      </w:rPr>
    </w:lvl>
    <w:lvl w:ilvl="8">
      <w:start w:val="1"/>
      <w:numFmt w:val="lowerRoman"/>
      <w:lvlText w:val="%9)"/>
      <w:lvlJc w:val="left"/>
      <w:pPr>
        <w:ind w:left="5041" w:hanging="720"/>
      </w:pPr>
      <w:rPr>
        <w:rFonts w:hint="default"/>
      </w:rPr>
    </w:lvl>
  </w:abstractNum>
  <w:abstractNum w:abstractNumId="23" w15:restartNumberingAfterBreak="0">
    <w:nsid w:val="40722584"/>
    <w:multiLevelType w:val="multilevel"/>
    <w:tmpl w:val="73029CE8"/>
    <w:lvl w:ilvl="0">
      <w:start w:val="1"/>
      <w:numFmt w:val="lowerRoman"/>
      <w:lvlText w:val="(%1)"/>
      <w:lvlJc w:val="left"/>
      <w:pPr>
        <w:tabs>
          <w:tab w:val="left" w:pos="720"/>
        </w:tabs>
      </w:pPr>
      <w:rPr>
        <w:rFonts w:ascii="Arial" w:eastAsia="Malgun Gothic Semilight" w:hAnsi="Arial" w:cs="Arial" w:hint="default"/>
        <w:color w:val="000000"/>
        <w:spacing w:val="-2"/>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0F65773"/>
    <w:multiLevelType w:val="multilevel"/>
    <w:tmpl w:val="756A01D8"/>
    <w:lvl w:ilvl="0">
      <w:start w:val="1"/>
      <w:numFmt w:val="lowerRoman"/>
      <w:lvlText w:val="(%1)"/>
      <w:lvlJc w:val="left"/>
      <w:pPr>
        <w:tabs>
          <w:tab w:val="left" w:pos="72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B8454CC"/>
    <w:multiLevelType w:val="hybridMultilevel"/>
    <w:tmpl w:val="3A625102"/>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F132F8"/>
    <w:multiLevelType w:val="multilevel"/>
    <w:tmpl w:val="B55C2DCA"/>
    <w:lvl w:ilvl="0">
      <w:start w:val="1"/>
      <w:numFmt w:val="lowerLetter"/>
      <w:lvlText w:val="(%1)"/>
      <w:lvlJc w:val="left"/>
      <w:pPr>
        <w:tabs>
          <w:tab w:val="left" w:pos="360"/>
        </w:tabs>
      </w:pPr>
      <w:rPr>
        <w:rFonts w:asciiTheme="majorHAnsi" w:eastAsia="Malgun Gothic Semilight" w:hAnsiTheme="majorHAnsi" w:cstheme="majorHAnsi"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234274"/>
    <w:multiLevelType w:val="hybridMultilevel"/>
    <w:tmpl w:val="C5C812B4"/>
    <w:lvl w:ilvl="0" w:tplc="F0768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F7E85"/>
    <w:multiLevelType w:val="hybridMultilevel"/>
    <w:tmpl w:val="F7483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F637D2"/>
    <w:multiLevelType w:val="hybridMultilevel"/>
    <w:tmpl w:val="AD5AED88"/>
    <w:lvl w:ilvl="0" w:tplc="185CE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3C4F05"/>
    <w:multiLevelType w:val="hybridMultilevel"/>
    <w:tmpl w:val="541C14CC"/>
    <w:lvl w:ilvl="0" w:tplc="192E52FA">
      <w:start w:val="1"/>
      <w:numFmt w:val="bullet"/>
      <w:lvlText w:val=""/>
      <w:lvlJc w:val="left"/>
      <w:pPr>
        <w:ind w:left="1440" w:hanging="360"/>
      </w:pPr>
      <w:rPr>
        <w:rFonts w:ascii="Symbol" w:hAnsi="Symbol"/>
      </w:rPr>
    </w:lvl>
    <w:lvl w:ilvl="1" w:tplc="AA482BF0">
      <w:start w:val="1"/>
      <w:numFmt w:val="bullet"/>
      <w:lvlText w:val=""/>
      <w:lvlJc w:val="left"/>
      <w:pPr>
        <w:ind w:left="1440" w:hanging="360"/>
      </w:pPr>
      <w:rPr>
        <w:rFonts w:ascii="Symbol" w:hAnsi="Symbol"/>
      </w:rPr>
    </w:lvl>
    <w:lvl w:ilvl="2" w:tplc="E2B6DEB2">
      <w:start w:val="1"/>
      <w:numFmt w:val="bullet"/>
      <w:lvlText w:val=""/>
      <w:lvlJc w:val="left"/>
      <w:pPr>
        <w:ind w:left="1440" w:hanging="360"/>
      </w:pPr>
      <w:rPr>
        <w:rFonts w:ascii="Symbol" w:hAnsi="Symbol"/>
      </w:rPr>
    </w:lvl>
    <w:lvl w:ilvl="3" w:tplc="CBF4DF60">
      <w:start w:val="1"/>
      <w:numFmt w:val="bullet"/>
      <w:lvlText w:val=""/>
      <w:lvlJc w:val="left"/>
      <w:pPr>
        <w:ind w:left="1440" w:hanging="360"/>
      </w:pPr>
      <w:rPr>
        <w:rFonts w:ascii="Symbol" w:hAnsi="Symbol"/>
      </w:rPr>
    </w:lvl>
    <w:lvl w:ilvl="4" w:tplc="EB88419A">
      <w:start w:val="1"/>
      <w:numFmt w:val="bullet"/>
      <w:lvlText w:val=""/>
      <w:lvlJc w:val="left"/>
      <w:pPr>
        <w:ind w:left="1440" w:hanging="360"/>
      </w:pPr>
      <w:rPr>
        <w:rFonts w:ascii="Symbol" w:hAnsi="Symbol"/>
      </w:rPr>
    </w:lvl>
    <w:lvl w:ilvl="5" w:tplc="46140012">
      <w:start w:val="1"/>
      <w:numFmt w:val="bullet"/>
      <w:lvlText w:val=""/>
      <w:lvlJc w:val="left"/>
      <w:pPr>
        <w:ind w:left="1440" w:hanging="360"/>
      </w:pPr>
      <w:rPr>
        <w:rFonts w:ascii="Symbol" w:hAnsi="Symbol"/>
      </w:rPr>
    </w:lvl>
    <w:lvl w:ilvl="6" w:tplc="EA3452F2">
      <w:start w:val="1"/>
      <w:numFmt w:val="bullet"/>
      <w:lvlText w:val=""/>
      <w:lvlJc w:val="left"/>
      <w:pPr>
        <w:ind w:left="1440" w:hanging="360"/>
      </w:pPr>
      <w:rPr>
        <w:rFonts w:ascii="Symbol" w:hAnsi="Symbol"/>
      </w:rPr>
    </w:lvl>
    <w:lvl w:ilvl="7" w:tplc="8662F0BA">
      <w:start w:val="1"/>
      <w:numFmt w:val="bullet"/>
      <w:lvlText w:val=""/>
      <w:lvlJc w:val="left"/>
      <w:pPr>
        <w:ind w:left="1440" w:hanging="360"/>
      </w:pPr>
      <w:rPr>
        <w:rFonts w:ascii="Symbol" w:hAnsi="Symbol"/>
      </w:rPr>
    </w:lvl>
    <w:lvl w:ilvl="8" w:tplc="A0F66D9E">
      <w:start w:val="1"/>
      <w:numFmt w:val="bullet"/>
      <w:lvlText w:val=""/>
      <w:lvlJc w:val="left"/>
      <w:pPr>
        <w:ind w:left="1440" w:hanging="360"/>
      </w:pPr>
      <w:rPr>
        <w:rFonts w:ascii="Symbol" w:hAnsi="Symbol"/>
      </w:rPr>
    </w:lvl>
  </w:abstractNum>
  <w:abstractNum w:abstractNumId="31" w15:restartNumberingAfterBreak="0">
    <w:nsid w:val="59AB3753"/>
    <w:multiLevelType w:val="multilevel"/>
    <w:tmpl w:val="40C88E1A"/>
    <w:lvl w:ilvl="0">
      <w:start w:val="1"/>
      <w:numFmt w:val="lowerRoman"/>
      <w:lvlText w:val="(%1)"/>
      <w:lvlJc w:val="left"/>
      <w:pPr>
        <w:tabs>
          <w:tab w:val="left" w:pos="792"/>
        </w:tabs>
      </w:pPr>
      <w:rPr>
        <w:rFonts w:ascii="Arial" w:eastAsia="Arial" w:hAnsi="Aria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DDD38E9"/>
    <w:multiLevelType w:val="multilevel"/>
    <w:tmpl w:val="33D4DB52"/>
    <w:lvl w:ilvl="0">
      <w:start w:val="1"/>
      <w:numFmt w:val="lowerRoman"/>
      <w:lvlText w:val="(%1)"/>
      <w:lvlJc w:val="left"/>
      <w:pPr>
        <w:tabs>
          <w:tab w:val="left" w:pos="72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F6C74A7"/>
    <w:multiLevelType w:val="multilevel"/>
    <w:tmpl w:val="5F0E2AF8"/>
    <w:name w:val="Intro"/>
    <w:styleLink w:val="Parties"/>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720" w:hanging="720"/>
      </w:pPr>
      <w:rPr>
        <w:rFonts w:hint="default"/>
      </w:rPr>
    </w:lvl>
    <w:lvl w:ilvl="2">
      <w:start w:val="1"/>
      <w:numFmt w:val="lowerLetter"/>
      <w:pStyle w:val="Parties2"/>
      <w:lvlText w:val="(%3)"/>
      <w:lvlJc w:val="left"/>
      <w:pPr>
        <w:ind w:left="1440" w:hanging="720"/>
      </w:pPr>
      <w:rPr>
        <w:rFonts w:hint="default"/>
      </w:rPr>
    </w:lvl>
    <w:lvl w:ilvl="3">
      <w:start w:val="1"/>
      <w:numFmt w:val="upperLetter"/>
      <w:lvlRestart w:val="1"/>
      <w:pStyle w:val="Background1"/>
      <w:lvlText w:val="%4"/>
      <w:lvlJc w:val="left"/>
      <w:pPr>
        <w:ind w:left="720" w:hanging="720"/>
      </w:pPr>
      <w:rPr>
        <w:rFonts w:hint="default"/>
      </w:rPr>
    </w:lvl>
    <w:lvl w:ilvl="4">
      <w:start w:val="1"/>
      <w:numFmt w:val="lowerLetter"/>
      <w:pStyle w:val="Background2"/>
      <w:lvlText w:val="(%5)"/>
      <w:lvlJc w:val="left"/>
      <w:pPr>
        <w:ind w:left="1440" w:hanging="720"/>
      </w:pPr>
      <w:rPr>
        <w:rFonts w:hint="default"/>
      </w:rPr>
    </w:lvl>
    <w:lvl w:ilvl="5">
      <w:start w:val="1"/>
      <w:numFmt w:val="none"/>
      <w:lvlRestart w:val="0"/>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4" w15:restartNumberingAfterBreak="0">
    <w:nsid w:val="675E5B60"/>
    <w:multiLevelType w:val="multilevel"/>
    <w:tmpl w:val="67A0BA9A"/>
    <w:lvl w:ilvl="0">
      <w:start w:val="1"/>
      <w:numFmt w:val="lowerLetter"/>
      <w:lvlText w:val="(%1)"/>
      <w:lvlJc w:val="left"/>
      <w:pPr>
        <w:tabs>
          <w:tab w:val="left" w:pos="360"/>
        </w:tabs>
      </w:pPr>
      <w:rPr>
        <w:rFonts w:ascii="Arial" w:eastAsia="Malgun Gothic Semilight" w:hAnsi="Arial" w:cs="Arial"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8572D04"/>
    <w:multiLevelType w:val="hybridMultilevel"/>
    <w:tmpl w:val="6AA84D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2A2F7E"/>
    <w:multiLevelType w:val="hybridMultilevel"/>
    <w:tmpl w:val="3E0E1A40"/>
    <w:lvl w:ilvl="0" w:tplc="2432FB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7A79CC"/>
    <w:multiLevelType w:val="hybridMultilevel"/>
    <w:tmpl w:val="8638904C"/>
    <w:lvl w:ilvl="0" w:tplc="F6129B9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CEE2384"/>
    <w:multiLevelType w:val="multilevel"/>
    <w:tmpl w:val="415843E2"/>
    <w:lvl w:ilvl="0">
      <w:start w:val="1"/>
      <w:numFmt w:val="lowerRoman"/>
      <w:lvlText w:val="(%1)"/>
      <w:lvlJc w:val="left"/>
      <w:pPr>
        <w:tabs>
          <w:tab w:val="left" w:pos="720"/>
        </w:tabs>
      </w:pPr>
      <w:rPr>
        <w:rFonts w:asciiTheme="majorHAnsi" w:eastAsia="Malgun Gothic Semilight" w:hAnsiTheme="majorHAnsi" w:cstheme="majorHAnsi" w:hint="default"/>
        <w:color w:val="000000"/>
        <w:spacing w:val="0"/>
        <w:w w:val="100"/>
        <w:sz w:val="20"/>
        <w:szCs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F8E7559"/>
    <w:multiLevelType w:val="multilevel"/>
    <w:tmpl w:val="6D167AC6"/>
    <w:styleLink w:val="Appendices"/>
    <w:lvl w:ilvl="0">
      <w:start w:val="1"/>
      <w:numFmt w:val="upperLetter"/>
      <w:pStyle w:val="Appendix"/>
      <w:suff w:val="nothing"/>
      <w:lvlText w:val="Appendix %1"/>
      <w:lvlJc w:val="left"/>
      <w:pPr>
        <w:ind w:left="0" w:firstLine="0"/>
      </w:pPr>
      <w:rPr>
        <w:rFonts w:hint="default"/>
      </w:rPr>
    </w:lvl>
    <w:lvl w:ilvl="1">
      <w:start w:val="1"/>
      <w:numFmt w:val="decimal"/>
      <w:pStyle w:val="AppPart"/>
      <w:suff w:val="nothing"/>
      <w:lvlText w:val="Part %2"/>
      <w:lvlJc w:val="left"/>
      <w:pPr>
        <w:ind w:left="0" w:firstLine="0"/>
      </w:pPr>
      <w:rPr>
        <w:rFonts w:hint="default"/>
      </w:rPr>
    </w:lvl>
    <w:lvl w:ilvl="2">
      <w:start w:val="1"/>
      <w:numFmt w:val="decimal"/>
      <w:pStyle w:val="App1Number"/>
      <w:lvlText w:val="%3"/>
      <w:lvlJc w:val="left"/>
      <w:pPr>
        <w:ind w:left="720" w:hanging="720"/>
      </w:pPr>
      <w:rPr>
        <w:rFonts w:hint="default"/>
      </w:rPr>
    </w:lvl>
    <w:lvl w:ilvl="3">
      <w:start w:val="1"/>
      <w:numFmt w:val="decimal"/>
      <w:pStyle w:val="App2Number"/>
      <w:lvlText w:val="%3.%4"/>
      <w:lvlJc w:val="left"/>
      <w:pPr>
        <w:ind w:left="720" w:hanging="720"/>
      </w:pPr>
      <w:rPr>
        <w:rFonts w:hint="default"/>
      </w:rPr>
    </w:lvl>
    <w:lvl w:ilvl="4">
      <w:start w:val="1"/>
      <w:numFmt w:val="decimal"/>
      <w:pStyle w:val="App3Number"/>
      <w:lvlText w:val="%3.%4.%5"/>
      <w:lvlJc w:val="left"/>
      <w:pPr>
        <w:ind w:left="720" w:hanging="720"/>
      </w:pPr>
      <w:rPr>
        <w:rFonts w:hint="default"/>
      </w:rPr>
    </w:lvl>
    <w:lvl w:ilvl="5">
      <w:start w:val="1"/>
      <w:numFmt w:val="lowerLetter"/>
      <w:pStyle w:val="App4Number"/>
      <w:lvlText w:val="(%6)"/>
      <w:lvlJc w:val="left"/>
      <w:pPr>
        <w:ind w:left="1440" w:hanging="720"/>
      </w:pPr>
      <w:rPr>
        <w:rFonts w:hint="default"/>
      </w:rPr>
    </w:lvl>
    <w:lvl w:ilvl="6">
      <w:start w:val="1"/>
      <w:numFmt w:val="lowerRoman"/>
      <w:pStyle w:val="App5Number"/>
      <w:lvlText w:val="(%7)"/>
      <w:lvlJc w:val="left"/>
      <w:pPr>
        <w:ind w:left="2160" w:hanging="720"/>
      </w:pPr>
      <w:rPr>
        <w:rFonts w:hint="default"/>
      </w:rPr>
    </w:lvl>
    <w:lvl w:ilvl="7">
      <w:start w:val="1"/>
      <w:numFmt w:val="upperLetter"/>
      <w:pStyle w:val="App6Number"/>
      <w:lvlText w:val="(%8)"/>
      <w:lvlJc w:val="left"/>
      <w:pPr>
        <w:ind w:left="2880" w:hanging="1287"/>
      </w:pPr>
      <w:rPr>
        <w:rFonts w:hint="default"/>
      </w:rPr>
    </w:lvl>
    <w:lvl w:ilvl="8">
      <w:start w:val="1"/>
      <w:numFmt w:val="none"/>
      <w:lvlText w:val=""/>
      <w:lvlJc w:val="left"/>
      <w:pPr>
        <w:ind w:left="3601" w:hanging="721"/>
      </w:pPr>
      <w:rPr>
        <w:rFonts w:hint="default"/>
      </w:rPr>
    </w:lvl>
  </w:abstractNum>
  <w:abstractNum w:abstractNumId="40" w15:restartNumberingAfterBreak="0">
    <w:nsid w:val="76AB49EE"/>
    <w:multiLevelType w:val="hybridMultilevel"/>
    <w:tmpl w:val="D522FD46"/>
    <w:lvl w:ilvl="0" w:tplc="4B149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442631">
    <w:abstractNumId w:val="22"/>
    <w:lvlOverride w:ilvl="1">
      <w:lvl w:ilvl="1">
        <w:start w:val="1"/>
        <w:numFmt w:val="decimal"/>
        <w:pStyle w:val="Level2Number"/>
        <w:lvlText w:val="%1.%2"/>
        <w:lvlJc w:val="left"/>
        <w:pPr>
          <w:ind w:left="720" w:hanging="720"/>
        </w:pPr>
        <w:rPr>
          <w:rFonts w:hint="default"/>
          <w:b w:val="0"/>
        </w:rPr>
      </w:lvl>
    </w:lvlOverride>
    <w:lvlOverride w:ilvl="4">
      <w:lvl w:ilvl="4">
        <w:start w:val="1"/>
        <w:numFmt w:val="lowerRoman"/>
        <w:pStyle w:val="Level5Number"/>
        <w:lvlText w:val="(%5)"/>
        <w:lvlJc w:val="left"/>
        <w:pPr>
          <w:ind w:left="2160" w:hanging="720"/>
        </w:pPr>
        <w:rPr>
          <w:rFonts w:hint="default"/>
          <w:b w:val="0"/>
          <w:bCs w:val="0"/>
          <w:i w:val="0"/>
          <w:iCs w:val="0"/>
        </w:rPr>
      </w:lvl>
    </w:lvlOverride>
  </w:num>
  <w:num w:numId="2" w16cid:durableId="1593466907">
    <w:abstractNumId w:val="21"/>
  </w:num>
  <w:num w:numId="3" w16cid:durableId="1149322461">
    <w:abstractNumId w:val="13"/>
  </w:num>
  <w:num w:numId="4" w16cid:durableId="565268124">
    <w:abstractNumId w:val="33"/>
  </w:num>
  <w:num w:numId="5" w16cid:durableId="843781392">
    <w:abstractNumId w:val="2"/>
  </w:num>
  <w:num w:numId="6" w16cid:durableId="2095935134">
    <w:abstractNumId w:val="7"/>
  </w:num>
  <w:num w:numId="7" w16cid:durableId="2008091331">
    <w:abstractNumId w:val="39"/>
  </w:num>
  <w:num w:numId="8" w16cid:durableId="1045108273">
    <w:abstractNumId w:val="15"/>
  </w:num>
  <w:num w:numId="9" w16cid:durableId="913315476">
    <w:abstractNumId w:val="22"/>
  </w:num>
  <w:num w:numId="10" w16cid:durableId="613294871">
    <w:abstractNumId w:val="28"/>
  </w:num>
  <w:num w:numId="11" w16cid:durableId="1247501202">
    <w:abstractNumId w:val="35"/>
  </w:num>
  <w:num w:numId="12" w16cid:durableId="416444058">
    <w:abstractNumId w:val="1"/>
  </w:num>
  <w:num w:numId="13" w16cid:durableId="1292711519">
    <w:abstractNumId w:val="25"/>
  </w:num>
  <w:num w:numId="14" w16cid:durableId="1750468897">
    <w:abstractNumId w:val="14"/>
  </w:num>
  <w:num w:numId="15" w16cid:durableId="2058116776">
    <w:abstractNumId w:val="23"/>
  </w:num>
  <w:num w:numId="16" w16cid:durableId="1727338678">
    <w:abstractNumId w:val="32"/>
  </w:num>
  <w:num w:numId="17" w16cid:durableId="667946200">
    <w:abstractNumId w:val="24"/>
  </w:num>
  <w:num w:numId="18" w16cid:durableId="1656491681">
    <w:abstractNumId w:val="26"/>
  </w:num>
  <w:num w:numId="19" w16cid:durableId="1216544981">
    <w:abstractNumId w:val="38"/>
  </w:num>
  <w:num w:numId="20" w16cid:durableId="531192099">
    <w:abstractNumId w:val="17"/>
  </w:num>
  <w:num w:numId="21" w16cid:durableId="1499735317">
    <w:abstractNumId w:val="5"/>
  </w:num>
  <w:num w:numId="22" w16cid:durableId="1644967935">
    <w:abstractNumId w:val="34"/>
  </w:num>
  <w:num w:numId="23" w16cid:durableId="1389109605">
    <w:abstractNumId w:val="31"/>
  </w:num>
  <w:num w:numId="24" w16cid:durableId="1853837766">
    <w:abstractNumId w:val="8"/>
  </w:num>
  <w:num w:numId="25" w16cid:durableId="1487821021">
    <w:abstractNumId w:val="6"/>
  </w:num>
  <w:num w:numId="26" w16cid:durableId="1553611721">
    <w:abstractNumId w:val="37"/>
  </w:num>
  <w:num w:numId="27" w16cid:durableId="1559047591">
    <w:abstractNumId w:val="30"/>
  </w:num>
  <w:num w:numId="28" w16cid:durableId="756285732">
    <w:abstractNumId w:val="19"/>
  </w:num>
  <w:num w:numId="29" w16cid:durableId="25762808">
    <w:abstractNumId w:val="16"/>
  </w:num>
  <w:num w:numId="30" w16cid:durableId="2024430810">
    <w:abstractNumId w:val="11"/>
  </w:num>
  <w:num w:numId="31" w16cid:durableId="1917544965">
    <w:abstractNumId w:val="36"/>
  </w:num>
  <w:num w:numId="32" w16cid:durableId="1998918632">
    <w:abstractNumId w:val="20"/>
  </w:num>
  <w:num w:numId="33" w16cid:durableId="881330496">
    <w:abstractNumId w:val="18"/>
  </w:num>
  <w:num w:numId="34" w16cid:durableId="1323319154">
    <w:abstractNumId w:val="0"/>
  </w:num>
  <w:num w:numId="35" w16cid:durableId="898399895">
    <w:abstractNumId w:val="9"/>
  </w:num>
  <w:num w:numId="36" w16cid:durableId="955480453">
    <w:abstractNumId w:val="10"/>
  </w:num>
  <w:num w:numId="37" w16cid:durableId="1059550656">
    <w:abstractNumId w:val="4"/>
  </w:num>
  <w:num w:numId="38" w16cid:durableId="922833542">
    <w:abstractNumId w:val="40"/>
  </w:num>
  <w:num w:numId="39" w16cid:durableId="1101485393">
    <w:abstractNumId w:val="12"/>
  </w:num>
  <w:num w:numId="40" w16cid:durableId="830800026">
    <w:abstractNumId w:val="3"/>
  </w:num>
  <w:num w:numId="41" w16cid:durableId="719474909">
    <w:abstractNumId w:val="27"/>
  </w:num>
  <w:num w:numId="42" w16cid:durableId="1965499517">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en-SG" w:vendorID="64" w:dllVersion="0" w:nlCheck="1" w:checkStyle="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8AE"/>
    <w:rsid w:val="00001F99"/>
    <w:rsid w:val="00003DD8"/>
    <w:rsid w:val="00005D85"/>
    <w:rsid w:val="000102D6"/>
    <w:rsid w:val="00010EF9"/>
    <w:rsid w:val="000177FB"/>
    <w:rsid w:val="00024671"/>
    <w:rsid w:val="00027F01"/>
    <w:rsid w:val="000318AE"/>
    <w:rsid w:val="000337E2"/>
    <w:rsid w:val="00033A56"/>
    <w:rsid w:val="000367E1"/>
    <w:rsid w:val="0003682D"/>
    <w:rsid w:val="000402C2"/>
    <w:rsid w:val="00044B8A"/>
    <w:rsid w:val="0004504C"/>
    <w:rsid w:val="00046850"/>
    <w:rsid w:val="00055E75"/>
    <w:rsid w:val="0005648A"/>
    <w:rsid w:val="000568E9"/>
    <w:rsid w:val="00067423"/>
    <w:rsid w:val="000719DC"/>
    <w:rsid w:val="00071C60"/>
    <w:rsid w:val="00071DC1"/>
    <w:rsid w:val="000744B1"/>
    <w:rsid w:val="00080265"/>
    <w:rsid w:val="00084951"/>
    <w:rsid w:val="00086997"/>
    <w:rsid w:val="000924B6"/>
    <w:rsid w:val="00095A1E"/>
    <w:rsid w:val="00097705"/>
    <w:rsid w:val="000A12AD"/>
    <w:rsid w:val="000A1F06"/>
    <w:rsid w:val="000A3FA5"/>
    <w:rsid w:val="000A4FB7"/>
    <w:rsid w:val="000C0B1D"/>
    <w:rsid w:val="000C13DD"/>
    <w:rsid w:val="000C51EC"/>
    <w:rsid w:val="000D6E0F"/>
    <w:rsid w:val="000D791F"/>
    <w:rsid w:val="000E21C5"/>
    <w:rsid w:val="000E3E60"/>
    <w:rsid w:val="000E5B85"/>
    <w:rsid w:val="000E67E4"/>
    <w:rsid w:val="000F155C"/>
    <w:rsid w:val="000F490E"/>
    <w:rsid w:val="00103FB2"/>
    <w:rsid w:val="00106012"/>
    <w:rsid w:val="00111788"/>
    <w:rsid w:val="00112099"/>
    <w:rsid w:val="00116ED6"/>
    <w:rsid w:val="00122A16"/>
    <w:rsid w:val="00124225"/>
    <w:rsid w:val="00130BB8"/>
    <w:rsid w:val="00130D79"/>
    <w:rsid w:val="00132B10"/>
    <w:rsid w:val="00135F05"/>
    <w:rsid w:val="001372C9"/>
    <w:rsid w:val="0014151A"/>
    <w:rsid w:val="00145D35"/>
    <w:rsid w:val="001465BB"/>
    <w:rsid w:val="00146A91"/>
    <w:rsid w:val="00147E55"/>
    <w:rsid w:val="0015018D"/>
    <w:rsid w:val="0015312D"/>
    <w:rsid w:val="0015364C"/>
    <w:rsid w:val="00155A92"/>
    <w:rsid w:val="001601FD"/>
    <w:rsid w:val="001629DD"/>
    <w:rsid w:val="0016502B"/>
    <w:rsid w:val="001658BF"/>
    <w:rsid w:val="00166457"/>
    <w:rsid w:val="00166620"/>
    <w:rsid w:val="00167588"/>
    <w:rsid w:val="00173B1B"/>
    <w:rsid w:val="0017664F"/>
    <w:rsid w:val="001805DB"/>
    <w:rsid w:val="0018112D"/>
    <w:rsid w:val="00181992"/>
    <w:rsid w:val="00183774"/>
    <w:rsid w:val="0018403B"/>
    <w:rsid w:val="001910D5"/>
    <w:rsid w:val="001A1125"/>
    <w:rsid w:val="001A18B5"/>
    <w:rsid w:val="001A1B62"/>
    <w:rsid w:val="001A6D59"/>
    <w:rsid w:val="001B55DA"/>
    <w:rsid w:val="001B60DD"/>
    <w:rsid w:val="001C2DB5"/>
    <w:rsid w:val="001C77F8"/>
    <w:rsid w:val="001D1645"/>
    <w:rsid w:val="001D5618"/>
    <w:rsid w:val="001D564D"/>
    <w:rsid w:val="001D5747"/>
    <w:rsid w:val="001D624F"/>
    <w:rsid w:val="001D67BA"/>
    <w:rsid w:val="001E07F6"/>
    <w:rsid w:val="001E1C78"/>
    <w:rsid w:val="001E4804"/>
    <w:rsid w:val="001E55B5"/>
    <w:rsid w:val="001F08A0"/>
    <w:rsid w:val="001F11EF"/>
    <w:rsid w:val="001F6BD1"/>
    <w:rsid w:val="00203261"/>
    <w:rsid w:val="00205888"/>
    <w:rsid w:val="00211A72"/>
    <w:rsid w:val="0021496F"/>
    <w:rsid w:val="00215BA1"/>
    <w:rsid w:val="002206C8"/>
    <w:rsid w:val="00220F18"/>
    <w:rsid w:val="002267AC"/>
    <w:rsid w:val="00231109"/>
    <w:rsid w:val="00244691"/>
    <w:rsid w:val="00245359"/>
    <w:rsid w:val="00246BD1"/>
    <w:rsid w:val="002473E9"/>
    <w:rsid w:val="00250715"/>
    <w:rsid w:val="00250725"/>
    <w:rsid w:val="002535D9"/>
    <w:rsid w:val="00255B9A"/>
    <w:rsid w:val="00256760"/>
    <w:rsid w:val="00260B9C"/>
    <w:rsid w:val="00263B0C"/>
    <w:rsid w:val="00263EA0"/>
    <w:rsid w:val="00267192"/>
    <w:rsid w:val="002677BC"/>
    <w:rsid w:val="002736A7"/>
    <w:rsid w:val="00274537"/>
    <w:rsid w:val="0027520A"/>
    <w:rsid w:val="0028180C"/>
    <w:rsid w:val="00285DAC"/>
    <w:rsid w:val="002A397E"/>
    <w:rsid w:val="002A6F55"/>
    <w:rsid w:val="002A751E"/>
    <w:rsid w:val="002B0AC6"/>
    <w:rsid w:val="002B539C"/>
    <w:rsid w:val="002B5BF3"/>
    <w:rsid w:val="002B7735"/>
    <w:rsid w:val="002C05E2"/>
    <w:rsid w:val="002D25D9"/>
    <w:rsid w:val="002D3A06"/>
    <w:rsid w:val="002E119F"/>
    <w:rsid w:val="002E162E"/>
    <w:rsid w:val="002E25EE"/>
    <w:rsid w:val="002E7484"/>
    <w:rsid w:val="002F385C"/>
    <w:rsid w:val="002F4CC0"/>
    <w:rsid w:val="003026FE"/>
    <w:rsid w:val="003071EE"/>
    <w:rsid w:val="00307654"/>
    <w:rsid w:val="003079D7"/>
    <w:rsid w:val="00310126"/>
    <w:rsid w:val="003130A0"/>
    <w:rsid w:val="00314177"/>
    <w:rsid w:val="003278FA"/>
    <w:rsid w:val="003326F6"/>
    <w:rsid w:val="00333C70"/>
    <w:rsid w:val="00336DA1"/>
    <w:rsid w:val="00340BB6"/>
    <w:rsid w:val="00340EF8"/>
    <w:rsid w:val="003427CE"/>
    <w:rsid w:val="00356052"/>
    <w:rsid w:val="003635B5"/>
    <w:rsid w:val="0037007D"/>
    <w:rsid w:val="00370D45"/>
    <w:rsid w:val="003815F6"/>
    <w:rsid w:val="00386861"/>
    <w:rsid w:val="0039729D"/>
    <w:rsid w:val="0039757D"/>
    <w:rsid w:val="003A387B"/>
    <w:rsid w:val="003C06B0"/>
    <w:rsid w:val="003C2913"/>
    <w:rsid w:val="003C3D66"/>
    <w:rsid w:val="003C5259"/>
    <w:rsid w:val="003C592B"/>
    <w:rsid w:val="003C67DD"/>
    <w:rsid w:val="003E1910"/>
    <w:rsid w:val="003E1BA7"/>
    <w:rsid w:val="003E1D55"/>
    <w:rsid w:val="003E456D"/>
    <w:rsid w:val="003E609B"/>
    <w:rsid w:val="003E63EF"/>
    <w:rsid w:val="003F3B9B"/>
    <w:rsid w:val="003F4675"/>
    <w:rsid w:val="003F4A1B"/>
    <w:rsid w:val="003F7085"/>
    <w:rsid w:val="004000F1"/>
    <w:rsid w:val="00400E4E"/>
    <w:rsid w:val="0040376B"/>
    <w:rsid w:val="0041150A"/>
    <w:rsid w:val="00416CDA"/>
    <w:rsid w:val="00420756"/>
    <w:rsid w:val="00422BE9"/>
    <w:rsid w:val="00422DDF"/>
    <w:rsid w:val="00422DFC"/>
    <w:rsid w:val="0043168F"/>
    <w:rsid w:val="00431DDF"/>
    <w:rsid w:val="004377F4"/>
    <w:rsid w:val="00441C92"/>
    <w:rsid w:val="004435BA"/>
    <w:rsid w:val="00445E0F"/>
    <w:rsid w:val="004460F4"/>
    <w:rsid w:val="00447C07"/>
    <w:rsid w:val="00451B52"/>
    <w:rsid w:val="00454EB3"/>
    <w:rsid w:val="00461B53"/>
    <w:rsid w:val="00474247"/>
    <w:rsid w:val="0048532E"/>
    <w:rsid w:val="00491250"/>
    <w:rsid w:val="00491412"/>
    <w:rsid w:val="0049553F"/>
    <w:rsid w:val="004A2EE3"/>
    <w:rsid w:val="004B3491"/>
    <w:rsid w:val="004B7B93"/>
    <w:rsid w:val="004C059D"/>
    <w:rsid w:val="004C61A2"/>
    <w:rsid w:val="004D324F"/>
    <w:rsid w:val="004E3650"/>
    <w:rsid w:val="004E7C87"/>
    <w:rsid w:val="004F1574"/>
    <w:rsid w:val="004F3ECA"/>
    <w:rsid w:val="004F6066"/>
    <w:rsid w:val="004F6840"/>
    <w:rsid w:val="004F70AB"/>
    <w:rsid w:val="004F79C9"/>
    <w:rsid w:val="005001CD"/>
    <w:rsid w:val="00503CC5"/>
    <w:rsid w:val="00504AA0"/>
    <w:rsid w:val="00513910"/>
    <w:rsid w:val="00513F83"/>
    <w:rsid w:val="00514674"/>
    <w:rsid w:val="00516F40"/>
    <w:rsid w:val="005214F4"/>
    <w:rsid w:val="0053199F"/>
    <w:rsid w:val="00531B6E"/>
    <w:rsid w:val="005324AF"/>
    <w:rsid w:val="00536A25"/>
    <w:rsid w:val="00543118"/>
    <w:rsid w:val="00545815"/>
    <w:rsid w:val="0054728D"/>
    <w:rsid w:val="0055559C"/>
    <w:rsid w:val="00556619"/>
    <w:rsid w:val="00563CDE"/>
    <w:rsid w:val="005663A6"/>
    <w:rsid w:val="00567823"/>
    <w:rsid w:val="005716A0"/>
    <w:rsid w:val="00571E63"/>
    <w:rsid w:val="0057345A"/>
    <w:rsid w:val="00573E4A"/>
    <w:rsid w:val="005759B8"/>
    <w:rsid w:val="00576827"/>
    <w:rsid w:val="005771AD"/>
    <w:rsid w:val="005824B6"/>
    <w:rsid w:val="005848B2"/>
    <w:rsid w:val="0058687A"/>
    <w:rsid w:val="00587399"/>
    <w:rsid w:val="005A0299"/>
    <w:rsid w:val="005A0764"/>
    <w:rsid w:val="005A56FF"/>
    <w:rsid w:val="005B2BD8"/>
    <w:rsid w:val="005B4596"/>
    <w:rsid w:val="005B5D94"/>
    <w:rsid w:val="005B7D9F"/>
    <w:rsid w:val="005C0338"/>
    <w:rsid w:val="005C40E0"/>
    <w:rsid w:val="005C482B"/>
    <w:rsid w:val="005C621B"/>
    <w:rsid w:val="005C6F46"/>
    <w:rsid w:val="005D1207"/>
    <w:rsid w:val="005D2D65"/>
    <w:rsid w:val="005D414D"/>
    <w:rsid w:val="005D7AFF"/>
    <w:rsid w:val="005F17F4"/>
    <w:rsid w:val="005F32C5"/>
    <w:rsid w:val="005F3C27"/>
    <w:rsid w:val="005F7383"/>
    <w:rsid w:val="00601DFE"/>
    <w:rsid w:val="006058D5"/>
    <w:rsid w:val="00606A1A"/>
    <w:rsid w:val="0060745F"/>
    <w:rsid w:val="00610030"/>
    <w:rsid w:val="006107DA"/>
    <w:rsid w:val="00614E10"/>
    <w:rsid w:val="0062759F"/>
    <w:rsid w:val="00634399"/>
    <w:rsid w:val="00635152"/>
    <w:rsid w:val="0063571D"/>
    <w:rsid w:val="0064018F"/>
    <w:rsid w:val="00652033"/>
    <w:rsid w:val="0065785F"/>
    <w:rsid w:val="006648C6"/>
    <w:rsid w:val="00665254"/>
    <w:rsid w:val="006661B5"/>
    <w:rsid w:val="0066710F"/>
    <w:rsid w:val="0067097B"/>
    <w:rsid w:val="0068057D"/>
    <w:rsid w:val="0068272D"/>
    <w:rsid w:val="00683C5F"/>
    <w:rsid w:val="00687011"/>
    <w:rsid w:val="00687519"/>
    <w:rsid w:val="00690E5E"/>
    <w:rsid w:val="00692579"/>
    <w:rsid w:val="00692871"/>
    <w:rsid w:val="00692DFD"/>
    <w:rsid w:val="006937DF"/>
    <w:rsid w:val="006947DE"/>
    <w:rsid w:val="006972FD"/>
    <w:rsid w:val="006A34B7"/>
    <w:rsid w:val="006B3CA1"/>
    <w:rsid w:val="006C06A1"/>
    <w:rsid w:val="006C400B"/>
    <w:rsid w:val="006C50D2"/>
    <w:rsid w:val="006C561D"/>
    <w:rsid w:val="006C580D"/>
    <w:rsid w:val="006D00C8"/>
    <w:rsid w:val="006D13F7"/>
    <w:rsid w:val="006D3075"/>
    <w:rsid w:val="006D5A55"/>
    <w:rsid w:val="006D76B6"/>
    <w:rsid w:val="006D7C84"/>
    <w:rsid w:val="006E0C87"/>
    <w:rsid w:val="006E1F5B"/>
    <w:rsid w:val="006E2ED4"/>
    <w:rsid w:val="006F0A63"/>
    <w:rsid w:val="006F16E9"/>
    <w:rsid w:val="006F7EB8"/>
    <w:rsid w:val="007003A5"/>
    <w:rsid w:val="007004EE"/>
    <w:rsid w:val="007026A7"/>
    <w:rsid w:val="00702EAF"/>
    <w:rsid w:val="00705E2B"/>
    <w:rsid w:val="00706624"/>
    <w:rsid w:val="007109BF"/>
    <w:rsid w:val="0071344C"/>
    <w:rsid w:val="00714E40"/>
    <w:rsid w:val="007155AF"/>
    <w:rsid w:val="007164A5"/>
    <w:rsid w:val="00726D34"/>
    <w:rsid w:val="00727555"/>
    <w:rsid w:val="007278AB"/>
    <w:rsid w:val="0073324B"/>
    <w:rsid w:val="0073508C"/>
    <w:rsid w:val="007375BD"/>
    <w:rsid w:val="00737FE0"/>
    <w:rsid w:val="00744F09"/>
    <w:rsid w:val="00746DDD"/>
    <w:rsid w:val="0075253C"/>
    <w:rsid w:val="007603F8"/>
    <w:rsid w:val="00764F36"/>
    <w:rsid w:val="00766B8E"/>
    <w:rsid w:val="00780064"/>
    <w:rsid w:val="00790148"/>
    <w:rsid w:val="007A168E"/>
    <w:rsid w:val="007A7C69"/>
    <w:rsid w:val="007A7DB4"/>
    <w:rsid w:val="007B1AC9"/>
    <w:rsid w:val="007B3382"/>
    <w:rsid w:val="007C7D36"/>
    <w:rsid w:val="007D0594"/>
    <w:rsid w:val="007D5A4A"/>
    <w:rsid w:val="007E0D6A"/>
    <w:rsid w:val="007F1C30"/>
    <w:rsid w:val="007F4DCA"/>
    <w:rsid w:val="007F6E14"/>
    <w:rsid w:val="007F6F58"/>
    <w:rsid w:val="007F7E15"/>
    <w:rsid w:val="008075E0"/>
    <w:rsid w:val="00807B2C"/>
    <w:rsid w:val="00813AC9"/>
    <w:rsid w:val="00820AE7"/>
    <w:rsid w:val="00830CCD"/>
    <w:rsid w:val="0083401C"/>
    <w:rsid w:val="008370B3"/>
    <w:rsid w:val="008479D4"/>
    <w:rsid w:val="008665DD"/>
    <w:rsid w:val="0087406B"/>
    <w:rsid w:val="00874343"/>
    <w:rsid w:val="00875977"/>
    <w:rsid w:val="008777D6"/>
    <w:rsid w:val="00877DBE"/>
    <w:rsid w:val="0088056E"/>
    <w:rsid w:val="00880ADD"/>
    <w:rsid w:val="008813AA"/>
    <w:rsid w:val="00883B8D"/>
    <w:rsid w:val="00895CEF"/>
    <w:rsid w:val="00896CF6"/>
    <w:rsid w:val="008A1B90"/>
    <w:rsid w:val="008A5CCF"/>
    <w:rsid w:val="008B03C9"/>
    <w:rsid w:val="008B044D"/>
    <w:rsid w:val="008B2F6E"/>
    <w:rsid w:val="008B44E5"/>
    <w:rsid w:val="008B4B7B"/>
    <w:rsid w:val="008B7231"/>
    <w:rsid w:val="008C4186"/>
    <w:rsid w:val="008C5408"/>
    <w:rsid w:val="008D0451"/>
    <w:rsid w:val="008D06BB"/>
    <w:rsid w:val="008D237A"/>
    <w:rsid w:val="008D39A2"/>
    <w:rsid w:val="008D3C13"/>
    <w:rsid w:val="008D68AF"/>
    <w:rsid w:val="008D754F"/>
    <w:rsid w:val="008E000C"/>
    <w:rsid w:val="008E1390"/>
    <w:rsid w:val="008E1596"/>
    <w:rsid w:val="008E26B1"/>
    <w:rsid w:val="008E6545"/>
    <w:rsid w:val="008E7EB5"/>
    <w:rsid w:val="008F28F5"/>
    <w:rsid w:val="008F63A5"/>
    <w:rsid w:val="008F7D50"/>
    <w:rsid w:val="008F7EC9"/>
    <w:rsid w:val="00900487"/>
    <w:rsid w:val="00901D31"/>
    <w:rsid w:val="00902F03"/>
    <w:rsid w:val="009067A8"/>
    <w:rsid w:val="00913E06"/>
    <w:rsid w:val="00913ED5"/>
    <w:rsid w:val="00914F2A"/>
    <w:rsid w:val="00915ADE"/>
    <w:rsid w:val="00916F85"/>
    <w:rsid w:val="00920776"/>
    <w:rsid w:val="009257E9"/>
    <w:rsid w:val="0092673C"/>
    <w:rsid w:val="00933EED"/>
    <w:rsid w:val="00935A7A"/>
    <w:rsid w:val="009366AE"/>
    <w:rsid w:val="00936935"/>
    <w:rsid w:val="009404AC"/>
    <w:rsid w:val="009407DC"/>
    <w:rsid w:val="0094203F"/>
    <w:rsid w:val="009439AF"/>
    <w:rsid w:val="00946E10"/>
    <w:rsid w:val="0095024A"/>
    <w:rsid w:val="00950A46"/>
    <w:rsid w:val="00952F73"/>
    <w:rsid w:val="009535EE"/>
    <w:rsid w:val="0095788E"/>
    <w:rsid w:val="0095797A"/>
    <w:rsid w:val="00962A63"/>
    <w:rsid w:val="00964A3C"/>
    <w:rsid w:val="009653CF"/>
    <w:rsid w:val="00975EFA"/>
    <w:rsid w:val="00980420"/>
    <w:rsid w:val="009818E8"/>
    <w:rsid w:val="009829F5"/>
    <w:rsid w:val="0098701D"/>
    <w:rsid w:val="009903F0"/>
    <w:rsid w:val="00996484"/>
    <w:rsid w:val="00996B04"/>
    <w:rsid w:val="009A4023"/>
    <w:rsid w:val="009A62C6"/>
    <w:rsid w:val="009C070E"/>
    <w:rsid w:val="009C1F37"/>
    <w:rsid w:val="009C5F8F"/>
    <w:rsid w:val="009D28B6"/>
    <w:rsid w:val="009E0CC0"/>
    <w:rsid w:val="009E6017"/>
    <w:rsid w:val="009F1962"/>
    <w:rsid w:val="009F3A4B"/>
    <w:rsid w:val="009F4851"/>
    <w:rsid w:val="009F48B7"/>
    <w:rsid w:val="009F4FCE"/>
    <w:rsid w:val="00A014B1"/>
    <w:rsid w:val="00A01A92"/>
    <w:rsid w:val="00A04E5B"/>
    <w:rsid w:val="00A12B9E"/>
    <w:rsid w:val="00A13399"/>
    <w:rsid w:val="00A26785"/>
    <w:rsid w:val="00A30F98"/>
    <w:rsid w:val="00A32D90"/>
    <w:rsid w:val="00A3605C"/>
    <w:rsid w:val="00A37DFE"/>
    <w:rsid w:val="00A524C4"/>
    <w:rsid w:val="00A5256A"/>
    <w:rsid w:val="00A53F11"/>
    <w:rsid w:val="00A56171"/>
    <w:rsid w:val="00A600C7"/>
    <w:rsid w:val="00A659E2"/>
    <w:rsid w:val="00A67D3A"/>
    <w:rsid w:val="00A70E64"/>
    <w:rsid w:val="00A73FEF"/>
    <w:rsid w:val="00A74F8C"/>
    <w:rsid w:val="00A96A4A"/>
    <w:rsid w:val="00AA48AF"/>
    <w:rsid w:val="00AB0164"/>
    <w:rsid w:val="00AB24E7"/>
    <w:rsid w:val="00AB55E3"/>
    <w:rsid w:val="00AB7C78"/>
    <w:rsid w:val="00AC2B73"/>
    <w:rsid w:val="00AD2EED"/>
    <w:rsid w:val="00AD63CD"/>
    <w:rsid w:val="00AD77B4"/>
    <w:rsid w:val="00AE2674"/>
    <w:rsid w:val="00AE4142"/>
    <w:rsid w:val="00AF4A19"/>
    <w:rsid w:val="00AF4C83"/>
    <w:rsid w:val="00AF5C75"/>
    <w:rsid w:val="00AF6CC6"/>
    <w:rsid w:val="00B02EB9"/>
    <w:rsid w:val="00B0741B"/>
    <w:rsid w:val="00B118A8"/>
    <w:rsid w:val="00B1636A"/>
    <w:rsid w:val="00B17CD2"/>
    <w:rsid w:val="00B20B42"/>
    <w:rsid w:val="00B21CB1"/>
    <w:rsid w:val="00B262CC"/>
    <w:rsid w:val="00B340FA"/>
    <w:rsid w:val="00B40855"/>
    <w:rsid w:val="00B41973"/>
    <w:rsid w:val="00B4251F"/>
    <w:rsid w:val="00B451CD"/>
    <w:rsid w:val="00B460E3"/>
    <w:rsid w:val="00B502A0"/>
    <w:rsid w:val="00B52D69"/>
    <w:rsid w:val="00B55844"/>
    <w:rsid w:val="00B57FA1"/>
    <w:rsid w:val="00B606BA"/>
    <w:rsid w:val="00B64EDE"/>
    <w:rsid w:val="00B70E4B"/>
    <w:rsid w:val="00B7184B"/>
    <w:rsid w:val="00B71D3E"/>
    <w:rsid w:val="00B759EA"/>
    <w:rsid w:val="00B8380C"/>
    <w:rsid w:val="00B87383"/>
    <w:rsid w:val="00B90CC3"/>
    <w:rsid w:val="00B9263A"/>
    <w:rsid w:val="00B92729"/>
    <w:rsid w:val="00BA00BF"/>
    <w:rsid w:val="00BA122E"/>
    <w:rsid w:val="00BA65FD"/>
    <w:rsid w:val="00BB0163"/>
    <w:rsid w:val="00BB0E6D"/>
    <w:rsid w:val="00BB5FB1"/>
    <w:rsid w:val="00BC418A"/>
    <w:rsid w:val="00BC71D0"/>
    <w:rsid w:val="00BD0CD1"/>
    <w:rsid w:val="00BD2440"/>
    <w:rsid w:val="00BD3DF4"/>
    <w:rsid w:val="00BD6A34"/>
    <w:rsid w:val="00BE4C6A"/>
    <w:rsid w:val="00BE6A61"/>
    <w:rsid w:val="00BE6C81"/>
    <w:rsid w:val="00BE70AE"/>
    <w:rsid w:val="00BE7B12"/>
    <w:rsid w:val="00BF1233"/>
    <w:rsid w:val="00BF155D"/>
    <w:rsid w:val="00BF17F3"/>
    <w:rsid w:val="00BF4746"/>
    <w:rsid w:val="00BF52D8"/>
    <w:rsid w:val="00BF542F"/>
    <w:rsid w:val="00C0230B"/>
    <w:rsid w:val="00C02D6B"/>
    <w:rsid w:val="00C0369E"/>
    <w:rsid w:val="00C0410D"/>
    <w:rsid w:val="00C148DF"/>
    <w:rsid w:val="00C1566B"/>
    <w:rsid w:val="00C16624"/>
    <w:rsid w:val="00C34CF2"/>
    <w:rsid w:val="00C36DDD"/>
    <w:rsid w:val="00C52FF9"/>
    <w:rsid w:val="00C6046F"/>
    <w:rsid w:val="00C6267F"/>
    <w:rsid w:val="00C665E8"/>
    <w:rsid w:val="00C72E93"/>
    <w:rsid w:val="00C73382"/>
    <w:rsid w:val="00C80994"/>
    <w:rsid w:val="00C815E4"/>
    <w:rsid w:val="00C8166F"/>
    <w:rsid w:val="00C83CD6"/>
    <w:rsid w:val="00C9118C"/>
    <w:rsid w:val="00C9609A"/>
    <w:rsid w:val="00C97A4A"/>
    <w:rsid w:val="00CA45AA"/>
    <w:rsid w:val="00CA467C"/>
    <w:rsid w:val="00CA6532"/>
    <w:rsid w:val="00CA6E91"/>
    <w:rsid w:val="00CB4796"/>
    <w:rsid w:val="00CC2425"/>
    <w:rsid w:val="00CC3A5C"/>
    <w:rsid w:val="00CC439E"/>
    <w:rsid w:val="00CD038B"/>
    <w:rsid w:val="00CD76F1"/>
    <w:rsid w:val="00CE0A9B"/>
    <w:rsid w:val="00CE1107"/>
    <w:rsid w:val="00CE65A2"/>
    <w:rsid w:val="00CF3B0E"/>
    <w:rsid w:val="00CF3D4B"/>
    <w:rsid w:val="00D0273D"/>
    <w:rsid w:val="00D07151"/>
    <w:rsid w:val="00D075D9"/>
    <w:rsid w:val="00D101BB"/>
    <w:rsid w:val="00D128EE"/>
    <w:rsid w:val="00D152A5"/>
    <w:rsid w:val="00D1611A"/>
    <w:rsid w:val="00D17B30"/>
    <w:rsid w:val="00D2074A"/>
    <w:rsid w:val="00D23C01"/>
    <w:rsid w:val="00D3033F"/>
    <w:rsid w:val="00D32A3B"/>
    <w:rsid w:val="00D53595"/>
    <w:rsid w:val="00D65399"/>
    <w:rsid w:val="00D66210"/>
    <w:rsid w:val="00D665D1"/>
    <w:rsid w:val="00D70E80"/>
    <w:rsid w:val="00D71A0A"/>
    <w:rsid w:val="00D758B8"/>
    <w:rsid w:val="00D76067"/>
    <w:rsid w:val="00D7746F"/>
    <w:rsid w:val="00D83BB6"/>
    <w:rsid w:val="00D91C3C"/>
    <w:rsid w:val="00D92F7C"/>
    <w:rsid w:val="00D95EAE"/>
    <w:rsid w:val="00DA1065"/>
    <w:rsid w:val="00DA255C"/>
    <w:rsid w:val="00DB411A"/>
    <w:rsid w:val="00DB413F"/>
    <w:rsid w:val="00DC76C5"/>
    <w:rsid w:val="00DC7DDC"/>
    <w:rsid w:val="00DD19F6"/>
    <w:rsid w:val="00DD537D"/>
    <w:rsid w:val="00DD5E78"/>
    <w:rsid w:val="00DD6A2D"/>
    <w:rsid w:val="00DE080F"/>
    <w:rsid w:val="00DE1021"/>
    <w:rsid w:val="00DE60DC"/>
    <w:rsid w:val="00DE6704"/>
    <w:rsid w:val="00DF52A2"/>
    <w:rsid w:val="00DF6702"/>
    <w:rsid w:val="00E0177B"/>
    <w:rsid w:val="00E022A4"/>
    <w:rsid w:val="00E02FEB"/>
    <w:rsid w:val="00E03E50"/>
    <w:rsid w:val="00E07824"/>
    <w:rsid w:val="00E10BB5"/>
    <w:rsid w:val="00E11923"/>
    <w:rsid w:val="00E12843"/>
    <w:rsid w:val="00E149CE"/>
    <w:rsid w:val="00E1603B"/>
    <w:rsid w:val="00E21752"/>
    <w:rsid w:val="00E23D42"/>
    <w:rsid w:val="00E34C79"/>
    <w:rsid w:val="00E37E86"/>
    <w:rsid w:val="00E460D1"/>
    <w:rsid w:val="00E514F9"/>
    <w:rsid w:val="00E549B9"/>
    <w:rsid w:val="00E54A03"/>
    <w:rsid w:val="00E5698D"/>
    <w:rsid w:val="00E617D3"/>
    <w:rsid w:val="00E62B6A"/>
    <w:rsid w:val="00E7296E"/>
    <w:rsid w:val="00E7505E"/>
    <w:rsid w:val="00E830FA"/>
    <w:rsid w:val="00E83A23"/>
    <w:rsid w:val="00E84036"/>
    <w:rsid w:val="00E9049B"/>
    <w:rsid w:val="00E917A8"/>
    <w:rsid w:val="00E9183F"/>
    <w:rsid w:val="00E935B0"/>
    <w:rsid w:val="00EA09F4"/>
    <w:rsid w:val="00EA4E11"/>
    <w:rsid w:val="00EA5568"/>
    <w:rsid w:val="00EB1B79"/>
    <w:rsid w:val="00EB4200"/>
    <w:rsid w:val="00EB4975"/>
    <w:rsid w:val="00EB578F"/>
    <w:rsid w:val="00EC17DC"/>
    <w:rsid w:val="00EC17EB"/>
    <w:rsid w:val="00EC1EFD"/>
    <w:rsid w:val="00EC566E"/>
    <w:rsid w:val="00EC7CA4"/>
    <w:rsid w:val="00ED708E"/>
    <w:rsid w:val="00EE0899"/>
    <w:rsid w:val="00EE0F57"/>
    <w:rsid w:val="00EE58C3"/>
    <w:rsid w:val="00EE7F73"/>
    <w:rsid w:val="00EF063E"/>
    <w:rsid w:val="00EF335C"/>
    <w:rsid w:val="00EF4745"/>
    <w:rsid w:val="00EF7952"/>
    <w:rsid w:val="00F036D2"/>
    <w:rsid w:val="00F057D5"/>
    <w:rsid w:val="00F0604B"/>
    <w:rsid w:val="00F250CC"/>
    <w:rsid w:val="00F2534C"/>
    <w:rsid w:val="00F25725"/>
    <w:rsid w:val="00F35EEC"/>
    <w:rsid w:val="00F40135"/>
    <w:rsid w:val="00F44779"/>
    <w:rsid w:val="00F5502D"/>
    <w:rsid w:val="00F5563E"/>
    <w:rsid w:val="00F60CC9"/>
    <w:rsid w:val="00F62015"/>
    <w:rsid w:val="00F62096"/>
    <w:rsid w:val="00F64CA2"/>
    <w:rsid w:val="00F65A13"/>
    <w:rsid w:val="00F72ACA"/>
    <w:rsid w:val="00F757C1"/>
    <w:rsid w:val="00F76851"/>
    <w:rsid w:val="00F77A0A"/>
    <w:rsid w:val="00F9215F"/>
    <w:rsid w:val="00F94E77"/>
    <w:rsid w:val="00F9543C"/>
    <w:rsid w:val="00FB0BD1"/>
    <w:rsid w:val="00FB5B0D"/>
    <w:rsid w:val="00FB78B1"/>
    <w:rsid w:val="00FB7E1C"/>
    <w:rsid w:val="00FC2BA7"/>
    <w:rsid w:val="00FC5A2D"/>
    <w:rsid w:val="00FD019D"/>
    <w:rsid w:val="00FD550E"/>
    <w:rsid w:val="00FE1930"/>
    <w:rsid w:val="00FE2A62"/>
    <w:rsid w:val="00FF01D4"/>
    <w:rsid w:val="00FF0F02"/>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25DF3"/>
  <w15:docId w15:val="{1583371B-2EAA-436F-A2AC-AEBA743D7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semiHidden="1" w:uiPriority="0" w:qFormat="1"/>
    <w:lsdException w:name="heading 2" w:semiHidden="1"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59" w:unhideWhenUsed="1" w:qFormat="1"/>
    <w:lsdException w:name="heading 8" w:semiHidden="1" w:uiPriority="59" w:unhideWhenUsed="1" w:qFormat="1"/>
    <w:lsdException w:name="heading 9" w:semiHidden="1" w:uiPriority="5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5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semiHidden="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CF2"/>
    <w:pPr>
      <w:spacing w:after="0" w:line="240" w:lineRule="auto"/>
    </w:pPr>
    <w:rPr>
      <w:rFonts w:ascii="Arial" w:eastAsia="Times New Roman" w:hAnsi="Arial" w:cs="Times New Roman"/>
    </w:rPr>
  </w:style>
  <w:style w:type="paragraph" w:styleId="Heading1">
    <w:name w:val="heading 1"/>
    <w:aliases w:val="(Alt+1),1,1st level,A MAJOR/BOLD,Attribute Heading 1,Ch,H1,Heading,Heading 1(Report Only),Roman 14 B Heading,Roman 14 B Heading1,Roman 14 B Heading11,Roman 14 B Heading2,Schedheading,Section Heading,ch,h1,h1 chapter heading,new page/chapter"/>
    <w:basedOn w:val="Normal"/>
    <w:next w:val="Normal"/>
    <w:link w:val="Heading1Char"/>
    <w:qFormat/>
    <w:pPr>
      <w:keepNext/>
      <w:keepLines/>
      <w:spacing w:before="480"/>
      <w:outlineLvl w:val="0"/>
    </w:pPr>
    <w:rPr>
      <w:rFonts w:asciiTheme="majorHAnsi" w:eastAsiaTheme="majorEastAsia" w:hAnsiTheme="majorHAnsi" w:cstheme="majorBidi"/>
      <w:b/>
      <w:bCs/>
      <w:color w:val="51216C" w:themeColor="accent1" w:themeShade="BF"/>
      <w:sz w:val="28"/>
      <w:szCs w:val="28"/>
    </w:rPr>
  </w:style>
  <w:style w:type="paragraph" w:styleId="Heading2">
    <w:name w:val="heading 2"/>
    <w:aliases w:val="(1.1,1.2,1.3 etc),2,21,22,23,24,25,2m,B,B Sub/Bold,B Sub/Bold1,Body Text (Reset numbering),H2,L2,Reset numbering,Subhead A,TF-Overskrit 2,h 2,h2,h2 main heading,m,section header,sub-sect,sub-sect1,sub-sect2,sub-sect3,sub-sect4,sub-sect5"/>
    <w:basedOn w:val="BodyText"/>
    <w:next w:val="BodyText2"/>
    <w:link w:val="Heading2Char"/>
    <w:qFormat/>
    <w:rsid w:val="00D128EE"/>
    <w:pPr>
      <w:tabs>
        <w:tab w:val="num" w:pos="709"/>
      </w:tabs>
      <w:spacing w:after="230"/>
      <w:ind w:left="709" w:hanging="709"/>
      <w:outlineLvl w:val="1"/>
    </w:pPr>
    <w:rPr>
      <w:b/>
    </w:rPr>
  </w:style>
  <w:style w:type="paragraph" w:styleId="Heading3">
    <w:name w:val="heading 3"/>
    <w:aliases w:val="(Alt+3),3,3m,3rd Level,C,C Sub-Sub/Italic,C Sub-Sub/Italic1,GPH Heading 3,H3,H31,Head 31,Head 32,HeadC,L3,Level 1 - 1,Level 1 - 2,Minor,Minor1,Numbered - 3,Para Heading 3,Para Heading 31,Sub-section,Sub2Para,h3,h3 sub heading,h3 sub heading1"/>
    <w:basedOn w:val="BodyText"/>
    <w:next w:val="BodyText3"/>
    <w:link w:val="Heading3Char"/>
    <w:qFormat/>
    <w:rsid w:val="00D128EE"/>
    <w:pPr>
      <w:tabs>
        <w:tab w:val="num" w:pos="709"/>
      </w:tabs>
      <w:spacing w:after="230"/>
      <w:ind w:left="709" w:hanging="709"/>
      <w:outlineLvl w:val="2"/>
    </w:pPr>
  </w:style>
  <w:style w:type="paragraph" w:styleId="Heading4">
    <w:name w:val="heading 4"/>
    <w:aliases w:val="14,141,1411,142,1421,143,4,41,411,42,43,D Sub-Sub/Plain,GPH Heading 4,H4,Level 2 - (a),Level 2 - a,Map Title,Second Level Heading HM,Subhead C,a.,h4,h4 sub sub heading,h41,h411,h42,h421,h43,h44,l4,l41,l411,l42,l421,l43,n,parapoint,¶,¶1"/>
    <w:basedOn w:val="BodyText"/>
    <w:link w:val="Heading4Char"/>
    <w:qFormat/>
    <w:rsid w:val="00D128EE"/>
    <w:pPr>
      <w:tabs>
        <w:tab w:val="num" w:pos="1418"/>
      </w:tabs>
      <w:spacing w:after="230"/>
      <w:ind w:left="1418" w:hanging="709"/>
      <w:outlineLvl w:val="3"/>
    </w:pPr>
  </w:style>
  <w:style w:type="paragraph" w:styleId="Heading5">
    <w:name w:val="heading 5"/>
    <w:aliases w:val="(A),Appendix A to X,FMH1,H5,Heading 5(unused),Heading 5*,Lev 5,Level 3 - (i),Level 3 - i,Response Type,Response Type1,Response Type2,Response Type3,Response Type4,Response Type5,Response Type6,Response Type7,Subheading,Third Level Heading,h5"/>
    <w:basedOn w:val="BodyText"/>
    <w:link w:val="Heading5Char"/>
    <w:qFormat/>
    <w:rsid w:val="00D128EE"/>
    <w:pPr>
      <w:tabs>
        <w:tab w:val="num" w:pos="2126"/>
      </w:tabs>
      <w:spacing w:after="230"/>
      <w:ind w:left="2126" w:hanging="708"/>
      <w:outlineLvl w:val="4"/>
    </w:pPr>
  </w:style>
  <w:style w:type="paragraph" w:styleId="Heading6">
    <w:name w:val="heading 6"/>
    <w:aliases w:val="(I),5,Blank 2,H6,H6 DO NOT USE,H61,H610,H611,H612,H613,H614,H615,H62,H63,H64,H65,H66,H67,H68,H69,Heading 6  Appendix Y &amp; Z,Heading 6(unused),ITT t6,L1 PIP,Legal Level 1.,Lev 6,Normal diagram,Numbered - 6,PA Appendix,PR14,bullet2,h6,sd,sub-dash"/>
    <w:basedOn w:val="BodyText"/>
    <w:link w:val="Heading6Char"/>
    <w:qFormat/>
    <w:rsid w:val="00D128EE"/>
    <w:pPr>
      <w:tabs>
        <w:tab w:val="num" w:pos="2835"/>
      </w:tabs>
      <w:spacing w:after="230"/>
      <w:ind w:left="2835" w:hanging="709"/>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1body,BT,BodText,Body Text - Level 2,Body Text 1.1,Body Text x,Body Txt,OC Body Text,OpinBody,Proposal Body,Report Body,T1,b,b-heading,bd,block,bo,body text,bt,bt wide,by,contents,full cell text,heading3,jfp_standard,memo body,sp,taten_body,tx"/>
    <w:basedOn w:val="Normal"/>
    <w:link w:val="BodyTextChar"/>
    <w:qFormat/>
    <w:pPr>
      <w:spacing w:after="240"/>
    </w:pPr>
  </w:style>
  <w:style w:type="character" w:customStyle="1" w:styleId="BodyTextChar">
    <w:name w:val="Body Text Char"/>
    <w:aliases w:val="1body Char,BT Char,BodText Char,Body Text - Level 2 Char,Body Text 1.1 Char,Body Text x Char,Body Txt Char,OC Body Text Char,OpinBody Char,Proposal Body Char,Report Body Char,T1 Char,b Char,b-heading Char,bd Char,block Char,bo Char"/>
    <w:basedOn w:val="DefaultParagraphFont"/>
    <w:link w:val="BodyText"/>
    <w:rPr>
      <w:sz w:val="20"/>
    </w:rPr>
  </w:style>
  <w:style w:type="paragraph" w:customStyle="1" w:styleId="BodyText1">
    <w:name w:val="Body Text 1"/>
    <w:basedOn w:val="BodyText"/>
    <w:link w:val="BodyText1Char"/>
    <w:qFormat/>
    <w:pPr>
      <w:ind w:left="720"/>
    </w:pPr>
  </w:style>
  <w:style w:type="paragraph" w:styleId="BodyText2">
    <w:name w:val="Body Text 2"/>
    <w:aliases w:val="bt2"/>
    <w:basedOn w:val="BodyText"/>
    <w:link w:val="BodyText2Char"/>
    <w:qFormat/>
    <w:pPr>
      <w:ind w:left="1440"/>
    </w:pPr>
  </w:style>
  <w:style w:type="character" w:customStyle="1" w:styleId="BodyText2Char">
    <w:name w:val="Body Text 2 Char"/>
    <w:aliases w:val="bt2 Char"/>
    <w:basedOn w:val="DefaultParagraphFont"/>
    <w:link w:val="BodyText2"/>
    <w:rPr>
      <w:sz w:val="20"/>
    </w:rPr>
  </w:style>
  <w:style w:type="paragraph" w:customStyle="1" w:styleId="CoverDocumentTitle">
    <w:name w:val="Cover Document Title"/>
    <w:basedOn w:val="BodyText"/>
    <w:next w:val="CoverDocumentDescription"/>
    <w:uiPriority w:val="3"/>
    <w:rPr>
      <w:rFonts w:cstheme="minorHAnsi"/>
      <w:sz w:val="32"/>
      <w:szCs w:val="36"/>
    </w:rPr>
  </w:style>
  <w:style w:type="paragraph" w:customStyle="1" w:styleId="CoverDate">
    <w:name w:val="Cover Date"/>
    <w:basedOn w:val="BodyText"/>
    <w:uiPriority w:val="5"/>
    <w:rPr>
      <w:b/>
      <w:bCs/>
      <w:sz w:val="28"/>
      <w:szCs w:val="28"/>
    </w:rPr>
  </w:style>
  <w:style w:type="paragraph" w:customStyle="1" w:styleId="CoverPartyName">
    <w:name w:val="Cover Party Name"/>
    <w:basedOn w:val="Normal"/>
    <w:next w:val="CoverPartyRole"/>
    <w:uiPriority w:val="5"/>
    <w:rPr>
      <w:b/>
      <w:bCs/>
      <w:sz w:val="22"/>
      <w:szCs w:val="24"/>
    </w:rPr>
  </w:style>
  <w:style w:type="paragraph" w:customStyle="1" w:styleId="CoverPartyRole">
    <w:name w:val="Cover Party Role"/>
    <w:basedOn w:val="BodyText"/>
    <w:next w:val="CoverPartyName"/>
    <w:uiPriority w:val="5"/>
    <w:rPr>
      <w:sz w:val="22"/>
      <w:szCs w:val="24"/>
    </w:rPr>
  </w:style>
  <w:style w:type="paragraph" w:customStyle="1" w:styleId="CoverText">
    <w:name w:val="Cover Text"/>
    <w:basedOn w:val="BodyText"/>
    <w:uiPriority w:val="5"/>
  </w:style>
  <w:style w:type="paragraph" w:customStyle="1" w:styleId="CoverDocumentDescription">
    <w:name w:val="Cover Document Description"/>
    <w:basedOn w:val="BodyText"/>
    <w:uiPriority w:val="4"/>
  </w:style>
  <w:style w:type="character" w:customStyle="1" w:styleId="Heading1Char">
    <w:name w:val="Heading 1 Char"/>
    <w:aliases w:val="(Alt+1) Char,1 Char,1st level Char,A MAJOR/BOLD Char,Attribute Heading 1 Char,Ch Char,H1 Char,Heading Char,Heading 1(Report Only) Char,Roman 14 B Heading Char,Roman 14 B Heading1 Char,Roman 14 B Heading11 Char,Roman 14 B Heading2 Char"/>
    <w:basedOn w:val="DefaultParagraphFont"/>
    <w:link w:val="Heading1"/>
    <w:rPr>
      <w:rFonts w:asciiTheme="majorHAnsi" w:eastAsiaTheme="majorEastAsia" w:hAnsiTheme="majorHAnsi" w:cstheme="majorBidi"/>
      <w:b/>
      <w:bCs/>
      <w:color w:val="51216C" w:themeColor="accent1" w:themeShade="BF"/>
      <w:sz w:val="28"/>
      <w:szCs w:val="28"/>
    </w:rPr>
  </w:style>
  <w:style w:type="paragraph" w:customStyle="1" w:styleId="TOCSubHeading">
    <w:name w:val="TOC Sub Heading"/>
    <w:basedOn w:val="BodyText"/>
    <w:uiPriority w:val="39"/>
    <w:pPr>
      <w:keepNext/>
    </w:pPr>
    <w:rPr>
      <w:b/>
      <w:bCs/>
    </w:rPr>
  </w:style>
  <w:style w:type="paragraph" w:customStyle="1" w:styleId="IntroHeading">
    <w:name w:val="Intro Heading"/>
    <w:basedOn w:val="BodyText"/>
    <w:next w:val="BodyText"/>
    <w:uiPriority w:val="9"/>
    <w:pPr>
      <w:keepNext/>
      <w:numPr>
        <w:numId w:val="4"/>
      </w:numPr>
    </w:pPr>
    <w:rPr>
      <w:b/>
      <w:bCs/>
      <w:sz w:val="22"/>
      <w:szCs w:val="24"/>
    </w:rPr>
  </w:style>
  <w:style w:type="paragraph" w:customStyle="1" w:styleId="Parties1">
    <w:name w:val="Parties 1"/>
    <w:basedOn w:val="BodyText"/>
    <w:uiPriority w:val="9"/>
    <w:pPr>
      <w:numPr>
        <w:ilvl w:val="1"/>
        <w:numId w:val="4"/>
      </w:numPr>
    </w:pPr>
  </w:style>
  <w:style w:type="paragraph" w:customStyle="1" w:styleId="Parties2">
    <w:name w:val="Parties 2"/>
    <w:basedOn w:val="BodyText"/>
    <w:uiPriority w:val="9"/>
    <w:pPr>
      <w:numPr>
        <w:ilvl w:val="2"/>
        <w:numId w:val="4"/>
      </w:numPr>
    </w:pPr>
  </w:style>
  <w:style w:type="paragraph" w:customStyle="1" w:styleId="Background1">
    <w:name w:val="Background 1"/>
    <w:basedOn w:val="BodyText"/>
    <w:uiPriority w:val="11"/>
    <w:pPr>
      <w:numPr>
        <w:ilvl w:val="3"/>
        <w:numId w:val="4"/>
      </w:numPr>
    </w:pPr>
  </w:style>
  <w:style w:type="paragraph" w:customStyle="1" w:styleId="Background2">
    <w:name w:val="Background 2"/>
    <w:basedOn w:val="BodyText"/>
    <w:uiPriority w:val="11"/>
    <w:pPr>
      <w:numPr>
        <w:ilvl w:val="4"/>
        <w:numId w:val="4"/>
      </w:numPr>
    </w:pPr>
  </w:style>
  <w:style w:type="paragraph" w:customStyle="1" w:styleId="Level1Heading">
    <w:name w:val="Level 1 Heading"/>
    <w:basedOn w:val="BodyText"/>
    <w:next w:val="BodyText1"/>
    <w:uiPriority w:val="69"/>
    <w:qFormat/>
    <w:pPr>
      <w:keepNext/>
      <w:numPr>
        <w:numId w:val="1"/>
      </w:numPr>
      <w:outlineLvl w:val="0"/>
    </w:pPr>
    <w:rPr>
      <w:b/>
      <w:bCs/>
      <w:sz w:val="22"/>
      <w:szCs w:val="24"/>
    </w:rPr>
  </w:style>
  <w:style w:type="paragraph" w:customStyle="1" w:styleId="Level2Number">
    <w:name w:val="Level 2 Number"/>
    <w:basedOn w:val="BodyText"/>
    <w:uiPriority w:val="69"/>
    <w:qFormat/>
    <w:pPr>
      <w:numPr>
        <w:ilvl w:val="1"/>
        <w:numId w:val="1"/>
      </w:numPr>
    </w:pPr>
  </w:style>
  <w:style w:type="paragraph" w:customStyle="1" w:styleId="Level3Number">
    <w:name w:val="Level 3 Number"/>
    <w:basedOn w:val="BodyText"/>
    <w:uiPriority w:val="69"/>
    <w:qFormat/>
    <w:pPr>
      <w:numPr>
        <w:ilvl w:val="2"/>
        <w:numId w:val="1"/>
      </w:numPr>
    </w:pPr>
  </w:style>
  <w:style w:type="paragraph" w:customStyle="1" w:styleId="Level4Number">
    <w:name w:val="Level 4 Number"/>
    <w:basedOn w:val="BodyText"/>
    <w:uiPriority w:val="69"/>
    <w:qFormat/>
    <w:pPr>
      <w:numPr>
        <w:ilvl w:val="3"/>
        <w:numId w:val="1"/>
      </w:numPr>
    </w:pPr>
  </w:style>
  <w:style w:type="paragraph" w:customStyle="1" w:styleId="Level5Number">
    <w:name w:val="Level 5 Number"/>
    <w:basedOn w:val="BodyText"/>
    <w:uiPriority w:val="69"/>
    <w:qFormat/>
    <w:pPr>
      <w:numPr>
        <w:ilvl w:val="4"/>
        <w:numId w:val="1"/>
      </w:numPr>
    </w:pPr>
  </w:style>
  <w:style w:type="paragraph" w:customStyle="1" w:styleId="Level6Number">
    <w:name w:val="Level 6 Number"/>
    <w:basedOn w:val="BodyText"/>
    <w:uiPriority w:val="69"/>
    <w:qFormat/>
    <w:pPr>
      <w:numPr>
        <w:ilvl w:val="5"/>
        <w:numId w:val="1"/>
      </w:numPr>
    </w:pPr>
  </w:style>
  <w:style w:type="paragraph" w:customStyle="1" w:styleId="Level7Number">
    <w:name w:val="Level 7 Number"/>
    <w:basedOn w:val="BodyText"/>
    <w:uiPriority w:val="69"/>
    <w:qFormat/>
    <w:pPr>
      <w:numPr>
        <w:ilvl w:val="6"/>
        <w:numId w:val="1"/>
      </w:numPr>
    </w:pPr>
  </w:style>
  <w:style w:type="paragraph" w:customStyle="1" w:styleId="Level8Number">
    <w:name w:val="Level 8 Number"/>
    <w:basedOn w:val="BodyText"/>
    <w:uiPriority w:val="69"/>
    <w:qFormat/>
    <w:pPr>
      <w:numPr>
        <w:ilvl w:val="7"/>
        <w:numId w:val="1"/>
      </w:numPr>
    </w:pPr>
  </w:style>
  <w:style w:type="paragraph" w:styleId="BodyText3">
    <w:name w:val="Body Text 3"/>
    <w:basedOn w:val="BodyText"/>
    <w:link w:val="BodyText3Char"/>
    <w:uiPriority w:val="19"/>
    <w:pPr>
      <w:ind w:left="2160"/>
    </w:pPr>
  </w:style>
  <w:style w:type="character" w:customStyle="1" w:styleId="BodyText3Char">
    <w:name w:val="Body Text 3 Char"/>
    <w:basedOn w:val="DefaultParagraphFont"/>
    <w:link w:val="BodyText3"/>
    <w:uiPriority w:val="19"/>
    <w:rPr>
      <w:sz w:val="20"/>
    </w:rPr>
  </w:style>
  <w:style w:type="paragraph" w:customStyle="1" w:styleId="BodyText4">
    <w:name w:val="Body Text 4"/>
    <w:basedOn w:val="BodyText"/>
    <w:uiPriority w:val="19"/>
    <w:pPr>
      <w:ind w:left="2880"/>
    </w:pPr>
  </w:style>
  <w:style w:type="paragraph" w:customStyle="1" w:styleId="BodyText5">
    <w:name w:val="Body Text 5"/>
    <w:basedOn w:val="BodyText"/>
    <w:uiPriority w:val="19"/>
    <w:pPr>
      <w:ind w:left="3600"/>
    </w:pPr>
  </w:style>
  <w:style w:type="paragraph" w:customStyle="1" w:styleId="BodyText6">
    <w:name w:val="Body Text 6"/>
    <w:basedOn w:val="BodyText"/>
    <w:uiPriority w:val="19"/>
    <w:pPr>
      <w:ind w:left="4320"/>
    </w:pPr>
  </w:style>
  <w:style w:type="paragraph" w:customStyle="1" w:styleId="Definition">
    <w:name w:val="Definition"/>
    <w:basedOn w:val="BodyText"/>
    <w:uiPriority w:val="21"/>
    <w:qFormat/>
    <w:pPr>
      <w:numPr>
        <w:numId w:val="3"/>
      </w:numPr>
      <w:outlineLvl w:val="4"/>
    </w:pPr>
  </w:style>
  <w:style w:type="paragraph" w:customStyle="1" w:styleId="Definition1">
    <w:name w:val="Definition 1"/>
    <w:basedOn w:val="BodyText"/>
    <w:uiPriority w:val="21"/>
    <w:pPr>
      <w:numPr>
        <w:ilvl w:val="1"/>
        <w:numId w:val="3"/>
      </w:numPr>
    </w:pPr>
  </w:style>
  <w:style w:type="paragraph" w:customStyle="1" w:styleId="Definition2">
    <w:name w:val="Definition 2"/>
    <w:basedOn w:val="BodyText"/>
    <w:uiPriority w:val="21"/>
    <w:pPr>
      <w:numPr>
        <w:ilvl w:val="2"/>
        <w:numId w:val="3"/>
      </w:numPr>
    </w:pPr>
  </w:style>
  <w:style w:type="paragraph" w:customStyle="1" w:styleId="Definition3">
    <w:name w:val="Definition 3"/>
    <w:basedOn w:val="BodyText"/>
    <w:uiPriority w:val="21"/>
    <w:pPr>
      <w:numPr>
        <w:ilvl w:val="3"/>
        <w:numId w:val="3"/>
      </w:numPr>
    </w:pPr>
  </w:style>
  <w:style w:type="paragraph" w:customStyle="1" w:styleId="Definition4">
    <w:name w:val="Definition 4"/>
    <w:basedOn w:val="BodyText"/>
    <w:uiPriority w:val="21"/>
    <w:pPr>
      <w:numPr>
        <w:ilvl w:val="4"/>
        <w:numId w:val="3"/>
      </w:numPr>
    </w:pPr>
  </w:style>
  <w:style w:type="paragraph" w:customStyle="1" w:styleId="Section">
    <w:name w:val="Section"/>
    <w:basedOn w:val="BodyText"/>
    <w:uiPriority w:val="24"/>
    <w:pPr>
      <w:keepNext/>
      <w:outlineLvl w:val="0"/>
    </w:pPr>
    <w:rPr>
      <w:b/>
      <w:bCs/>
      <w:sz w:val="22"/>
      <w:szCs w:val="24"/>
    </w:rPr>
  </w:style>
  <w:style w:type="paragraph" w:customStyle="1" w:styleId="Note">
    <w:name w:val="Note"/>
    <w:basedOn w:val="BodyText"/>
    <w:link w:val="NoteChar"/>
    <w:uiPriority w:val="19"/>
    <w:pPr>
      <w:shd w:val="clear" w:color="auto" w:fill="C5F0FF" w:themeFill="accent2" w:themeFillTint="33"/>
      <w:ind w:left="720"/>
    </w:pPr>
    <w:rPr>
      <w:rFonts w:cs="Arabic Transparent"/>
      <w:sz w:val="17"/>
      <w:szCs w:val="17"/>
    </w:rPr>
  </w:style>
  <w:style w:type="paragraph" w:customStyle="1" w:styleId="Schedule">
    <w:name w:val="Schedule"/>
    <w:basedOn w:val="BodyText"/>
    <w:next w:val="BodyText"/>
    <w:qFormat/>
    <w:pPr>
      <w:keepNext/>
      <w:numPr>
        <w:numId w:val="2"/>
      </w:numPr>
      <w:outlineLvl w:val="0"/>
    </w:pPr>
    <w:rPr>
      <w:b/>
      <w:bCs/>
      <w:sz w:val="28"/>
      <w:szCs w:val="32"/>
    </w:rPr>
  </w:style>
  <w:style w:type="paragraph" w:customStyle="1" w:styleId="Part">
    <w:name w:val="Part"/>
    <w:basedOn w:val="BodyText"/>
    <w:next w:val="BodyText"/>
    <w:uiPriority w:val="31"/>
    <w:qFormat/>
    <w:pPr>
      <w:keepNext/>
      <w:numPr>
        <w:ilvl w:val="2"/>
        <w:numId w:val="2"/>
      </w:numPr>
      <w:outlineLvl w:val="1"/>
    </w:pPr>
    <w:rPr>
      <w:b/>
      <w:bCs/>
      <w:sz w:val="24"/>
      <w:szCs w:val="28"/>
    </w:rPr>
  </w:style>
  <w:style w:type="paragraph" w:customStyle="1" w:styleId="Sch1Number">
    <w:name w:val="Sch 1 Number"/>
    <w:basedOn w:val="BodyText"/>
    <w:uiPriority w:val="31"/>
    <w:qFormat/>
    <w:pPr>
      <w:numPr>
        <w:ilvl w:val="3"/>
        <w:numId w:val="2"/>
      </w:numPr>
    </w:pPr>
  </w:style>
  <w:style w:type="paragraph" w:customStyle="1" w:styleId="Sch2Number">
    <w:name w:val="Sch 2 Number"/>
    <w:basedOn w:val="BodyText"/>
    <w:uiPriority w:val="31"/>
    <w:qFormat/>
    <w:pPr>
      <w:numPr>
        <w:ilvl w:val="4"/>
        <w:numId w:val="2"/>
      </w:numPr>
    </w:pPr>
  </w:style>
  <w:style w:type="paragraph" w:customStyle="1" w:styleId="Sch3Number">
    <w:name w:val="Sch 3 Number"/>
    <w:basedOn w:val="BodyText"/>
    <w:uiPriority w:val="31"/>
    <w:pPr>
      <w:numPr>
        <w:ilvl w:val="5"/>
        <w:numId w:val="2"/>
      </w:numPr>
    </w:pPr>
  </w:style>
  <w:style w:type="paragraph" w:customStyle="1" w:styleId="Sch4Number">
    <w:name w:val="Sch 4 Number"/>
    <w:basedOn w:val="BodyText"/>
    <w:uiPriority w:val="31"/>
    <w:qFormat/>
    <w:pPr>
      <w:numPr>
        <w:ilvl w:val="6"/>
        <w:numId w:val="2"/>
      </w:numPr>
    </w:pPr>
  </w:style>
  <w:style w:type="paragraph" w:customStyle="1" w:styleId="Sch5Number">
    <w:name w:val="Sch 5 Number"/>
    <w:basedOn w:val="BodyText"/>
    <w:uiPriority w:val="31"/>
    <w:pPr>
      <w:numPr>
        <w:ilvl w:val="7"/>
        <w:numId w:val="2"/>
      </w:numPr>
    </w:pPr>
  </w:style>
  <w:style w:type="paragraph" w:customStyle="1" w:styleId="Sch6Number">
    <w:name w:val="Sch 6 Number"/>
    <w:basedOn w:val="BodyText"/>
    <w:uiPriority w:val="31"/>
    <w:pPr>
      <w:numPr>
        <w:ilvl w:val="8"/>
        <w:numId w:val="2"/>
      </w:numPr>
    </w:pPr>
  </w:style>
  <w:style w:type="paragraph" w:customStyle="1" w:styleId="SubSchedule">
    <w:name w:val="Sub Schedule"/>
    <w:basedOn w:val="BodyText"/>
    <w:next w:val="BodyText"/>
    <w:uiPriority w:val="31"/>
    <w:pPr>
      <w:keepNext/>
      <w:numPr>
        <w:ilvl w:val="1"/>
        <w:numId w:val="2"/>
      </w:numPr>
      <w:outlineLvl w:val="1"/>
    </w:pPr>
    <w:rPr>
      <w:b/>
      <w:bCs/>
      <w:sz w:val="24"/>
      <w:szCs w:val="28"/>
    </w:rPr>
  </w:style>
  <w:style w:type="paragraph" w:customStyle="1" w:styleId="Appendix">
    <w:name w:val="Appendix"/>
    <w:basedOn w:val="BodyText"/>
    <w:next w:val="BodyText"/>
    <w:uiPriority w:val="37"/>
    <w:qFormat/>
    <w:pPr>
      <w:keepNext/>
      <w:numPr>
        <w:numId w:val="7"/>
      </w:numPr>
      <w:outlineLvl w:val="0"/>
    </w:pPr>
    <w:rPr>
      <w:b/>
      <w:bCs/>
      <w:sz w:val="28"/>
      <w:szCs w:val="32"/>
    </w:rPr>
  </w:style>
  <w:style w:type="paragraph" w:customStyle="1" w:styleId="Execution">
    <w:name w:val="Execution"/>
    <w:basedOn w:val="BodyText"/>
    <w:uiPriority w:val="39"/>
  </w:style>
  <w:style w:type="numbering" w:customStyle="1" w:styleId="MainNumbering">
    <w:name w:val="Main Numbering"/>
    <w:uiPriority w:val="99"/>
    <w:pPr>
      <w:numPr>
        <w:numId w:val="9"/>
      </w:numPr>
    </w:pPr>
  </w:style>
  <w:style w:type="numbering" w:customStyle="1" w:styleId="Schedules">
    <w:name w:val="Schedules"/>
    <w:uiPriority w:val="99"/>
    <w:pPr>
      <w:numPr>
        <w:numId w:val="2"/>
      </w:numPr>
    </w:pPr>
  </w:style>
  <w:style w:type="paragraph" w:customStyle="1" w:styleId="BodyTextBold">
    <w:name w:val="Body Text Bold"/>
    <w:basedOn w:val="BodyText"/>
    <w:uiPriority w:val="19"/>
    <w:pPr>
      <w:keepNext/>
    </w:pPr>
    <w:rPr>
      <w:b/>
      <w:bCs/>
    </w:rPr>
  </w:style>
  <w:style w:type="paragraph" w:customStyle="1" w:styleId="BodyText1Bold">
    <w:name w:val="Body Text 1 Bold"/>
    <w:basedOn w:val="BodyText1"/>
    <w:uiPriority w:val="19"/>
    <w:pPr>
      <w:keepNext/>
    </w:pPr>
    <w:rPr>
      <w:b/>
      <w:bCs/>
    </w:rPr>
  </w:style>
  <w:style w:type="numbering" w:customStyle="1" w:styleId="Definitions">
    <w:name w:val="Definitions"/>
    <w:uiPriority w:val="99"/>
    <w:pPr>
      <w:numPr>
        <w:numId w:val="3"/>
      </w:numPr>
    </w:pPr>
  </w:style>
  <w:style w:type="numbering" w:customStyle="1" w:styleId="Parties">
    <w:name w:val="Parties"/>
    <w:uiPriority w:val="99"/>
    <w:pPr>
      <w:numPr>
        <w:numId w:val="4"/>
      </w:numPr>
    </w:pPr>
  </w:style>
  <w:style w:type="paragraph" w:customStyle="1" w:styleId="Level3Heading">
    <w:name w:val="Level 3 Heading"/>
    <w:basedOn w:val="Level3Number"/>
    <w:next w:val="BodyText1"/>
    <w:uiPriority w:val="19"/>
    <w:pPr>
      <w:keepNext/>
      <w:outlineLvl w:val="2"/>
    </w:pPr>
    <w:rPr>
      <w:b/>
      <w:bCs/>
    </w:rPr>
  </w:style>
  <w:style w:type="paragraph" w:customStyle="1" w:styleId="Level2Heading">
    <w:name w:val="Level 2 Heading"/>
    <w:basedOn w:val="Level2Number"/>
    <w:next w:val="BodyText1"/>
    <w:uiPriority w:val="19"/>
    <w:qFormat/>
    <w:pPr>
      <w:keepNext/>
      <w:outlineLvl w:val="1"/>
    </w:pPr>
    <w:rPr>
      <w:b/>
      <w:bCs/>
    </w:rPr>
  </w:style>
  <w:style w:type="paragraph" w:customStyle="1" w:styleId="Level1Number">
    <w:name w:val="Level 1 Number"/>
    <w:basedOn w:val="Level1Heading"/>
    <w:uiPriority w:val="19"/>
    <w:pPr>
      <w:keepNext w:val="0"/>
      <w:outlineLvl w:val="9"/>
    </w:pPr>
    <w:rPr>
      <w:b w:val="0"/>
      <w:bCs w:val="0"/>
      <w:sz w:val="20"/>
      <w:szCs w:val="22"/>
    </w:rPr>
  </w:style>
  <w:style w:type="paragraph" w:customStyle="1" w:styleId="Level4Heading">
    <w:name w:val="Level 4 Heading"/>
    <w:basedOn w:val="Level4Number"/>
    <w:next w:val="BodyText2"/>
    <w:uiPriority w:val="19"/>
    <w:pPr>
      <w:keepNext/>
    </w:pPr>
    <w:rPr>
      <w:b/>
    </w:rPr>
  </w:style>
  <w:style w:type="paragraph" w:customStyle="1" w:styleId="Sch1Heading">
    <w:name w:val="Sch 1 Heading"/>
    <w:basedOn w:val="Sch1Number"/>
    <w:next w:val="BodyText1"/>
    <w:uiPriority w:val="79"/>
    <w:qFormat/>
    <w:pPr>
      <w:keepNext/>
      <w:outlineLvl w:val="2"/>
    </w:pPr>
    <w:rPr>
      <w:b/>
      <w:bCs/>
      <w:sz w:val="22"/>
      <w:szCs w:val="24"/>
    </w:rPr>
  </w:style>
  <w:style w:type="paragraph" w:customStyle="1" w:styleId="Sch2Heading">
    <w:name w:val="Sch 2 Heading"/>
    <w:basedOn w:val="Sch2Number"/>
    <w:next w:val="BodyText1"/>
    <w:uiPriority w:val="31"/>
    <w:pPr>
      <w:keepNext/>
    </w:pPr>
    <w:rPr>
      <w:b/>
      <w:bCs/>
    </w:rPr>
  </w:style>
  <w:style w:type="paragraph" w:customStyle="1" w:styleId="Sch3Heading">
    <w:name w:val="Sch 3 Heading"/>
    <w:basedOn w:val="Sch3Number"/>
    <w:next w:val="BodyText1"/>
    <w:uiPriority w:val="31"/>
    <w:pPr>
      <w:keepNext/>
    </w:pPr>
    <w:rPr>
      <w:b/>
    </w:rPr>
  </w:style>
  <w:style w:type="paragraph" w:customStyle="1" w:styleId="Sch4Heading">
    <w:name w:val="Sch 4 Heading"/>
    <w:basedOn w:val="Sch4Number"/>
    <w:next w:val="BodyText2"/>
    <w:uiPriority w:val="31"/>
    <w:pPr>
      <w:keepNext/>
    </w:pPr>
    <w:rPr>
      <w:b/>
    </w:rPr>
  </w:style>
  <w:style w:type="character" w:customStyle="1" w:styleId="DefinitionTerm">
    <w:name w:val="Definition Term"/>
    <w:basedOn w:val="DefaultParagraphFont"/>
    <w:uiPriority w:val="21"/>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Name">
    <w:name w:val="Document Name"/>
    <w:basedOn w:val="BodyText"/>
    <w:next w:val="IntroHeading"/>
    <w:uiPriority w:val="9"/>
    <w:pPr>
      <w:outlineLvl w:val="0"/>
    </w:pPr>
    <w:rPr>
      <w:b/>
      <w:bCs/>
      <w:sz w:val="28"/>
      <w:szCs w:val="32"/>
    </w:rPr>
  </w:style>
  <w:style w:type="paragraph" w:customStyle="1" w:styleId="BodyTextSmall">
    <w:name w:val="Body Text Small"/>
    <w:basedOn w:val="BodyText"/>
    <w:uiPriority w:val="19"/>
    <w:rPr>
      <w:sz w:val="18"/>
    </w:rPr>
  </w:style>
  <w:style w:type="paragraph" w:customStyle="1" w:styleId="Bullet">
    <w:name w:val="Bullet"/>
    <w:basedOn w:val="BodyText"/>
    <w:uiPriority w:val="21"/>
    <w:qFormat/>
    <w:pPr>
      <w:numPr>
        <w:numId w:val="5"/>
      </w:numPr>
    </w:pPr>
  </w:style>
  <w:style w:type="paragraph" w:customStyle="1" w:styleId="Bullet1">
    <w:name w:val="Bullet 1"/>
    <w:basedOn w:val="BodyText"/>
    <w:uiPriority w:val="21"/>
    <w:pPr>
      <w:numPr>
        <w:ilvl w:val="1"/>
        <w:numId w:val="5"/>
      </w:numPr>
    </w:pPr>
  </w:style>
  <w:style w:type="paragraph" w:customStyle="1" w:styleId="Bullet2">
    <w:name w:val="Bullet 2"/>
    <w:basedOn w:val="BodyText"/>
    <w:uiPriority w:val="21"/>
    <w:pPr>
      <w:numPr>
        <w:ilvl w:val="2"/>
        <w:numId w:val="5"/>
      </w:numPr>
    </w:pPr>
  </w:style>
  <w:style w:type="paragraph" w:customStyle="1" w:styleId="Bullet3">
    <w:name w:val="Bullet 3"/>
    <w:basedOn w:val="BodyText"/>
    <w:uiPriority w:val="21"/>
    <w:pPr>
      <w:numPr>
        <w:ilvl w:val="3"/>
        <w:numId w:val="5"/>
      </w:numPr>
    </w:pPr>
  </w:style>
  <w:style w:type="paragraph" w:customStyle="1" w:styleId="Bullet4">
    <w:name w:val="Bullet 4"/>
    <w:basedOn w:val="BodyText"/>
    <w:uiPriority w:val="21"/>
    <w:pPr>
      <w:numPr>
        <w:ilvl w:val="4"/>
        <w:numId w:val="5"/>
      </w:numPr>
    </w:pPr>
  </w:style>
  <w:style w:type="numbering" w:customStyle="1" w:styleId="Bullets">
    <w:name w:val="Bullets"/>
    <w:uiPriority w:val="99"/>
    <w:pPr>
      <w:numPr>
        <w:numId w:val="5"/>
      </w:numPr>
    </w:pPr>
  </w:style>
  <w:style w:type="paragraph" w:styleId="TOCHeading">
    <w:name w:val="TOC Heading"/>
    <w:basedOn w:val="BodyText"/>
    <w:next w:val="Normal"/>
    <w:uiPriority w:val="39"/>
    <w:pPr>
      <w:keepNext/>
      <w:pageBreakBefore/>
      <w:outlineLvl w:val="0"/>
    </w:pPr>
    <w:rPr>
      <w:b/>
      <w:bCs/>
      <w:sz w:val="28"/>
      <w:szCs w:val="32"/>
    </w:rPr>
  </w:style>
  <w:style w:type="paragraph" w:customStyle="1" w:styleId="PrecTitle">
    <w:name w:val="PrecTitle"/>
    <w:basedOn w:val="BodyText"/>
    <w:uiPriority w:val="34"/>
    <w:semiHidden/>
    <w:pPr>
      <w:spacing w:before="120" w:after="120"/>
    </w:pPr>
    <w:rPr>
      <w:b/>
      <w:bCs/>
      <w:sz w:val="32"/>
      <w:szCs w:val="34"/>
    </w:rPr>
  </w:style>
  <w:style w:type="paragraph" w:styleId="Footer">
    <w:name w:val="footer"/>
    <w:basedOn w:val="Normal"/>
    <w:link w:val="FooterChar"/>
    <w:pPr>
      <w:tabs>
        <w:tab w:val="center" w:pos="4513"/>
        <w:tab w:val="right" w:pos="9026"/>
      </w:tabs>
    </w:pPr>
    <w:rPr>
      <w:sz w:val="16"/>
      <w:szCs w:val="18"/>
    </w:rPr>
  </w:style>
  <w:style w:type="character" w:customStyle="1" w:styleId="FooterChar">
    <w:name w:val="Footer Char"/>
    <w:basedOn w:val="DefaultParagraphFont"/>
    <w:link w:val="Footer"/>
    <w:rPr>
      <w:sz w:val="16"/>
      <w:szCs w:val="18"/>
    </w:rPr>
  </w:style>
  <w:style w:type="paragraph" w:customStyle="1" w:styleId="Address">
    <w:name w:val="Address"/>
    <w:basedOn w:val="Normal"/>
    <w:uiPriority w:val="39"/>
    <w:rPr>
      <w:rFonts w:cs="Arial"/>
      <w:sz w:val="14"/>
      <w:szCs w:val="16"/>
    </w:rPr>
  </w:style>
  <w:style w:type="paragraph" w:styleId="TOC1">
    <w:name w:val="toc 1"/>
    <w:basedOn w:val="Normal"/>
    <w:next w:val="Normal"/>
    <w:autoRedefine/>
    <w:uiPriority w:val="39"/>
    <w:pPr>
      <w:tabs>
        <w:tab w:val="left" w:pos="720"/>
        <w:tab w:val="right" w:pos="9016"/>
      </w:tabs>
      <w:spacing w:before="160"/>
    </w:pPr>
    <w:rPr>
      <w:b/>
    </w:rPr>
  </w:style>
  <w:style w:type="paragraph" w:styleId="TOC2">
    <w:name w:val="toc 2"/>
    <w:basedOn w:val="Normal"/>
    <w:next w:val="Normal"/>
    <w:autoRedefine/>
    <w:uiPriority w:val="39"/>
    <w:pPr>
      <w:tabs>
        <w:tab w:val="left" w:pos="720"/>
        <w:tab w:val="right" w:pos="9016"/>
      </w:tabs>
      <w:spacing w:after="100"/>
      <w:contextualSpacing/>
    </w:pPr>
  </w:style>
  <w:style w:type="paragraph" w:styleId="TOC3">
    <w:name w:val="toc 3"/>
    <w:basedOn w:val="Normal"/>
    <w:next w:val="Normal"/>
    <w:autoRedefine/>
    <w:uiPriority w:val="39"/>
    <w:unhideWhenUsed/>
    <w:pPr>
      <w:spacing w:after="100"/>
      <w:ind w:left="400"/>
    </w:pPr>
  </w:style>
  <w:style w:type="character" w:styleId="Hyperlink">
    <w:name w:val="Hyperlink"/>
    <w:basedOn w:val="DefaultParagraphFont"/>
    <w:uiPriority w:val="99"/>
    <w:unhideWhenUsed/>
    <w:rPr>
      <w:color w:val="6E2D91" w:themeColor="hyperlink"/>
      <w:u w:val="single"/>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style>
  <w:style w:type="character" w:styleId="PageNumber">
    <w:name w:val="page number"/>
    <w:basedOn w:val="DefaultParagraphFont"/>
    <w:semiHidden/>
  </w:style>
  <w:style w:type="table" w:styleId="TableGrid">
    <w:name w:val="Table Grid"/>
    <w:basedOn w:val="TableNormal"/>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1Char">
    <w:name w:val="Body Text 1 Char"/>
    <w:basedOn w:val="BodyTextChar"/>
    <w:link w:val="BodyText1"/>
    <w:uiPriority w:val="54"/>
    <w:rPr>
      <w:sz w:val="20"/>
    </w:rPr>
  </w:style>
  <w:style w:type="character" w:customStyle="1" w:styleId="NoteChar">
    <w:name w:val="Note Char"/>
    <w:basedOn w:val="BodyTextChar"/>
    <w:link w:val="Note"/>
    <w:uiPriority w:val="19"/>
    <w:rPr>
      <w:rFonts w:ascii="Arial" w:eastAsia="Times New Roman" w:hAnsi="Arial" w:cs="Arabic Transparent"/>
      <w:sz w:val="17"/>
      <w:szCs w:val="17"/>
      <w:shd w:val="clear" w:color="auto" w:fill="C5F0FF" w:themeFill="accent2" w:themeFillTint="33"/>
    </w:rPr>
  </w:style>
  <w:style w:type="table" w:customStyle="1" w:styleId="PrecedentNotes">
    <w:name w:val="Precedent Notes"/>
    <w:basedOn w:val="TableNormal"/>
    <w:uiPriority w:val="99"/>
    <w:pPr>
      <w:spacing w:before="40" w:after="40" w:line="240" w:lineRule="auto"/>
    </w:pPr>
    <w:rPr>
      <w:sz w:val="18"/>
    </w:rPr>
    <w:tblPr>
      <w:tblBorders>
        <w:top w:val="single" w:sz="4" w:space="0" w:color="CECFCB" w:themeColor="background2"/>
        <w:left w:val="single" w:sz="4" w:space="0" w:color="CECFCB" w:themeColor="background2"/>
        <w:bottom w:val="single" w:sz="4" w:space="0" w:color="CECFCB" w:themeColor="background2"/>
        <w:right w:val="single" w:sz="4" w:space="0" w:color="CECFCB" w:themeColor="background2"/>
        <w:insideH w:val="single" w:sz="4" w:space="0" w:color="CECFCB" w:themeColor="background2"/>
        <w:insideV w:val="single" w:sz="4" w:space="0" w:color="CECFCB" w:themeColor="background2"/>
      </w:tblBorders>
    </w:tblPr>
    <w:tblStylePr w:type="firstRow">
      <w:rPr>
        <w:b/>
      </w:rPr>
    </w:tblStylePr>
    <w:tblStylePr w:type="firstCol">
      <w:rPr>
        <w:b/>
      </w:rPr>
    </w:tblStylePr>
  </w:style>
  <w:style w:type="paragraph" w:customStyle="1" w:styleId="Prec1Heading">
    <w:name w:val="Prec 1 Heading"/>
    <w:basedOn w:val="BodyText"/>
    <w:next w:val="BodyText1"/>
    <w:uiPriority w:val="39"/>
    <w:semiHidden/>
    <w:pPr>
      <w:keepNext/>
      <w:numPr>
        <w:numId w:val="6"/>
      </w:numPr>
    </w:pPr>
    <w:rPr>
      <w:b/>
      <w:bCs/>
      <w:sz w:val="22"/>
      <w:szCs w:val="24"/>
    </w:rPr>
  </w:style>
  <w:style w:type="paragraph" w:customStyle="1" w:styleId="Prec2Number">
    <w:name w:val="Prec 2 Number"/>
    <w:basedOn w:val="BodyText"/>
    <w:uiPriority w:val="39"/>
    <w:semiHidden/>
    <w:pPr>
      <w:numPr>
        <w:ilvl w:val="1"/>
        <w:numId w:val="6"/>
      </w:numPr>
    </w:pPr>
  </w:style>
  <w:style w:type="paragraph" w:customStyle="1" w:styleId="Prec3Number">
    <w:name w:val="Prec 3 Number"/>
    <w:basedOn w:val="Prec2Number"/>
    <w:uiPriority w:val="39"/>
    <w:semiHidden/>
    <w:pPr>
      <w:numPr>
        <w:ilvl w:val="2"/>
      </w:numPr>
    </w:pPr>
  </w:style>
  <w:style w:type="numbering" w:customStyle="1" w:styleId="PrecNotes">
    <w:name w:val="Prec Notes"/>
    <w:uiPriority w:val="99"/>
    <w:pPr>
      <w:numPr>
        <w:numId w:val="6"/>
      </w:numPr>
    </w:pPr>
  </w:style>
  <w:style w:type="paragraph" w:customStyle="1" w:styleId="Prec4Number">
    <w:name w:val="Prec 4 Number"/>
    <w:basedOn w:val="BodyText"/>
    <w:uiPriority w:val="39"/>
    <w:semiHidden/>
    <w:pPr>
      <w:numPr>
        <w:ilvl w:val="3"/>
        <w:numId w:val="6"/>
      </w:numPr>
    </w:pPr>
  </w:style>
  <w:style w:type="paragraph" w:customStyle="1" w:styleId="Prec1Number">
    <w:name w:val="Prec 1 Number"/>
    <w:basedOn w:val="Prec1Heading"/>
    <w:uiPriority w:val="39"/>
    <w:semiHidden/>
    <w:pPr>
      <w:keepNext w:val="0"/>
    </w:pPr>
    <w:rPr>
      <w:b w:val="0"/>
      <w:sz w:val="20"/>
    </w:rPr>
  </w:style>
  <w:style w:type="paragraph" w:customStyle="1" w:styleId="Prec2Heading">
    <w:name w:val="Prec 2 Heading"/>
    <w:basedOn w:val="Prec2Number"/>
    <w:next w:val="BodyText1"/>
    <w:uiPriority w:val="39"/>
    <w:semiHidden/>
    <w:pPr>
      <w:keepNext/>
    </w:pPr>
    <w:rPr>
      <w:b/>
      <w:bCs/>
    </w:rPr>
  </w:style>
  <w:style w:type="paragraph" w:customStyle="1" w:styleId="Prec5Number">
    <w:name w:val="Prec 5 Number"/>
    <w:basedOn w:val="BodyText"/>
    <w:uiPriority w:val="39"/>
    <w:semiHidden/>
    <w:pPr>
      <w:numPr>
        <w:ilvl w:val="4"/>
        <w:numId w:val="6"/>
      </w:numPr>
    </w:pPr>
  </w:style>
  <w:style w:type="paragraph" w:customStyle="1" w:styleId="AppPart">
    <w:name w:val="App Part"/>
    <w:basedOn w:val="BodyText"/>
    <w:next w:val="BodyText"/>
    <w:uiPriority w:val="38"/>
    <w:pPr>
      <w:numPr>
        <w:ilvl w:val="1"/>
        <w:numId w:val="7"/>
      </w:numPr>
      <w:outlineLvl w:val="1"/>
    </w:pPr>
    <w:rPr>
      <w:b/>
      <w:sz w:val="22"/>
    </w:rPr>
  </w:style>
  <w:style w:type="paragraph" w:customStyle="1" w:styleId="App1Number">
    <w:name w:val="App 1 Number"/>
    <w:basedOn w:val="BodyText"/>
    <w:uiPriority w:val="39"/>
    <w:pPr>
      <w:numPr>
        <w:ilvl w:val="2"/>
        <w:numId w:val="7"/>
      </w:numPr>
    </w:pPr>
  </w:style>
  <w:style w:type="paragraph" w:customStyle="1" w:styleId="App2Number">
    <w:name w:val="App 2 Number"/>
    <w:basedOn w:val="BodyText"/>
    <w:uiPriority w:val="39"/>
    <w:pPr>
      <w:numPr>
        <w:ilvl w:val="3"/>
        <w:numId w:val="7"/>
      </w:numPr>
    </w:pPr>
  </w:style>
  <w:style w:type="paragraph" w:customStyle="1" w:styleId="App3Number">
    <w:name w:val="App 3 Number"/>
    <w:basedOn w:val="BodyText"/>
    <w:uiPriority w:val="39"/>
    <w:pPr>
      <w:numPr>
        <w:ilvl w:val="4"/>
        <w:numId w:val="7"/>
      </w:numPr>
    </w:pPr>
  </w:style>
  <w:style w:type="paragraph" w:customStyle="1" w:styleId="App4Number">
    <w:name w:val="App 4 Number"/>
    <w:basedOn w:val="BodyText"/>
    <w:uiPriority w:val="39"/>
    <w:pPr>
      <w:numPr>
        <w:ilvl w:val="5"/>
        <w:numId w:val="7"/>
      </w:numPr>
    </w:pPr>
  </w:style>
  <w:style w:type="paragraph" w:customStyle="1" w:styleId="App5Number">
    <w:name w:val="App 5 Number"/>
    <w:basedOn w:val="BodyText"/>
    <w:uiPriority w:val="39"/>
    <w:pPr>
      <w:numPr>
        <w:ilvl w:val="6"/>
        <w:numId w:val="7"/>
      </w:numPr>
    </w:pPr>
  </w:style>
  <w:style w:type="paragraph" w:customStyle="1" w:styleId="App6Number">
    <w:name w:val="App 6 Number"/>
    <w:basedOn w:val="BodyText"/>
    <w:uiPriority w:val="39"/>
    <w:pPr>
      <w:numPr>
        <w:ilvl w:val="7"/>
        <w:numId w:val="7"/>
      </w:numPr>
    </w:pPr>
  </w:style>
  <w:style w:type="paragraph" w:customStyle="1" w:styleId="App1Heading">
    <w:name w:val="App 1 Heading"/>
    <w:basedOn w:val="App1Number"/>
    <w:next w:val="BodyText1"/>
    <w:uiPriority w:val="39"/>
    <w:pPr>
      <w:keepNext/>
    </w:pPr>
    <w:rPr>
      <w:b/>
      <w:bCs/>
    </w:rPr>
  </w:style>
  <w:style w:type="paragraph" w:customStyle="1" w:styleId="App2Heading">
    <w:name w:val="App 2 Heading"/>
    <w:basedOn w:val="App2Number"/>
    <w:next w:val="BodyText1"/>
    <w:uiPriority w:val="39"/>
    <w:pPr>
      <w:keepNext/>
    </w:pPr>
    <w:rPr>
      <w:b/>
      <w:bCs/>
    </w:rPr>
  </w:style>
  <w:style w:type="paragraph" w:customStyle="1" w:styleId="App3Heading">
    <w:name w:val="App 3 Heading"/>
    <w:basedOn w:val="App3Number"/>
    <w:next w:val="BodyText1"/>
    <w:uiPriority w:val="39"/>
    <w:pPr>
      <w:keepNext/>
    </w:pPr>
    <w:rPr>
      <w:b/>
      <w:bCs/>
    </w:rPr>
  </w:style>
  <w:style w:type="numbering" w:customStyle="1" w:styleId="Appendices">
    <w:name w:val="Appendices"/>
    <w:uiPriority w:val="99"/>
    <w:pPr>
      <w:numPr>
        <w:numId w:val="7"/>
      </w:numPr>
    </w:pPr>
  </w:style>
  <w:style w:type="paragraph" w:styleId="TOC9">
    <w:name w:val="toc 9"/>
    <w:basedOn w:val="Normal"/>
    <w:next w:val="Normal"/>
    <w:autoRedefine/>
    <w:uiPriority w:val="39"/>
    <w:semiHidden/>
    <w:pPr>
      <w:spacing w:after="100"/>
      <w:ind w:left="1600"/>
    </w:pPr>
  </w:style>
  <w:style w:type="character" w:styleId="PlaceholderText">
    <w:name w:val="Placeholder Text"/>
    <w:basedOn w:val="DefaultParagraphFont"/>
    <w:uiPriority w:val="99"/>
    <w:semiHidden/>
    <w:rsid w:val="00E54A03"/>
    <w:rPr>
      <w:color w:val="808080"/>
    </w:rPr>
  </w:style>
  <w:style w:type="character" w:customStyle="1" w:styleId="Heading2Char">
    <w:name w:val="Heading 2 Char"/>
    <w:aliases w:val="(1.1 Char,1.2 Char,1.3 etc) Char,2 Char,21 Char,22 Char,23 Char,24 Char,25 Char,2m Char,B Char,B Sub/Bold Char,B Sub/Bold1 Char,Body Text (Reset numbering) Char,H2 Char,L2 Char,Reset numbering Char,Subhead A Char,TF-Overskrit 2 Char"/>
    <w:basedOn w:val="DefaultParagraphFont"/>
    <w:link w:val="Heading2"/>
    <w:rsid w:val="00D128EE"/>
    <w:rPr>
      <w:rFonts w:ascii="Arial" w:eastAsia="Times New Roman" w:hAnsi="Arial" w:cs="Times New Roman"/>
      <w:b/>
    </w:rPr>
  </w:style>
  <w:style w:type="character" w:customStyle="1" w:styleId="Heading3Char">
    <w:name w:val="Heading 3 Char"/>
    <w:aliases w:val="(Alt+3) Char,3 Char,3m Char,3rd Level Char,C Char,C Sub-Sub/Italic Char,C Sub-Sub/Italic1 Char,GPH Heading 3 Char,H3 Char,H31 Char,Head 31 Char,Head 32 Char,HeadC Char,L3 Char,Level 1 - 1 Char,Level 1 - 2 Char,Minor Char,Minor1 Char"/>
    <w:basedOn w:val="DefaultParagraphFont"/>
    <w:link w:val="Heading3"/>
    <w:rsid w:val="00D128EE"/>
    <w:rPr>
      <w:rFonts w:ascii="Arial" w:eastAsia="Times New Roman" w:hAnsi="Arial" w:cs="Times New Roman"/>
    </w:rPr>
  </w:style>
  <w:style w:type="character" w:customStyle="1" w:styleId="Heading4Char">
    <w:name w:val="Heading 4 Char"/>
    <w:aliases w:val="14 Char,141 Char,1411 Char,142 Char,1421 Char,143 Char,4 Char,41 Char,411 Char,42 Char,43 Char,D Sub-Sub/Plain Char,GPH Heading 4 Char,H4 Char,Level 2 - (a) Char,Level 2 - a Char,Map Title Char,Second Level Heading HM Char,Subhead C Char"/>
    <w:basedOn w:val="DefaultParagraphFont"/>
    <w:link w:val="Heading4"/>
    <w:rsid w:val="00D128EE"/>
    <w:rPr>
      <w:rFonts w:ascii="Arial" w:eastAsia="Times New Roman" w:hAnsi="Arial" w:cs="Times New Roman"/>
    </w:rPr>
  </w:style>
  <w:style w:type="character" w:customStyle="1" w:styleId="Heading5Char">
    <w:name w:val="Heading 5 Char"/>
    <w:aliases w:val="(A) Char,Appendix A to X Char,FMH1 Char,H5 Char,Heading 5(unused) Char,Heading 5* Char,Lev 5 Char,Level 3 - (i) Char,Level 3 - i Char,Response Type Char,Response Type1 Char,Response Type2 Char,Response Type3 Char,Response Type4 Char"/>
    <w:basedOn w:val="DefaultParagraphFont"/>
    <w:link w:val="Heading5"/>
    <w:rsid w:val="00D128EE"/>
    <w:rPr>
      <w:rFonts w:ascii="Arial" w:eastAsia="Times New Roman" w:hAnsi="Arial" w:cs="Times New Roman"/>
    </w:rPr>
  </w:style>
  <w:style w:type="character" w:customStyle="1" w:styleId="Heading6Char">
    <w:name w:val="Heading 6 Char"/>
    <w:aliases w:val="(I) Char,5 Char,Blank 2 Char,H6 Char,H6 DO NOT USE Char,H61 Char,H610 Char,H611 Char,H612 Char,H613 Char,H614 Char,H615 Char,H62 Char,H63 Char,H64 Char,H65 Char,H66 Char,H67 Char,H68 Char,H69 Char,Heading 6  Appendix Y &amp; Z Char,Lev 6 Char"/>
    <w:basedOn w:val="DefaultParagraphFont"/>
    <w:link w:val="Heading6"/>
    <w:rsid w:val="00D128EE"/>
    <w:rPr>
      <w:rFonts w:ascii="Arial" w:eastAsia="Times New Roman" w:hAnsi="Arial" w:cs="Times New Roman"/>
    </w:rPr>
  </w:style>
  <w:style w:type="character" w:styleId="FootnoteReference">
    <w:name w:val="footnote reference"/>
    <w:semiHidden/>
    <w:rsid w:val="00D128EE"/>
    <w:rPr>
      <w:vertAlign w:val="superscript"/>
    </w:rPr>
  </w:style>
  <w:style w:type="paragraph" w:styleId="FootnoteText">
    <w:name w:val="footnote text"/>
    <w:aliases w:val="Car"/>
    <w:basedOn w:val="Normal"/>
    <w:link w:val="FootnoteTextChar"/>
    <w:semiHidden/>
    <w:rsid w:val="00D128EE"/>
    <w:rPr>
      <w:sz w:val="18"/>
    </w:rPr>
  </w:style>
  <w:style w:type="character" w:customStyle="1" w:styleId="FootnoteTextChar">
    <w:name w:val="Footnote Text Char"/>
    <w:aliases w:val="Car Char"/>
    <w:basedOn w:val="DefaultParagraphFont"/>
    <w:link w:val="FootnoteText"/>
    <w:semiHidden/>
    <w:rsid w:val="00D128EE"/>
    <w:rPr>
      <w:rFonts w:ascii="Arial" w:eastAsia="Times New Roman" w:hAnsi="Arial" w:cs="Times New Roman"/>
      <w:sz w:val="18"/>
    </w:rPr>
  </w:style>
  <w:style w:type="paragraph" w:customStyle="1" w:styleId="Level1">
    <w:name w:val="Level 1"/>
    <w:basedOn w:val="Normal"/>
    <w:next w:val="Normal"/>
    <w:rsid w:val="00D128EE"/>
    <w:pPr>
      <w:numPr>
        <w:numId w:val="8"/>
      </w:numPr>
      <w:spacing w:after="220"/>
      <w:outlineLvl w:val="0"/>
    </w:pPr>
    <w:rPr>
      <w:b/>
    </w:rPr>
  </w:style>
  <w:style w:type="paragraph" w:customStyle="1" w:styleId="Level2">
    <w:name w:val="Level 2"/>
    <w:aliases w:val="l2"/>
    <w:basedOn w:val="Normal"/>
    <w:qFormat/>
    <w:rsid w:val="00D128EE"/>
    <w:pPr>
      <w:numPr>
        <w:ilvl w:val="1"/>
        <w:numId w:val="8"/>
      </w:numPr>
      <w:tabs>
        <w:tab w:val="left" w:pos="1440"/>
      </w:tabs>
      <w:spacing w:after="220"/>
      <w:outlineLvl w:val="1"/>
    </w:pPr>
  </w:style>
  <w:style w:type="paragraph" w:customStyle="1" w:styleId="Level3">
    <w:name w:val="Level 3"/>
    <w:basedOn w:val="Normal"/>
    <w:qFormat/>
    <w:rsid w:val="00D128EE"/>
    <w:pPr>
      <w:numPr>
        <w:ilvl w:val="2"/>
        <w:numId w:val="8"/>
      </w:numPr>
      <w:spacing w:after="220"/>
      <w:outlineLvl w:val="2"/>
    </w:pPr>
  </w:style>
  <w:style w:type="paragraph" w:customStyle="1" w:styleId="Level4">
    <w:name w:val="Level 4"/>
    <w:basedOn w:val="Normal"/>
    <w:rsid w:val="00D128EE"/>
    <w:pPr>
      <w:numPr>
        <w:ilvl w:val="3"/>
        <w:numId w:val="8"/>
      </w:numPr>
      <w:spacing w:after="220"/>
      <w:outlineLvl w:val="3"/>
    </w:pPr>
  </w:style>
  <w:style w:type="paragraph" w:customStyle="1" w:styleId="annex">
    <w:name w:val="annex"/>
    <w:basedOn w:val="BodyText2"/>
    <w:rsid w:val="00D128EE"/>
    <w:pPr>
      <w:spacing w:after="230"/>
      <w:ind w:left="709"/>
      <w:jc w:val="center"/>
    </w:pPr>
    <w:rPr>
      <w:b/>
      <w:bCs/>
      <w:sz w:val="24"/>
    </w:rPr>
  </w:style>
  <w:style w:type="paragraph" w:customStyle="1" w:styleId="DocID">
    <w:name w:val="DocID"/>
    <w:basedOn w:val="Normal"/>
    <w:next w:val="Normal"/>
    <w:link w:val="DocIDChar"/>
    <w:rsid w:val="00D128EE"/>
    <w:pPr>
      <w:keepNext/>
    </w:pPr>
    <w:rPr>
      <w:rFonts w:cs="Arial"/>
      <w:color w:val="000000"/>
      <w:sz w:val="15"/>
    </w:rPr>
  </w:style>
  <w:style w:type="character" w:customStyle="1" w:styleId="DocIDChar">
    <w:name w:val="DocID Char"/>
    <w:link w:val="DocID"/>
    <w:rsid w:val="00D128EE"/>
    <w:rPr>
      <w:rFonts w:ascii="Arial" w:eastAsia="Times New Roman" w:hAnsi="Arial" w:cs="Arial"/>
      <w:color w:val="000000"/>
      <w:sz w:val="15"/>
    </w:rPr>
  </w:style>
  <w:style w:type="paragraph" w:customStyle="1" w:styleId="MacPacTrailer">
    <w:name w:val="MacPac Trailer"/>
    <w:rsid w:val="00D128EE"/>
    <w:pPr>
      <w:widowControl w:val="0"/>
      <w:spacing w:after="0" w:line="200" w:lineRule="exact"/>
    </w:pPr>
    <w:rPr>
      <w:rFonts w:ascii="Arial" w:eastAsia="Times New Roman" w:hAnsi="Arial" w:cs="Arial"/>
      <w:sz w:val="16"/>
      <w:szCs w:val="22"/>
    </w:rPr>
  </w:style>
  <w:style w:type="character" w:styleId="CommentReference">
    <w:name w:val="annotation reference"/>
    <w:uiPriority w:val="99"/>
    <w:rsid w:val="00E10BB5"/>
    <w:rPr>
      <w:sz w:val="16"/>
      <w:szCs w:val="16"/>
    </w:rPr>
  </w:style>
  <w:style w:type="paragraph" w:styleId="ListParagraph">
    <w:name w:val="List Paragraph"/>
    <w:aliases w:val="Page title"/>
    <w:basedOn w:val="Normal"/>
    <w:link w:val="ListParagraphChar"/>
    <w:uiPriority w:val="34"/>
    <w:qFormat/>
    <w:rsid w:val="00E10BB5"/>
    <w:pPr>
      <w:suppressAutoHyphens/>
      <w:contextualSpacing/>
    </w:pPr>
    <w:rPr>
      <w:rFonts w:ascii="VAG Rounded LT Pro Light" w:hAnsi="VAG Rounded LT Pro Light"/>
      <w:sz w:val="48"/>
      <w:lang w:eastAsia="ja-JP"/>
    </w:rPr>
  </w:style>
  <w:style w:type="paragraph" w:customStyle="1" w:styleId="Sched3L1">
    <w:name w:val="Sched3L1"/>
    <w:basedOn w:val="Heading1"/>
    <w:rsid w:val="00E10BB5"/>
    <w:pPr>
      <w:keepLines w:val="0"/>
      <w:tabs>
        <w:tab w:val="left" w:pos="851"/>
        <w:tab w:val="num" w:pos="1440"/>
      </w:tabs>
      <w:spacing w:before="240"/>
      <w:ind w:left="1440" w:hanging="1080"/>
    </w:pPr>
    <w:rPr>
      <w:rFonts w:ascii="SimSun" w:eastAsia="SimSun" w:hAnsi="SimSun" w:cs="SimSun"/>
      <w:caps/>
      <w:color w:val="auto"/>
      <w:sz w:val="24"/>
      <w:szCs w:val="20"/>
    </w:rPr>
  </w:style>
  <w:style w:type="character" w:styleId="Strong">
    <w:name w:val="Strong"/>
    <w:basedOn w:val="DefaultParagraphFont"/>
    <w:uiPriority w:val="99"/>
    <w:qFormat/>
    <w:rsid w:val="00E10BB5"/>
    <w:rPr>
      <w:b/>
      <w:bCs/>
    </w:rPr>
  </w:style>
  <w:style w:type="character" w:customStyle="1" w:styleId="Bodytext0">
    <w:name w:val="Body text_"/>
    <w:basedOn w:val="DefaultParagraphFont"/>
    <w:link w:val="BodyText30"/>
    <w:rsid w:val="00933EED"/>
    <w:rPr>
      <w:sz w:val="16"/>
      <w:szCs w:val="16"/>
      <w:shd w:val="clear" w:color="auto" w:fill="FFFFFF"/>
    </w:rPr>
  </w:style>
  <w:style w:type="paragraph" w:customStyle="1" w:styleId="BodyText30">
    <w:name w:val="Body Text3"/>
    <w:basedOn w:val="Normal"/>
    <w:link w:val="Bodytext0"/>
    <w:rsid w:val="00933EED"/>
    <w:pPr>
      <w:widowControl w:val="0"/>
      <w:shd w:val="clear" w:color="auto" w:fill="FFFFFF"/>
      <w:spacing w:line="235" w:lineRule="exact"/>
      <w:ind w:hanging="420"/>
      <w:jc w:val="both"/>
    </w:pPr>
    <w:rPr>
      <w:rFonts w:asciiTheme="minorHAnsi" w:eastAsiaTheme="minorHAnsi" w:hAnsiTheme="minorHAnsi" w:cstheme="minorBidi"/>
      <w:sz w:val="16"/>
      <w:szCs w:val="16"/>
    </w:rPr>
  </w:style>
  <w:style w:type="character" w:customStyle="1" w:styleId="wacimagecontainer">
    <w:name w:val="wacimagecontainer"/>
    <w:basedOn w:val="DefaultParagraphFont"/>
    <w:rsid w:val="000568E9"/>
  </w:style>
  <w:style w:type="character" w:customStyle="1" w:styleId="ListParagraphChar">
    <w:name w:val="List Paragraph Char"/>
    <w:aliases w:val="Page title Char"/>
    <w:basedOn w:val="DefaultParagraphFont"/>
    <w:link w:val="ListParagraph"/>
    <w:uiPriority w:val="34"/>
    <w:locked/>
    <w:rsid w:val="00E0177B"/>
    <w:rPr>
      <w:rFonts w:ascii="VAG Rounded LT Pro Light" w:eastAsia="Times New Roman" w:hAnsi="VAG Rounded LT Pro Light" w:cs="Times New Roman"/>
      <w:sz w:val="48"/>
      <w:lang w:eastAsia="ja-JP"/>
    </w:rPr>
  </w:style>
  <w:style w:type="character" w:styleId="UnresolvedMention">
    <w:name w:val="Unresolved Mention"/>
    <w:basedOn w:val="DefaultParagraphFont"/>
    <w:uiPriority w:val="99"/>
    <w:semiHidden/>
    <w:unhideWhenUsed/>
    <w:rsid w:val="00CC3A5C"/>
    <w:rPr>
      <w:color w:val="605E5C"/>
      <w:shd w:val="clear" w:color="auto" w:fill="E1DFDD"/>
    </w:rPr>
  </w:style>
  <w:style w:type="character" w:styleId="FollowedHyperlink">
    <w:name w:val="FollowedHyperlink"/>
    <w:basedOn w:val="DefaultParagraphFont"/>
    <w:uiPriority w:val="99"/>
    <w:semiHidden/>
    <w:unhideWhenUsed/>
    <w:rsid w:val="00220F18"/>
    <w:rPr>
      <w:color w:val="52216C" w:themeColor="followedHyperlink"/>
      <w:u w:val="single"/>
    </w:rPr>
  </w:style>
  <w:style w:type="paragraph" w:styleId="CommentText">
    <w:name w:val="annotation text"/>
    <w:basedOn w:val="Normal"/>
    <w:link w:val="CommentTextChar"/>
    <w:uiPriority w:val="99"/>
    <w:unhideWhenUsed/>
    <w:rsid w:val="00211A72"/>
  </w:style>
  <w:style w:type="character" w:customStyle="1" w:styleId="CommentTextChar">
    <w:name w:val="Comment Text Char"/>
    <w:basedOn w:val="DefaultParagraphFont"/>
    <w:link w:val="CommentText"/>
    <w:uiPriority w:val="99"/>
    <w:rsid w:val="00211A72"/>
    <w:rPr>
      <w:rFonts w:ascii="Arial" w:eastAsia="Times New Roman" w:hAnsi="Arial" w:cs="Times New Roman"/>
    </w:rPr>
  </w:style>
  <w:style w:type="paragraph" w:styleId="CommentSubject">
    <w:name w:val="annotation subject"/>
    <w:basedOn w:val="CommentText"/>
    <w:next w:val="CommentText"/>
    <w:link w:val="CommentSubjectChar"/>
    <w:uiPriority w:val="99"/>
    <w:semiHidden/>
    <w:unhideWhenUsed/>
    <w:rsid w:val="00211A72"/>
    <w:rPr>
      <w:b/>
      <w:bCs/>
    </w:rPr>
  </w:style>
  <w:style w:type="character" w:customStyle="1" w:styleId="CommentSubjectChar">
    <w:name w:val="Comment Subject Char"/>
    <w:basedOn w:val="CommentTextChar"/>
    <w:link w:val="CommentSubject"/>
    <w:uiPriority w:val="99"/>
    <w:semiHidden/>
    <w:rsid w:val="00211A72"/>
    <w:rPr>
      <w:rFonts w:ascii="Arial" w:eastAsia="Times New Roman" w:hAnsi="Arial" w:cs="Times New Roman"/>
      <w:b/>
      <w:bCs/>
    </w:rPr>
  </w:style>
  <w:style w:type="paragraph" w:styleId="Revision">
    <w:name w:val="Revision"/>
    <w:hidden/>
    <w:uiPriority w:val="99"/>
    <w:semiHidden/>
    <w:rsid w:val="008D3C13"/>
    <w:pPr>
      <w:spacing w:after="0" w:line="240" w:lineRule="auto"/>
    </w:pPr>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5098">
      <w:bodyDiv w:val="1"/>
      <w:marLeft w:val="0"/>
      <w:marRight w:val="0"/>
      <w:marTop w:val="0"/>
      <w:marBottom w:val="0"/>
      <w:divBdr>
        <w:top w:val="none" w:sz="0" w:space="0" w:color="auto"/>
        <w:left w:val="none" w:sz="0" w:space="0" w:color="auto"/>
        <w:bottom w:val="none" w:sz="0" w:space="0" w:color="auto"/>
        <w:right w:val="none" w:sz="0" w:space="0" w:color="auto"/>
      </w:divBdr>
    </w:div>
    <w:div w:id="1036924700">
      <w:bodyDiv w:val="1"/>
      <w:marLeft w:val="0"/>
      <w:marRight w:val="0"/>
      <w:marTop w:val="0"/>
      <w:marBottom w:val="0"/>
      <w:divBdr>
        <w:top w:val="none" w:sz="0" w:space="0" w:color="auto"/>
        <w:left w:val="none" w:sz="0" w:space="0" w:color="auto"/>
        <w:bottom w:val="none" w:sz="0" w:space="0" w:color="auto"/>
        <w:right w:val="none" w:sz="0" w:space="0" w:color="auto"/>
      </w:divBdr>
    </w:div>
    <w:div w:id="1279801684">
      <w:bodyDiv w:val="1"/>
      <w:marLeft w:val="0"/>
      <w:marRight w:val="0"/>
      <w:marTop w:val="0"/>
      <w:marBottom w:val="0"/>
      <w:divBdr>
        <w:top w:val="none" w:sz="0" w:space="0" w:color="auto"/>
        <w:left w:val="none" w:sz="0" w:space="0" w:color="auto"/>
        <w:bottom w:val="none" w:sz="0" w:space="0" w:color="auto"/>
        <w:right w:val="none" w:sz="0" w:space="0" w:color="auto"/>
      </w:divBdr>
    </w:div>
    <w:div w:id="1407335657">
      <w:bodyDiv w:val="1"/>
      <w:marLeft w:val="0"/>
      <w:marRight w:val="0"/>
      <w:marTop w:val="0"/>
      <w:marBottom w:val="0"/>
      <w:divBdr>
        <w:top w:val="none" w:sz="0" w:space="0" w:color="auto"/>
        <w:left w:val="none" w:sz="0" w:space="0" w:color="auto"/>
        <w:bottom w:val="none" w:sz="0" w:space="0" w:color="auto"/>
        <w:right w:val="none" w:sz="0" w:space="0" w:color="auto"/>
      </w:divBdr>
    </w:div>
    <w:div w:id="1580098805">
      <w:bodyDiv w:val="1"/>
      <w:marLeft w:val="0"/>
      <w:marRight w:val="0"/>
      <w:marTop w:val="0"/>
      <w:marBottom w:val="0"/>
      <w:divBdr>
        <w:top w:val="none" w:sz="0" w:space="0" w:color="auto"/>
        <w:left w:val="none" w:sz="0" w:space="0" w:color="auto"/>
        <w:bottom w:val="none" w:sz="0" w:space="0" w:color="auto"/>
        <w:right w:val="none" w:sz="0" w:space="0" w:color="auto"/>
      </w:divBdr>
    </w:div>
    <w:div w:id="173122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mas.gov.sg/regulation/guidelines/guidelines-on-outsourcing-bank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2DEBFA2C9E431A8CA8D437203CC909"/>
        <w:category>
          <w:name w:val="General"/>
          <w:gallery w:val="placeholder"/>
        </w:category>
        <w:types>
          <w:type w:val="bbPlcHdr"/>
        </w:types>
        <w:behaviors>
          <w:behavior w:val="content"/>
        </w:behaviors>
        <w:guid w:val="{D9597BEC-BF48-4C3A-9AD8-B475B464977C}"/>
      </w:docPartPr>
      <w:docPartBody>
        <w:p w:rsidR="00B46C0F" w:rsidRDefault="00B46C0F"/>
      </w:docPartBody>
    </w:docPart>
    <w:docPart>
      <w:docPartPr>
        <w:name w:val="8D5562405C4047B68A57B81B283E3E5D"/>
        <w:category>
          <w:name w:val="General"/>
          <w:gallery w:val="placeholder"/>
        </w:category>
        <w:types>
          <w:type w:val="bbPlcHdr"/>
        </w:types>
        <w:behaviors>
          <w:behavior w:val="content"/>
        </w:behaviors>
        <w:guid w:val="{C4E1D415-A245-4898-9959-5A9BBFA88C33}"/>
      </w:docPartPr>
      <w:docPartBody>
        <w:p w:rsidR="00EC443F" w:rsidRDefault="00EC443F"/>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AG Rounded LT Pro Light">
    <w:altName w:val="Calibri"/>
    <w:charset w:val="00"/>
    <w:family w:val="auto"/>
    <w:pitch w:val="variable"/>
    <w:sig w:usb0="00000001" w:usb1="5000205A"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0F"/>
    <w:rsid w:val="00033899"/>
    <w:rsid w:val="00043B73"/>
    <w:rsid w:val="000F3AD1"/>
    <w:rsid w:val="00103A35"/>
    <w:rsid w:val="00104ADF"/>
    <w:rsid w:val="001172E9"/>
    <w:rsid w:val="002132E1"/>
    <w:rsid w:val="00253A4B"/>
    <w:rsid w:val="00262B71"/>
    <w:rsid w:val="00263DEB"/>
    <w:rsid w:val="002971F1"/>
    <w:rsid w:val="002974AC"/>
    <w:rsid w:val="00354E32"/>
    <w:rsid w:val="003C2913"/>
    <w:rsid w:val="003C3224"/>
    <w:rsid w:val="004258AB"/>
    <w:rsid w:val="0043253F"/>
    <w:rsid w:val="00491412"/>
    <w:rsid w:val="004B6DD3"/>
    <w:rsid w:val="004D07A3"/>
    <w:rsid w:val="00674EA1"/>
    <w:rsid w:val="00692DFD"/>
    <w:rsid w:val="006A2421"/>
    <w:rsid w:val="00727555"/>
    <w:rsid w:val="007603F8"/>
    <w:rsid w:val="0077086C"/>
    <w:rsid w:val="007D1040"/>
    <w:rsid w:val="00804157"/>
    <w:rsid w:val="0082599E"/>
    <w:rsid w:val="00830FA3"/>
    <w:rsid w:val="008C4366"/>
    <w:rsid w:val="008F63A5"/>
    <w:rsid w:val="009079F4"/>
    <w:rsid w:val="00921997"/>
    <w:rsid w:val="009E0DEC"/>
    <w:rsid w:val="00A62377"/>
    <w:rsid w:val="00AE11F0"/>
    <w:rsid w:val="00B12506"/>
    <w:rsid w:val="00B46C0F"/>
    <w:rsid w:val="00B57643"/>
    <w:rsid w:val="00C14181"/>
    <w:rsid w:val="00C15749"/>
    <w:rsid w:val="00C34C4C"/>
    <w:rsid w:val="00C36DDD"/>
    <w:rsid w:val="00D32A3B"/>
    <w:rsid w:val="00E56B54"/>
    <w:rsid w:val="00EC443F"/>
    <w:rsid w:val="00ED1A08"/>
    <w:rsid w:val="00EF063E"/>
    <w:rsid w:val="00F60CC9"/>
    <w:rsid w:val="00F81DB8"/>
    <w:rsid w:val="00F9204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Dentons">
  <a:themeElements>
    <a:clrScheme name="Dentons">
      <a:dk1>
        <a:sysClr val="windowText" lastClr="000000"/>
      </a:dk1>
      <a:lt1>
        <a:sysClr val="window" lastClr="FFFFFF"/>
      </a:lt1>
      <a:dk2>
        <a:srgbClr val="6C6F70"/>
      </a:dk2>
      <a:lt2>
        <a:srgbClr val="CECFCB"/>
      </a:lt2>
      <a:accent1>
        <a:srgbClr val="6E2D91"/>
      </a:accent1>
      <a:accent2>
        <a:srgbClr val="00A9E0"/>
      </a:accent2>
      <a:accent3>
        <a:srgbClr val="EEAF30"/>
      </a:accent3>
      <a:accent4>
        <a:srgbClr val="D52B1E"/>
      </a:accent4>
      <a:accent5>
        <a:srgbClr val="00A599"/>
      </a:accent5>
      <a:accent6>
        <a:srgbClr val="34B233"/>
      </a:accent6>
      <a:hlink>
        <a:srgbClr val="6E2D91"/>
      </a:hlink>
      <a:folHlink>
        <a:srgbClr val="52216C"/>
      </a:folHlink>
    </a:clrScheme>
    <a:fontScheme name="Denton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7557620417545AA8E6E7DE5AC6899" ma:contentTypeVersion="7" ma:contentTypeDescription="Create a new document." ma:contentTypeScope="" ma:versionID="7fa7156d575938c28964a133a6d6431c">
  <xsd:schema xmlns:xsd="http://www.w3.org/2001/XMLSchema" xmlns:xs="http://www.w3.org/2001/XMLSchema" xmlns:p="http://schemas.microsoft.com/office/2006/metadata/properties" xmlns:ns2="52297a38-db6f-48f1-95ec-151eb145400e" targetNamespace="http://schemas.microsoft.com/office/2006/metadata/properties" ma:root="true" ma:fieldsID="1dcefe9a6327a5e82571a40d31734a11" ns2:_="">
    <xsd:import namespace="52297a38-db6f-48f1-95ec-151eb14540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297a38-db6f-48f1-95ec-151eb1454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roperties xmlns="http://www.imanage.com/work/xmlschema">
  <documentid>NATDOCS!80478483.1</documentid>
  <senderid>MATT.WANFORD</senderid>
  <senderemail>MATT.WANFORD@DENTONS.COM</senderemail>
  <lastmodified>2024-07-29T13:27:00.0000000-04:00</lastmodified>
  <database>NATDOCS</database>
</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483AB-2A24-4882-A63C-EE3DD38D6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297a38-db6f-48f1-95ec-151eb1454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AD41E-6EEB-4F58-82C4-7918C73D027E}">
  <ds:schemaRefs>
    <ds:schemaRef ds:uri="http://www.imanage.com/work/xmlschema"/>
  </ds:schemaRefs>
</ds:datastoreItem>
</file>

<file path=customXml/itemProps3.xml><?xml version="1.0" encoding="utf-8"?>
<ds:datastoreItem xmlns:ds="http://schemas.openxmlformats.org/officeDocument/2006/customXml" ds:itemID="{760E3E3A-A980-45FF-BA6D-0993C136BB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1BED9D-55C1-4F7C-A74C-3FB593ED4C81}">
  <ds:schemaRefs>
    <ds:schemaRef ds:uri="http://schemas.microsoft.com/sharepoint/v3/contenttype/forms"/>
  </ds:schemaRefs>
</ds:datastoreItem>
</file>

<file path=customXml/itemProps5.xml><?xml version="1.0" encoding="utf-8"?>
<ds:datastoreItem xmlns:ds="http://schemas.openxmlformats.org/officeDocument/2006/customXml" ds:itemID="{84B23774-D215-483E-90A5-95024BAB4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3676</Words>
  <Characters>20957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77092266.3</vt:lpstr>
    </vt:vector>
  </TitlesOfParts>
  <Company>Dentons</Company>
  <LinksUpToDate>false</LinksUpToDate>
  <CharactersWithSpaces>24584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77092266.3</dc:title>
  <dc:creator>Dentons</dc:creator>
  <dc:description>MXTG/SJXS/77092266.3</dc:description>
  <cp:lastModifiedBy>Lok, Wen Bin</cp:lastModifiedBy>
  <cp:revision>3</cp:revision>
  <dcterms:created xsi:type="dcterms:W3CDTF">2026-07-23T07:05:00Z</dcterms:created>
  <dcterms:modified xsi:type="dcterms:W3CDTF">2026-07-23T07:22:00Z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0x0101005237557620417545AA8E6E7DE5AC6899</vt:lpwstr>
  </property>
  <property fmtid="{D5CDD505-2E9C-101B-9397-08002B2CF9AE}" pid="3" name="CUS_DocIDDisableNotifications">
    <vt:lpwstr/>
  </property>
  <property fmtid="{D5CDD505-2E9C-101B-9397-08002B2CF9AE}" pid="4" name="ClassificationContentMarkingFooterShapeIds">
    <vt:lpwstr>1,2,3</vt:lpwstr>
  </property>
  <property fmtid="{D5CDD505-2E9C-101B-9397-08002B2CF9AE}" pid="5" name="ClassificationContentMarkingFooterFontProps">
    <vt:lpwstr>#008000,10,Calibri</vt:lpwstr>
  </property>
  <property fmtid="{D5CDD505-2E9C-101B-9397-08002B2CF9AE}" pid="6" name="ClassificationContentMarkingFooterText">
    <vt:lpwstr>NTAC:3NS-20</vt:lpwstr>
  </property>
  <property fmtid="{D5CDD505-2E9C-101B-9397-08002B2CF9AE}" pid="7" name="MSIP_Label_da3ca9ef-1496-417f-9285-25b5037985b9_Enabled">
    <vt:lpwstr>true</vt:lpwstr>
  </property>
  <property fmtid="{D5CDD505-2E9C-101B-9397-08002B2CF9AE}" pid="8" name="MSIP_Label_da3ca9ef-1496-417f-9285-25b5037985b9_SetDate">
    <vt:lpwstr>2025-02-06T06:05:18Z</vt:lpwstr>
  </property>
  <property fmtid="{D5CDD505-2E9C-101B-9397-08002B2CF9AE}" pid="9" name="MSIP_Label_da3ca9ef-1496-417f-9285-25b5037985b9_Method">
    <vt:lpwstr>Standard</vt:lpwstr>
  </property>
  <property fmtid="{D5CDD505-2E9C-101B-9397-08002B2CF9AE}" pid="10" name="MSIP_Label_da3ca9ef-1496-417f-9285-25b5037985b9_Name">
    <vt:lpwstr>Non-Sensitive Business Use - Footer</vt:lpwstr>
  </property>
  <property fmtid="{D5CDD505-2E9C-101B-9397-08002B2CF9AE}" pid="11" name="MSIP_Label_da3ca9ef-1496-417f-9285-25b5037985b9_SiteId">
    <vt:lpwstr>2434528d-4270-4977-81dd-a6308c1761a3</vt:lpwstr>
  </property>
  <property fmtid="{D5CDD505-2E9C-101B-9397-08002B2CF9AE}" pid="12" name="MSIP_Label_da3ca9ef-1496-417f-9285-25b5037985b9_ActionId">
    <vt:lpwstr>18962f51-4b29-4a60-880b-44746956d5b3</vt:lpwstr>
  </property>
  <property fmtid="{D5CDD505-2E9C-101B-9397-08002B2CF9AE}" pid="13" name="MSIP_Label_da3ca9ef-1496-417f-9285-25b5037985b9_ContentBits">
    <vt:lpwstr>2</vt:lpwstr>
  </property>
</Properties>
</file>