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24"/>
          <w:szCs w:val="24"/>
        </w:rPr>
        <w:t xml:space="preserve">Comparative Table of Differences between the two MAS Outsourcing Guidelines</w:t>
      </w:r>
    </w:p>
    <w:p>
      <w:pPr>
        <w:spacing w:after="120"/>
      </w:pPr>
      <w:r>
        <w:rPr>
          <w:rFonts w:ascii="Arial" w:cs="Arial" w:eastAsia="Arial" w:hAnsi="Arial"/>
          <w:i w:val="false"/>
          <w:iCs w:val="false"/>
          <w:color w:val="000000"/>
          <w:sz w:val="16"/>
          <w:szCs w:val="16"/>
        </w:rPr>
        <w:t xml:space="preserve">Guidelines on Outsourcing (Banks), 11 December 2023 (effective 11 December 2024) vs Guidelines on Outsourcing (Financial Institutions other than Banks), effective 11 December 2024, last revised 24 January 2025. Rows follow the Bank Guidelines paragraph numbering, with FI-only provisions inserted in sequence (numbers in square brackets). </w:t>
      </w:r>
      <w:r>
        <w:rPr>
          <w:rFonts w:ascii="Arial" w:cs="Arial" w:eastAsia="Arial" w:hAnsi="Arial"/>
          <w:i w:val="false"/>
          <w:iCs w:val="false"/>
          <w:color w:val="000000"/>
          <w:sz w:val="16"/>
          <w:szCs w:val="16"/>
          <w:highlight w:val="yellow"/>
          <w:highlightCs w:val="yellow"/>
        </w:rPr>
        <w:t xml:space="preserve">Yellow highlighting</w:t>
      </w:r>
      <w:r>
        <w:rPr>
          <w:rFonts w:ascii="Arial" w:cs="Arial" w:eastAsia="Arial" w:hAnsi="Arial"/>
          <w:i w:val="false"/>
          <w:iCs w:val="false"/>
          <w:color w:val="000000"/>
          <w:sz w:val="16"/>
          <w:szCs w:val="16"/>
        </w:rPr>
        <w:t xml:space="preserve"> marks wording that differs between the two instruments; small grey text reproduces footnotes; FI paragraph numbers are shown in bold brackets where they differ from the row number. Where provisions are worded identically, the FI text is reproduced with the mechanical substitutions "Bank"→"institution", "bank-wide"→"institution-wide" and "MOORS"→"material outsourcing arrangement(s)", with any residual drafting variances applied as they appear in the official FI text. Cross-references of the form "set out in full at row X of this table" indicate where a split provision's remaining limbs are quoted.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5300"/>
        <w:gridCol w:w="3000"/>
      </w:tblGrid>
      <w:tr>
        <w:trPr>
          <w:tblHeader/>
        </w:trPr>
        <w:tc>
          <w:tcPr>
            <w:tcW w:type="dxa" w:w="800"/>
            <w:shd w:fill="808080" w:val="clear"/>
            <w:tcMar>
              <w:top w:type="dxa" w:w="60"/>
              <w:left w:type="dxa" w:w="100"/>
              <w:bottom w:type="dxa" w:w="60"/>
              <w:right w:type="dxa" w:w="100"/>
            </w:tcMar>
          </w:tcPr>
          <w:p>
            <w:pPr>
              <w:spacing w:after="50" w:before="50"/>
              <w:jc w:val="center"/>
            </w:pPr>
            <w:r>
              <w:rPr>
                <w:rFonts w:ascii="Arial" w:cs="Arial" w:eastAsia="Arial" w:hAnsi="Arial"/>
                <w:b/>
                <w:bCs/>
                <w:color w:val="FFFFFF"/>
                <w:sz w:val="19"/>
                <w:szCs w:val="19"/>
              </w:rPr>
              <w:t xml:space="preserve">No.</w:t>
            </w:r>
          </w:p>
        </w:tc>
        <w:tc>
          <w:tcPr>
            <w:tcW w:type="dxa" w:w="5300"/>
            <w:shd w:fill="808080" w:val="clear"/>
            <w:tcMar>
              <w:top w:type="dxa" w:w="60"/>
              <w:left w:type="dxa" w:w="100"/>
              <w:bottom w:type="dxa" w:w="60"/>
              <w:right w:type="dxa" w:w="100"/>
            </w:tcMar>
          </w:tcPr>
          <w:p>
            <w:pPr>
              <w:spacing w:after="50" w:before="50"/>
              <w:jc w:val="center"/>
            </w:pPr>
            <w:r>
              <w:rPr>
                <w:rFonts w:ascii="Arial" w:cs="Arial" w:eastAsia="Arial" w:hAnsi="Arial"/>
                <w:b/>
                <w:bCs/>
                <w:color w:val="FFFFFF"/>
                <w:sz w:val="19"/>
                <w:szCs w:val="19"/>
              </w:rPr>
              <w:t xml:space="preserve">Outsourcing Guidelines (Banks)</w:t>
            </w:r>
          </w:p>
        </w:tc>
        <w:tc>
          <w:tcPr>
            <w:tcW w:type="dxa" w:w="5300"/>
            <w:shd w:fill="808080" w:val="clear"/>
            <w:tcMar>
              <w:top w:type="dxa" w:w="60"/>
              <w:left w:type="dxa" w:w="100"/>
              <w:bottom w:type="dxa" w:w="60"/>
              <w:right w:type="dxa" w:w="100"/>
            </w:tcMar>
          </w:tcPr>
          <w:p>
            <w:pPr>
              <w:spacing w:after="50" w:before="50"/>
              <w:jc w:val="center"/>
            </w:pPr>
            <w:r>
              <w:rPr>
                <w:rFonts w:ascii="Arial" w:cs="Arial" w:eastAsia="Arial" w:hAnsi="Arial"/>
                <w:b/>
                <w:bCs/>
                <w:color w:val="FFFFFF"/>
                <w:sz w:val="19"/>
                <w:szCs w:val="19"/>
              </w:rPr>
              <w:t xml:space="preserve">Outsourcing Guidelines (Financial Institutions Other than Banks)</w:t>
            </w:r>
          </w:p>
        </w:tc>
        <w:tc>
          <w:tcPr>
            <w:tcW w:type="dxa" w:w="3000"/>
            <w:shd w:fill="808080" w:val="clear"/>
            <w:tcMar>
              <w:top w:type="dxa" w:w="60"/>
              <w:left w:type="dxa" w:w="100"/>
              <w:bottom w:type="dxa" w:w="60"/>
              <w:right w:type="dxa" w:w="100"/>
            </w:tcMar>
          </w:tcPr>
          <w:p>
            <w:pPr>
              <w:spacing w:after="50" w:before="50"/>
              <w:jc w:val="center"/>
            </w:pPr>
            <w:r>
              <w:rPr>
                <w:rFonts w:ascii="Arial" w:cs="Arial" w:eastAsia="Arial" w:hAnsi="Arial"/>
                <w:b/>
                <w:bCs/>
                <w:color w:val="FFFFFF"/>
                <w:sz w:val="19"/>
                <w:szCs w:val="19"/>
              </w:rPr>
              <w:t xml:space="preserve">Differences</w:t>
            </w:r>
          </w:p>
        </w:tc>
      </w:tr>
      <w:tr>
        <w:tc>
          <w:tcPr>
            <w:tcW w:type="dxa" w:w="800"/>
            <w:shd w:fill="D9D9D9" w:val="clear"/>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1.</w:t>
            </w:r>
          </w:p>
        </w:tc>
        <w:tc>
          <w:tcPr>
            <w:tcW w:type="dxa" w:w="5300"/>
            <w:shd w:fill="D9D9D9" w:val="clear"/>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Introduction</w:t>
            </w:r>
          </w:p>
        </w:tc>
        <w:tc>
          <w:tcPr>
            <w:tcW w:type="dxa" w:w="5300"/>
            <w:shd w:fill="D9D9D9" w:val="clear"/>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Introduction</w:t>
            </w:r>
          </w:p>
        </w:tc>
        <w:tc>
          <w:tcPr>
            <w:tcW w:type="dxa" w:w="3000"/>
            <w:shd w:fill="D9D9D9" w:val="clear"/>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Section 1 of the Bank Guidelines roughly corresponds to Sections 1–2 of the FI Guidelines.</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1.1</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While outsourcing arrangements can bring cost and other benefits, it may increase the risk profile of an institution due to, for example, reputation, compliance and operational risks arising from failure of a service provider in providing the service, breaches in security, or the institution's inability to comply with legal and regulatory requirements. An institution can also be exposed to country risk when a service provider is located overseas and concentration risk when more than one function is outsourced to the same service provider. Outsourcing does not diminish the obligations of an institution, and those of its board and senior management to comply with relevant laws and regulations in Singapore, it is thus important that an institution adopts a sound and responsive risk management framework for its outsourcing arrangements.</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While outsourcing arrangements can bring cost and other benefits, it may increase the risk profile of an institution due to, for example, reputation, compliance and operational risks arising from failure of a service provider in providing the service, breaches in security, or the institution's inability to comply with legal and regulatory requirements. An institution can also be exposed to country risk when a service provider is located overseas and concentration risk when more than one function is outsourced to the same service provider. Outsourcing does not diminish the obligations of an institution, and those of its board and senior management to comply with relevant laws and regulations in Singapore, it is thus important that an institution adopts a sound and responsive risk management framework for its outsourcing arrangements.</w:t>
            </w:r>
          </w:p>
        </w:tc>
        <w:tc>
          <w:tcPr>
            <w:tcW w:type="dxa" w:w="30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None</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1.2</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These Guidelines on Outsourcing ("Guidelines") set out the Monetary Authority of Singapore's (MAS) expectations of a </w:t>
            </w:r>
            <w:r>
              <w:rPr>
                <w:rFonts w:ascii="Arial" w:cs="Arial" w:eastAsia="Arial" w:hAnsi="Arial"/>
                <w:i w:val="false"/>
                <w:iCs w:val="false"/>
                <w:color w:val="000000"/>
                <w:sz w:val="18"/>
                <w:szCs w:val="18"/>
                <w:highlight w:val="yellow"/>
                <w:highlightCs w:val="yellow"/>
              </w:rPr>
              <w:t xml:space="preserve">bank or merchant bank (hereafter collectively referred to as "Bank")</w:t>
            </w:r>
            <w:r>
              <w:rPr>
                <w:rFonts w:ascii="Arial" w:cs="Arial" w:eastAsia="Arial" w:hAnsi="Arial"/>
                <w:i w:val="false"/>
                <w:iCs w:val="false"/>
                <w:color w:val="000000"/>
                <w:sz w:val="18"/>
                <w:szCs w:val="18"/>
              </w:rPr>
              <w:t xml:space="preserve"> that has entered into or is planning to enter into, an arrangement for </w:t>
            </w:r>
            <w:r>
              <w:rPr>
                <w:rFonts w:ascii="Arial" w:cs="Arial" w:eastAsia="Arial" w:hAnsi="Arial"/>
                <w:i w:val="false"/>
                <w:iCs w:val="false"/>
                <w:color w:val="000000"/>
                <w:sz w:val="18"/>
                <w:szCs w:val="18"/>
                <w:highlight w:val="yellow"/>
                <w:highlightCs w:val="yellow"/>
              </w:rPr>
              <w:t xml:space="preserve">ongoing outsourced relevant services ("outsourcing arrangement")</w:t>
            </w:r>
            <w:r>
              <w:rPr>
                <w:rFonts w:ascii="Arial" w:cs="Arial" w:eastAsia="Arial" w:hAnsi="Arial"/>
                <w:i w:val="false"/>
                <w:iCs w:val="false"/>
                <w:color w:val="000000"/>
                <w:sz w:val="18"/>
                <w:szCs w:val="18"/>
              </w:rPr>
              <w:t xml:space="preserve">1, with the exception of exempted Outsourced Relevant Services in </w:t>
            </w:r>
            <w:r>
              <w:rPr>
                <w:rFonts w:ascii="Arial" w:cs="Arial" w:eastAsia="Arial" w:hAnsi="Arial"/>
                <w:i w:val="false"/>
                <w:iCs w:val="false"/>
                <w:color w:val="000000"/>
                <w:sz w:val="18"/>
                <w:szCs w:val="18"/>
                <w:highlight w:val="yellow"/>
                <w:highlightCs w:val="yellow"/>
              </w:rPr>
              <w:t xml:space="preserve">Annex D of MAS Notices 658 and 1121 ("Notices")</w:t>
            </w:r>
            <w:r>
              <w:rPr>
                <w:rFonts w:ascii="Arial" w:cs="Arial" w:eastAsia="Arial" w:hAnsi="Arial"/>
                <w:i w:val="false"/>
                <w:iCs w:val="false"/>
                <w:color w:val="000000"/>
                <w:sz w:val="18"/>
                <w:szCs w:val="18"/>
              </w:rPr>
              <w:t xml:space="preserve">. A Bank should conduct a self-assessment of all existing outsourcing arrangements against these Guidelines2.</w:t>
            </w:r>
          </w:p>
          <w:p>
            <w:pPr>
              <w:spacing w:after="40" w:before="40"/>
            </w:pPr>
            <w:r>
              <w:rPr>
                <w:rFonts w:ascii="Arial" w:cs="Arial" w:eastAsia="Arial" w:hAnsi="Arial"/>
                <w:i w:val="false"/>
                <w:iCs w:val="false"/>
                <w:color w:val="595959"/>
                <w:sz w:val="14"/>
                <w:szCs w:val="14"/>
              </w:rPr>
              <w:t xml:space="preserve">1 – Includes both material and non-material ongoing outsourcing arrangements.</w:t>
            </w:r>
          </w:p>
          <w:p>
            <w:pPr>
              <w:spacing w:after="40" w:before="40"/>
            </w:pPr>
            <w:r>
              <w:rPr>
                <w:rFonts w:ascii="Arial" w:cs="Arial" w:eastAsia="Arial" w:hAnsi="Arial"/>
                <w:i w:val="false"/>
                <w:iCs w:val="false"/>
                <w:color w:val="595959"/>
                <w:sz w:val="14"/>
                <w:szCs w:val="14"/>
              </w:rPr>
              <w:t xml:space="preserve">2 – This includes Banks which are bound by outsourcing arrangements as a result of an acquisition of the business of another institution.</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These Guidelines on Outsourcing ("Guidelines") set out the Monetary Authority of Singapore's (MAS) expectations of a </w:t>
            </w:r>
            <w:r>
              <w:rPr>
                <w:rFonts w:ascii="Arial" w:cs="Arial" w:eastAsia="Arial" w:hAnsi="Arial"/>
                <w:i w:val="false"/>
                <w:iCs w:val="false"/>
                <w:color w:val="000000"/>
                <w:sz w:val="18"/>
                <w:szCs w:val="18"/>
                <w:highlight w:val="yellow"/>
                <w:highlightCs w:val="yellow"/>
              </w:rPr>
              <w:t xml:space="preserve">financial institution (other than a bank or merchant bank)</w:t>
            </w:r>
            <w:r>
              <w:rPr>
                <w:rFonts w:ascii="Arial" w:cs="Arial" w:eastAsia="Arial" w:hAnsi="Arial"/>
                <w:i w:val="false"/>
                <w:iCs w:val="false"/>
                <w:color w:val="000000"/>
                <w:sz w:val="18"/>
                <w:szCs w:val="18"/>
              </w:rPr>
              <w:t xml:space="preserve"> that has entered into </w:t>
            </w:r>
            <w:r>
              <w:rPr>
                <w:rFonts w:ascii="Arial" w:cs="Arial" w:eastAsia="Arial" w:hAnsi="Arial"/>
                <w:i w:val="false"/>
                <w:iCs w:val="false"/>
                <w:color w:val="000000"/>
                <w:sz w:val="18"/>
                <w:szCs w:val="18"/>
                <w:highlight w:val="yellow"/>
                <w:highlightCs w:val="yellow"/>
              </w:rPr>
              <w:t xml:space="preserve">any outsourcing arrangement or is planning to outsource its business activities</w:t>
            </w:r>
            <w:r>
              <w:rPr>
                <w:rFonts w:ascii="Arial" w:cs="Arial" w:eastAsia="Arial" w:hAnsi="Arial"/>
                <w:i w:val="false"/>
                <w:iCs w:val="false"/>
                <w:color w:val="000000"/>
                <w:sz w:val="18"/>
                <w:szCs w:val="18"/>
              </w:rPr>
              <w:t xml:space="preserve">1 to a service provider, with the exception of exempted outsourced services in </w:t>
            </w:r>
            <w:r>
              <w:rPr>
                <w:rFonts w:ascii="Arial" w:cs="Arial" w:eastAsia="Arial" w:hAnsi="Arial"/>
                <w:i w:val="false"/>
                <w:iCs w:val="false"/>
                <w:color w:val="000000"/>
                <w:sz w:val="18"/>
                <w:szCs w:val="18"/>
                <w:highlight w:val="yellow"/>
                <w:highlightCs w:val="yellow"/>
              </w:rPr>
              <w:t xml:space="preserve">Annex 1</w:t>
            </w:r>
            <w:r>
              <w:rPr>
                <w:rFonts w:ascii="Arial" w:cs="Arial" w:eastAsia="Arial" w:hAnsi="Arial"/>
                <w:i w:val="false"/>
                <w:iCs w:val="false"/>
                <w:color w:val="000000"/>
                <w:sz w:val="18"/>
                <w:szCs w:val="18"/>
              </w:rPr>
              <w:t xml:space="preserve">. An institution should conduct a self-assessment of all existing outsourcing arrangements against these Guidelines2.</w:t>
            </w:r>
          </w:p>
          <w:p>
            <w:pPr>
              <w:spacing w:after="40" w:before="40"/>
            </w:pPr>
            <w:r>
              <w:rPr>
                <w:rFonts w:ascii="Arial" w:cs="Arial" w:eastAsia="Arial" w:hAnsi="Arial"/>
                <w:i w:val="false"/>
                <w:iCs w:val="false"/>
                <w:color w:val="595959"/>
                <w:sz w:val="14"/>
                <w:szCs w:val="14"/>
              </w:rPr>
              <w:t xml:space="preserve">1 – Any reference in these Guidelines to "business activities" of an institution is to be construed as a reference to the business and operational functions and processes of the institution.</w:t>
            </w:r>
          </w:p>
          <w:p>
            <w:pPr>
              <w:spacing w:after="40" w:before="40"/>
            </w:pPr>
            <w:r>
              <w:rPr>
                <w:rFonts w:ascii="Arial" w:cs="Arial" w:eastAsia="Arial" w:hAnsi="Arial"/>
                <w:i w:val="false"/>
                <w:iCs w:val="false"/>
                <w:color w:val="595959"/>
                <w:sz w:val="14"/>
                <w:szCs w:val="14"/>
              </w:rPr>
              <w:t xml:space="preserve">2 – This includes institutions which are bound by outsourcing arrangements as a result of an acquisition of the business of another institution.</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Addressed to different institutions: banks and merchant banks vs all other FIs (FSMA s 2).</w:t>
            </w:r>
          </w:p>
          <w:p>
            <w:pPr>
              <w:spacing w:after="40" w:before="40"/>
            </w:pPr>
            <w:r>
              <w:rPr>
                <w:rFonts w:ascii="Arial" w:cs="Arial" w:eastAsia="Arial" w:hAnsi="Arial"/>
                <w:i w:val="false"/>
                <w:iCs w:val="false"/>
                <w:color w:val="000000"/>
                <w:sz w:val="18"/>
                <w:szCs w:val="18"/>
              </w:rPr>
              <w:t xml:space="preserve">2.  The Bank Guidelines import the concept of "ongoing outsourced relevant services" from Notices 658/1121; the FI Guidelines use their own defined term "outsourcing arrangement". Verified against Notice 658 ¶2.1, the two concepts are not co-extensive: the Notice test is disjunctive (ever performed by the bank OR integral to s 30(1) business/Annex A OR deemed by Annex C, e.g. public cloud) with a bright-line "ongoing" threshold of more than 12 months; the FI test is conjunctive (self-performable AND ongoing dependence AND integral to a financial service or provided in the institution’s name) with no duration threshold.</w:t>
            </w:r>
          </w:p>
          <w:p>
            <w:pPr>
              <w:spacing w:after="40" w:before="40"/>
            </w:pPr>
            <w:r>
              <w:rPr>
                <w:rFonts w:ascii="Arial" w:cs="Arial" w:eastAsia="Arial" w:hAnsi="Arial"/>
                <w:i w:val="false"/>
                <w:iCs w:val="false"/>
                <w:color w:val="000000"/>
                <w:sz w:val="18"/>
                <w:szCs w:val="18"/>
              </w:rPr>
              <w:t xml:space="preserve">3.  The exemption lists are found in different places: Annex D of Notices 658 and 1121 for the Bank Guidelines, and Annex 1 of the FI Guidelines.</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1.3</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The extent and degree to which a Bank implements the expectations in these Guidelines should be commensurate with the nature of risks in, and materiality of, the outsourcing arrangement, including outsourcing arrangements involving an MAS-regulated entity. A Bank should ensure that outsourced services (whether provided by a service provider or its sub-contractor) continue to be managed as if the services were still managed by the Bank.</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highlight w:val="yellow"/>
                <w:highlightCs w:val="yellow"/>
              </w:rPr>
              <w:t xml:space="preserve">The relevant expectations for banks and merchant banks are set out in a separate set of guidelines for banks and merchant banks, as that set of guidelines makes reference to definitions in MAS Notices 658 and 1121 that apply only to banks and merchant banks</w:t>
            </w:r>
            <w:r>
              <w:rPr>
                <w:rFonts w:ascii="Arial" w:cs="Arial" w:eastAsia="Arial" w:hAnsi="Arial"/>
                <w:i w:val="false"/>
                <w:iCs w:val="false"/>
                <w:color w:val="000000"/>
                <w:sz w:val="18"/>
                <w:szCs w:val="18"/>
              </w:rPr>
              <w:t xml:space="preserve">3.</w:t>
            </w:r>
          </w:p>
          <w:p>
            <w:pPr>
              <w:spacing w:after="40" w:before="40"/>
            </w:pPr>
            <w:r>
              <w:rPr>
                <w:rFonts w:ascii="Arial" w:cs="Arial" w:eastAsia="Arial" w:hAnsi="Arial"/>
                <w:i w:val="false"/>
                <w:iCs w:val="false"/>
                <w:color w:val="595959"/>
                <w:sz w:val="14"/>
                <w:szCs w:val="14"/>
              </w:rPr>
              <w:t xml:space="preserve">3 – This refers to the "Guidelines on Outsourcing (Banks)" at this link.</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Bank ¶1.3 is found in ¶2.1 of the FI Guidelines, with the only changes being the relevant institutions (FIs and banks).</w:t>
            </w:r>
          </w:p>
          <w:p>
            <w:pPr>
              <w:spacing w:after="40" w:before="40"/>
            </w:pPr>
            <w:r>
              <w:rPr>
                <w:rFonts w:ascii="Arial" w:cs="Arial" w:eastAsia="Arial" w:hAnsi="Arial"/>
                <w:i w:val="false"/>
                <w:iCs w:val="false"/>
                <w:color w:val="000000"/>
                <w:sz w:val="18"/>
                <w:szCs w:val="18"/>
              </w:rPr>
              <w:t xml:space="preserve">2.  FI ¶1.3 (cross-reference to the separate Bank Guidelines) has no Bank counterpart.</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1.4</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Banks are expected to refer to the Notices in determining which relevant services are outsourcing arrangements. While not the focus of these Guidelines, arrangements outside the definition of an outsourcing arrangement should also be subject to adequate risk management and sound internal controls. </w:t>
            </w:r>
            <w:r>
              <w:rPr>
                <w:rFonts w:ascii="Arial" w:cs="Arial" w:eastAsia="Arial" w:hAnsi="Arial"/>
                <w:i w:val="false"/>
                <w:iCs w:val="false"/>
                <w:color w:val="000000"/>
                <w:sz w:val="18"/>
                <w:szCs w:val="18"/>
                <w:highlight w:val="yellow"/>
                <w:highlightCs w:val="yellow"/>
              </w:rPr>
              <w:t xml:space="preserve">Annex 1 provides guidance to a Bank in assessing whether an arrangement would be considered a material outsourcing arrangement. Annex 2 provides guidance on cloud computing. Annex 3 illustrates the requirements and expectations applicable to different types of relevant services for Banks. Please refer to the Notices for the definition of terms used in these Guidelines.</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These Guidelines take effect on 11 December 2024 </w:t>
            </w:r>
            <w:r>
              <w:rPr>
                <w:rFonts w:ascii="Arial" w:cs="Arial" w:eastAsia="Arial" w:hAnsi="Arial"/>
                <w:i w:val="false"/>
                <w:iCs w:val="false"/>
                <w:color w:val="000000"/>
                <w:sz w:val="18"/>
                <w:szCs w:val="18"/>
                <w:highlight w:val="yellow"/>
                <w:highlightCs w:val="yellow"/>
              </w:rPr>
              <w:t xml:space="preserve">and last revised on 24 January 2025</w:t>
            </w:r>
            <w:r>
              <w:rPr>
                <w:rFonts w:ascii="Arial" w:cs="Arial" w:eastAsia="Arial" w:hAnsi="Arial"/>
                <w:i w:val="false"/>
                <w:iCs w:val="false"/>
                <w:color w:val="000000"/>
                <w:sz w:val="18"/>
                <w:szCs w:val="18"/>
              </w:rPr>
              <w:t xml:space="preserve">.</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Bank ¶1.4 is comparable to FI ¶2.2. The two prescribe different sources for which services are exempt: for the Bank Guidelines, Annexes 1, 2 and 3 (with definitions in the Notices); for the FI Guidelines, Annexes 1–5 (incl. the exempted-services list in Annex 1, examples in Annex 2 and the register template in Annex 4, to be submitted at least annually or upon request).</w:t>
            </w:r>
          </w:p>
          <w:p>
            <w:pPr>
              <w:spacing w:after="40" w:before="40"/>
            </w:pPr>
            <w:r>
              <w:rPr>
                <w:rFonts w:ascii="Arial" w:cs="Arial" w:eastAsia="Arial" w:hAnsi="Arial"/>
                <w:i w:val="false"/>
                <w:iCs w:val="false"/>
                <w:color w:val="000000"/>
                <w:sz w:val="18"/>
                <w:szCs w:val="18"/>
              </w:rPr>
              <w:t xml:space="preserve">2.  FI ¶1.4 corresponds to Bank ¶1.6. The phrase "and last revised on 24 January 2025" is added; the revision amended the "financial adviser" definition in FI §3.</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1.5</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These Guidelines are not intended to be exhaustive or override any legislative provisions. They should be read in conjunction with the provisions of the relevant legislation, the subsidiary legislation made under the relevant legislation, as well as written directions, notices, codes and other guidelines</w:t>
            </w:r>
            <w:r>
              <w:rPr>
                <w:rFonts w:ascii="Arial" w:cs="Arial" w:eastAsia="Arial" w:hAnsi="Arial"/>
                <w:i w:val="false"/>
                <w:iCs w:val="false"/>
                <w:color w:val="000000"/>
                <w:sz w:val="18"/>
                <w:szCs w:val="18"/>
                <w:highlight w:val="yellow"/>
                <w:highlightCs w:val="yellow"/>
              </w:rPr>
              <w:t xml:space="preserve">3</w:t>
            </w:r>
            <w:r>
              <w:rPr>
                <w:rFonts w:ascii="Arial" w:cs="Arial" w:eastAsia="Arial" w:hAnsi="Arial"/>
                <w:i w:val="false"/>
                <w:iCs w:val="false"/>
                <w:color w:val="000000"/>
                <w:sz w:val="18"/>
                <w:szCs w:val="18"/>
              </w:rPr>
              <w:t xml:space="preserve"> that MAS may issue from time to time pursuant to the relevant legislation and subsidiary legislation. The Guidelines do not affect and should not be regarded as a statement of the standard of care owed by Banks to their customers.</w:t>
            </w:r>
          </w:p>
          <w:p>
            <w:pPr>
              <w:spacing w:after="40" w:before="40"/>
            </w:pPr>
            <w:r>
              <w:rPr>
                <w:rFonts w:ascii="Arial" w:cs="Arial" w:eastAsia="Arial" w:hAnsi="Arial"/>
                <w:i w:val="false"/>
                <w:iCs w:val="false"/>
                <w:color w:val="595959"/>
                <w:sz w:val="14"/>
                <w:szCs w:val="14"/>
              </w:rPr>
              <w:t xml:space="preserve">3 – This includes MAS Information Paper on "Operational Risk Management – Third-Party Arrangements", which sets out good practices relating to third-party risk management that MAS expects to see in banks.</w:t>
            </w:r>
          </w:p>
        </w:tc>
        <w:tc>
          <w:tcPr>
            <w:tcW w:type="dxa" w:w="5300"/>
            <w:tcMar>
              <w:top w:type="dxa" w:w="60"/>
              <w:left w:type="dxa" w:w="100"/>
              <w:bottom w:type="dxa" w:w="60"/>
              <w:right w:type="dxa" w:w="100"/>
            </w:tcMar>
            <w:vAlign w:val="top"/>
          </w:tcPr>
          <w:p>
            <w:pPr>
              <w:spacing w:after="40" w:before="40"/>
            </w:pPr>
            <w:r>
              <w:rPr>
                <w:rFonts w:ascii="Arial" w:cs="Arial" w:eastAsia="Arial" w:hAnsi="Arial"/>
                <w:i/>
                <w:iCs/>
                <w:color w:val="595959"/>
                <w:sz w:val="18"/>
                <w:szCs w:val="18"/>
              </w:rPr>
              <w:t xml:space="preserve">No provision numbered 1.5 under the FI Guidelines.</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Found in ¶2.4 of the FI Guidelines, worded identically but without footnote 3.</w:t>
            </w:r>
          </w:p>
          <w:p>
            <w:pPr>
              <w:spacing w:after="40" w:before="40"/>
            </w:pPr>
            <w:r>
              <w:rPr>
                <w:rFonts w:ascii="Arial" w:cs="Arial" w:eastAsia="Arial" w:hAnsi="Arial"/>
                <w:i w:val="false"/>
                <w:iCs w:val="false"/>
                <w:color w:val="000000"/>
                <w:sz w:val="18"/>
                <w:szCs w:val="18"/>
              </w:rPr>
              <w:t xml:space="preserve">2.  Footnote 3 (reference to the MAS Information Paper on "Operational Risk Management – Third-Party Arrangements") is Bank-only.</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1.6</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These Guidelines take effect on 11 December 2024.</w:t>
            </w:r>
          </w:p>
        </w:tc>
        <w:tc>
          <w:tcPr>
            <w:tcW w:type="dxa" w:w="5300"/>
            <w:tcMar>
              <w:top w:type="dxa" w:w="60"/>
              <w:left w:type="dxa" w:w="100"/>
              <w:bottom w:type="dxa" w:w="60"/>
              <w:right w:type="dxa" w:w="100"/>
            </w:tcMar>
            <w:vAlign w:val="top"/>
          </w:tcPr>
          <w:p>
            <w:pPr>
              <w:spacing w:after="40" w:before="40"/>
            </w:pPr>
            <w:r>
              <w:rPr>
                <w:rFonts w:ascii="Arial" w:cs="Arial" w:eastAsia="Arial" w:hAnsi="Arial"/>
                <w:i/>
                <w:iCs/>
                <w:color w:val="595959"/>
                <w:sz w:val="18"/>
                <w:szCs w:val="18"/>
              </w:rPr>
              <w:t xml:space="preserve">No provision here under FI Guidelines.</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Found in ¶1.4 for the FI Guidelines, worded identically, with the addition "and last revised on 24 January 2025".</w:t>
            </w:r>
          </w:p>
        </w:tc>
      </w:tr>
      <w:tr>
        <w:tc>
          <w:tcPr>
            <w:tcW w:type="dxa" w:w="800"/>
            <w:shd w:fill="D9D9D9" w:val="clear"/>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2.</w:t>
            </w:r>
          </w:p>
        </w:tc>
        <w:tc>
          <w:tcPr>
            <w:tcW w:type="dxa" w:w="5300"/>
            <w:shd w:fill="D9D9D9" w:val="clear"/>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Engagement with MAS</w:t>
            </w:r>
          </w:p>
        </w:tc>
        <w:tc>
          <w:tcPr>
            <w:tcW w:type="dxa" w:w="5300"/>
            <w:shd w:fill="D9D9D9" w:val="clear"/>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highlight w:val="yellow"/>
                <w:highlightCs w:val="yellow"/>
              </w:rPr>
              <w:t xml:space="preserve">Application of Guidelines</w:t>
            </w:r>
          </w:p>
        </w:tc>
        <w:tc>
          <w:tcPr>
            <w:tcW w:type="dxa" w:w="3000"/>
            <w:shd w:fill="D9D9D9" w:val="clear"/>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Section 2 of the Bank Guidelines ("Engagement with MAS") is found in Section 4 of the FI Guidelines. Section 2 of the FI Guidelines ("Application of Guidelines") corresponds to Bank ¶¶1.3–1.5.</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2.1</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A Bank should be able to demonstrate to MAS its observance of the expectations in these Guidelines. Where MAS is not satisfied with the Bank's observance of the expectations in these Guidelines, MAS may require the Bank to take additional measures to address the deficiencies noted, which could include pre-notification of new </w:t>
            </w:r>
            <w:r>
              <w:rPr>
                <w:rFonts w:ascii="Arial" w:cs="Arial" w:eastAsia="Arial" w:hAnsi="Arial"/>
                <w:i w:val="false"/>
                <w:iCs w:val="false"/>
                <w:color w:val="000000"/>
                <w:sz w:val="18"/>
                <w:szCs w:val="18"/>
                <w:highlight w:val="yellow"/>
                <w:highlightCs w:val="yellow"/>
              </w:rPr>
              <w:t xml:space="preserve">material ongoing outsourced relevant services (MOORS)</w:t>
            </w:r>
            <w:r>
              <w:rPr>
                <w:rFonts w:ascii="Arial" w:cs="Arial" w:eastAsia="Arial" w:hAnsi="Arial"/>
                <w:i w:val="false"/>
                <w:iCs w:val="false"/>
                <w:color w:val="000000"/>
                <w:sz w:val="18"/>
                <w:szCs w:val="18"/>
              </w:rPr>
              <w:t xml:space="preserve">. MAS may also take non-observance into account in its assessment of the Bank, considering the potential impact of the outsourcing arrangement on the Bank and the financial system, severity of the deficiencies noted, the Bank's track record in internal controls and risk management, and the circumstances of the case. MAS may directly communicate with the home or host regulators of the Bank and the Bank's service provider, on their ability and willingness to cooperate with MAS.</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The extent and degree to which an institution implements the expectations in these Guidelines should be commensurate with the nature of risks in, and materiality of, the outsourcing arrangement, including outsourcing arrangements involving an MAS-regulated entity. An institution should ensure that outsourced services (whether provided by a service provider or its sub-contractor) continue to be managed as if the services were still managed by the institution.</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Bank ¶2.1 is found in ¶¶4.1.1–4.1.2 of the FI Guidelines, split across two provisions and worded identically save that FI ¶4.1.2 says "pre-notification of new material outsourcing arrangements" (vs "MOORS") and "the potential impact of the outsourcing on the institution" (vs "of the outsourcing arrangement on the Bank") — with one addition: FI ¶4.1.1 states that observance "should include </w:t>
            </w:r>
            <w:r>
              <w:rPr>
                <w:rFonts w:ascii="Arial" w:cs="Arial" w:eastAsia="Arial" w:hAnsi="Arial"/>
                <w:i w:val="false"/>
                <w:iCs w:val="false"/>
                <w:color w:val="000000"/>
                <w:sz w:val="18"/>
                <w:szCs w:val="18"/>
                <w:highlight w:val="yellow"/>
                <w:highlightCs w:val="yellow"/>
              </w:rPr>
              <w:t xml:space="preserve">submission of its outsourcing register</w:t>
            </w:r>
            <w:r>
              <w:rPr>
                <w:rFonts w:ascii="Arial" w:cs="Arial" w:eastAsia="Arial" w:hAnsi="Arial"/>
                <w:i w:val="false"/>
                <w:iCs w:val="false"/>
                <w:color w:val="000000"/>
                <w:sz w:val="18"/>
                <w:szCs w:val="18"/>
              </w:rPr>
              <w:t xml:space="preserve"> in the template set out in Annex 4 </w:t>
            </w:r>
            <w:r>
              <w:rPr>
                <w:rFonts w:ascii="Arial" w:cs="Arial" w:eastAsia="Arial" w:hAnsi="Arial"/>
                <w:i w:val="false"/>
                <w:iCs w:val="false"/>
                <w:color w:val="000000"/>
                <w:sz w:val="18"/>
                <w:szCs w:val="18"/>
                <w:highlight w:val="yellow"/>
                <w:highlightCs w:val="yellow"/>
              </w:rPr>
              <w:t xml:space="preserve">at least annually or upon request</w:t>
            </w:r>
            <w:r>
              <w:rPr>
                <w:rFonts w:ascii="Arial" w:cs="Arial" w:eastAsia="Arial" w:hAnsi="Arial"/>
                <w:i w:val="false"/>
                <w:iCs w:val="false"/>
                <w:color w:val="000000"/>
                <w:sz w:val="18"/>
                <w:szCs w:val="18"/>
              </w:rPr>
              <w:t xml:space="preserve">", which has no Bank counterpart (the Bank register template link at fn 21 states no submission frequency).</w:t>
            </w:r>
          </w:p>
          <w:p>
            <w:pPr>
              <w:spacing w:after="40" w:before="40"/>
            </w:pPr>
            <w:r>
              <w:rPr>
                <w:rFonts w:ascii="Arial" w:cs="Arial" w:eastAsia="Arial" w:hAnsi="Arial"/>
                <w:i w:val="false"/>
                <w:iCs w:val="false"/>
                <w:color w:val="000000"/>
                <w:sz w:val="18"/>
                <w:szCs w:val="18"/>
              </w:rPr>
              <w:t xml:space="preserve">2.  FI ¶2.1 is Bank ¶1.3, worded identically.</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2.2</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A Bank should notify MAS as soon as possible of any adverse development arising from its outsourcing arrangements that could impact the Bank. Such adverse developments include any event that could potentially lead to prolonged service failure or disruption in the outsourcing arrangement, or any breach of security and confidentiality of the Bank's customer information4. A Bank should also notify MAS of such adverse developments encountered within the Bank's group.</w:t>
            </w:r>
          </w:p>
          <w:p>
            <w:pPr>
              <w:spacing w:after="40" w:before="40"/>
            </w:pPr>
            <w:r>
              <w:rPr>
                <w:rFonts w:ascii="Arial" w:cs="Arial" w:eastAsia="Arial" w:hAnsi="Arial"/>
                <w:i w:val="false"/>
                <w:iCs w:val="false"/>
                <w:color w:val="595959"/>
                <w:sz w:val="14"/>
                <w:szCs w:val="14"/>
              </w:rPr>
              <w:t xml:space="preserve">4 – Customer information does not include information that is not referable to any customer or named group of customers. This includes information anonymised or encrypted in a secure manner such that the identities of the customers cannot be readily inferred. Customer information which had previously been made public or is otherwise public information would still be considered customer information.</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Annex 1 provides a list of exempted outsourced services, for which the Guidelines do not apply. </w:t>
            </w:r>
            <w:r>
              <w:rPr>
                <w:rFonts w:ascii="Arial" w:cs="Arial" w:eastAsia="Arial" w:hAnsi="Arial"/>
                <w:i w:val="false"/>
                <w:iCs w:val="false"/>
                <w:color w:val="000000"/>
                <w:sz w:val="18"/>
                <w:szCs w:val="18"/>
                <w:highlight w:val="yellow"/>
                <w:highlightCs w:val="yellow"/>
              </w:rPr>
              <w:t xml:space="preserve">Annex 2 provides a non-exhaustive list of examples of outsourcing arrangements</w:t>
            </w:r>
            <w:r>
              <w:rPr>
                <w:rFonts w:ascii="Arial" w:cs="Arial" w:eastAsia="Arial" w:hAnsi="Arial"/>
                <w:i w:val="false"/>
                <w:iCs w:val="false"/>
                <w:color w:val="000000"/>
                <w:sz w:val="18"/>
                <w:szCs w:val="18"/>
              </w:rPr>
              <w:t xml:space="preserve"> to which these Guidelines are applicable, and arrangements that are not intended to be subject to these Guidelines. It should also not be misconstrued that arrangements not defined as outsourcing need not be subject to adequate risk management and sound internal controls. Annex 3 provides guidance to an institution in assessing whether an arrangement would be considered a material outsourcing arrangement. </w:t>
            </w:r>
            <w:r>
              <w:rPr>
                <w:rFonts w:ascii="Arial" w:cs="Arial" w:eastAsia="Arial" w:hAnsi="Arial"/>
                <w:i w:val="false"/>
                <w:iCs w:val="false"/>
                <w:color w:val="000000"/>
                <w:sz w:val="18"/>
                <w:szCs w:val="18"/>
                <w:highlight w:val="yellow"/>
                <w:highlightCs w:val="yellow"/>
              </w:rPr>
              <w:t xml:space="preserve">Annex 4 provides a template for an institution to maintain a register of its outsourcing arrangements which is to be submitted to MAS, at least annually or upon request.</w:t>
            </w:r>
            <w:r>
              <w:rPr>
                <w:rFonts w:ascii="Arial" w:cs="Arial" w:eastAsia="Arial" w:hAnsi="Arial"/>
                <w:i w:val="false"/>
                <w:iCs w:val="false"/>
                <w:color w:val="000000"/>
                <w:sz w:val="18"/>
                <w:szCs w:val="18"/>
              </w:rPr>
              <w:t xml:space="preserve"> Annex 5 provides guidance on use of cloud services.</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Bank ¶2.2 is found at FI ¶4.2.1, worded identically. Footnote 4’s carve-outs are folded into the FI §3 definition of "customer information" — but the Bank footnote’s express rider that previously-public information remains customer information has no FI equivalent (the FI definition simply excludes "public" information).</w:t>
            </w:r>
          </w:p>
          <w:p>
            <w:pPr>
              <w:spacing w:after="40" w:before="40"/>
            </w:pPr>
            <w:r>
              <w:rPr>
                <w:rFonts w:ascii="Arial" w:cs="Arial" w:eastAsia="Arial" w:hAnsi="Arial"/>
                <w:i w:val="false"/>
                <w:iCs w:val="false"/>
                <w:color w:val="000000"/>
                <w:sz w:val="18"/>
                <w:szCs w:val="18"/>
              </w:rPr>
              <w:t xml:space="preserve">2.  FI ¶2.2 corresponds to Bank ¶1.4; the annex roadmaps differ as noted at row 1.4.</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2.3</w:t>
            </w:r>
          </w:p>
        </w:tc>
        <w:tc>
          <w:tcPr>
            <w:tcW w:type="dxa" w:w="5300"/>
            <w:tcMar>
              <w:top w:type="dxa" w:w="60"/>
              <w:left w:type="dxa" w:w="100"/>
              <w:bottom w:type="dxa" w:w="60"/>
              <w:right w:type="dxa" w:w="100"/>
            </w:tcMar>
            <w:vAlign w:val="top"/>
          </w:tcPr>
          <w:p>
            <w:pPr>
              <w:spacing w:after="40" w:before="40"/>
            </w:pPr>
            <w:r>
              <w:rPr>
                <w:rFonts w:ascii="Arial" w:cs="Arial" w:eastAsia="Arial" w:hAnsi="Arial"/>
                <w:i/>
                <w:iCs/>
                <w:color w:val="595959"/>
                <w:sz w:val="18"/>
                <w:szCs w:val="18"/>
              </w:rPr>
              <w:t xml:space="preserve">No provision numbered 2.3 under the Bank Guidelines.</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An institution incorporated in Singapore should also consider the impact of outsourcing arrangements by its branches and any corporation under its control, including those located outside Singapore, on its consolidated operations. </w:t>
            </w:r>
            <w:r>
              <w:rPr>
                <w:rFonts w:ascii="Arial" w:cs="Arial" w:eastAsia="Arial" w:hAnsi="Arial"/>
                <w:i w:val="false"/>
                <w:iCs w:val="false"/>
                <w:color w:val="000000"/>
                <w:sz w:val="18"/>
                <w:szCs w:val="18"/>
                <w:highlight w:val="yellow"/>
                <w:highlightCs w:val="yellow"/>
              </w:rPr>
              <w:t xml:space="preserve">Institutions incorporated in Singapore should ensure that these Guidelines are observed by branches and corporations under their control by applying a group-wide outsourcing risk management framework that complies with the Guidelines.</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FI-only. The affirmative duty to ensure group-wide observance has no Bank counterpart — Bank ¶3.11.1 (application to intra-group arrangements) and Annex 1 ¶4 (group-level materiality) reach group arrangements but contain no "ensure observance" instruction.</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2.4</w:t>
            </w:r>
          </w:p>
        </w:tc>
        <w:tc>
          <w:tcPr>
            <w:tcW w:type="dxa" w:w="5300"/>
            <w:tcMar>
              <w:top w:type="dxa" w:w="60"/>
              <w:left w:type="dxa" w:w="100"/>
              <w:bottom w:type="dxa" w:w="60"/>
              <w:right w:type="dxa" w:w="100"/>
            </w:tcMar>
            <w:vAlign w:val="top"/>
          </w:tcPr>
          <w:p>
            <w:pPr>
              <w:spacing w:after="40" w:before="40"/>
            </w:pPr>
            <w:r>
              <w:rPr>
                <w:rFonts w:ascii="Arial" w:cs="Arial" w:eastAsia="Arial" w:hAnsi="Arial"/>
                <w:i/>
                <w:iCs/>
                <w:color w:val="595959"/>
                <w:sz w:val="18"/>
                <w:szCs w:val="18"/>
              </w:rPr>
              <w:t xml:space="preserve">No provision numbered 2.4 under the Bank Guidelines.</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These Guidelines are not intended to be exhaustive or override any legislative provisions. They should be read in conjunction with the provisions of the relevant legislation, the subsidiary legislation made under the relevant legislation, as well as written directions, notices, codes and other guidelines that MAS may issue from time to time pursuant to the relevant legislation and subsidiary legislation. The Guidelines do not affect and should not be regarded as a statement of the standard of care owed by institutions to their customers.</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Identical to Bank ¶1.5, minus footnote 3 (the MAS Information Paper reference).</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[FI 4.1.3]</w:t>
            </w:r>
          </w:p>
        </w:tc>
        <w:tc>
          <w:tcPr>
            <w:tcW w:type="dxa" w:w="5300"/>
            <w:tcMar>
              <w:top w:type="dxa" w:w="60"/>
              <w:left w:type="dxa" w:w="100"/>
              <w:bottom w:type="dxa" w:w="60"/>
              <w:right w:type="dxa" w:w="100"/>
            </w:tcMar>
            <w:vAlign w:val="top"/>
          </w:tcPr>
          <w:p>
            <w:pPr>
              <w:spacing w:after="40" w:before="40"/>
            </w:pPr>
            <w:r>
              <w:rPr>
                <w:rFonts w:ascii="Arial" w:cs="Arial" w:eastAsia="Arial" w:hAnsi="Arial"/>
                <w:i/>
                <w:iCs/>
                <w:color w:val="595959"/>
                <w:sz w:val="18"/>
                <w:szCs w:val="18"/>
              </w:rPr>
              <w:t xml:space="preserve">No equivalent provision under the Bank Guidelines’ Engagement with MAS section.</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[¶4.1.3]</w:t>
            </w:r>
            <w:r>
              <w:rPr>
                <w:rFonts w:ascii="Arial" w:cs="Arial" w:eastAsia="Arial" w:hAnsi="Arial"/>
                <w:i w:val="false"/>
                <w:iCs w:val="false"/>
                <w:color w:val="000000"/>
                <w:sz w:val="18"/>
                <w:szCs w:val="18"/>
              </w:rPr>
              <w:t xml:space="preserve"> MAS may require an institution to </w:t>
            </w:r>
            <w:r>
              <w:rPr>
                <w:rFonts w:ascii="Arial" w:cs="Arial" w:eastAsia="Arial" w:hAnsi="Arial"/>
                <w:i w:val="false"/>
                <w:iCs w:val="false"/>
                <w:color w:val="000000"/>
                <w:sz w:val="18"/>
                <w:szCs w:val="18"/>
                <w:highlight w:val="yellow"/>
                <w:highlightCs w:val="yellow"/>
              </w:rPr>
              <w:t xml:space="preserve">modify, make alternative arrangements or re-integrate an outsourced service into the institution</w:t>
            </w:r>
            <w:r>
              <w:rPr>
                <w:rFonts w:ascii="Arial" w:cs="Arial" w:eastAsia="Arial" w:hAnsi="Arial"/>
                <w:i w:val="false"/>
                <w:iCs w:val="false"/>
                <w:color w:val="000000"/>
                <w:sz w:val="18"/>
                <w:szCs w:val="18"/>
              </w:rPr>
              <w:t xml:space="preserve"> where one of the following circumstances arises: (a) An institution fails or is unable to demonstrate a satisfactory level of understanding of the nature and extent of risk arising from the outsourcing arrangement; (b) An institution fails or is unable to implement adequate measures to address the risks arising from its outsourcing arrangements in a satisfactory and timely manner; (c) Adverse developments arise from the outsourcing arrangement that could impact an institution; (d) </w:t>
            </w:r>
            <w:r>
              <w:rPr>
                <w:rFonts w:ascii="Arial" w:cs="Arial" w:eastAsia="Arial" w:hAnsi="Arial"/>
                <w:i w:val="false"/>
                <w:iCs w:val="false"/>
                <w:color w:val="000000"/>
                <w:sz w:val="18"/>
                <w:szCs w:val="18"/>
                <w:highlight w:val="yellow"/>
                <w:highlightCs w:val="yellow"/>
              </w:rPr>
              <w:t xml:space="preserve">MAS’ supervisory powers over the institution and ability to carry out MAS’ supervisory functions in respect of the institution’s services are hindered</w:t>
            </w:r>
            <w:r>
              <w:rPr>
                <w:rFonts w:ascii="Arial" w:cs="Arial" w:eastAsia="Arial" w:hAnsi="Arial"/>
                <w:i w:val="false"/>
                <w:iCs w:val="false"/>
                <w:color w:val="000000"/>
                <w:sz w:val="18"/>
                <w:szCs w:val="18"/>
              </w:rPr>
              <w:t xml:space="preserve">; or (e) </w:t>
            </w:r>
            <w:r>
              <w:rPr>
                <w:rFonts w:ascii="Arial" w:cs="Arial" w:eastAsia="Arial" w:hAnsi="Arial"/>
                <w:i w:val="false"/>
                <w:iCs w:val="false"/>
                <w:color w:val="000000"/>
                <w:sz w:val="18"/>
                <w:szCs w:val="18"/>
                <w:highlight w:val="yellow"/>
                <w:highlightCs w:val="yellow"/>
              </w:rPr>
              <w:t xml:space="preserve">The security and confidentiality of the institution’s customer information is lowered due to changes in the control environment of the service provider</w:t>
            </w:r>
            <w:r>
              <w:rPr>
                <w:rFonts w:ascii="Arial" w:cs="Arial" w:eastAsia="Arial" w:hAnsi="Arial"/>
                <w:i w:val="false"/>
                <w:iCs w:val="false"/>
                <w:color w:val="000000"/>
                <w:sz w:val="18"/>
                <w:szCs w:val="18"/>
              </w:rPr>
              <w:t xml:space="preserve">.</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FI-only in this form. The Bank counterpart mechanism is ¶¶3.4.5–3.4.6: MAS directing termination of the contract or stopping the MOORS under Notices ¶7.1(g), on eight grounds (incl. audit obstruction under s 47A(10) Banking Act), expressed as a last resort with reasonable notice. Grounds (d) and (e) here have no Bank equivalent; the Bank audit-obstruction grounds have no FI equivalent.</w:t>
            </w:r>
          </w:p>
        </w:tc>
      </w:tr>
      <w:tr>
        <w:tc>
          <w:tcPr>
            <w:tcW w:type="dxa" w:w="800"/>
            <w:shd w:fill="D9D9D9" w:val="clear"/>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3.</w:t>
            </w:r>
          </w:p>
        </w:tc>
        <w:tc>
          <w:tcPr>
            <w:tcW w:type="dxa" w:w="5300"/>
            <w:shd w:fill="D9D9D9" w:val="clear"/>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Risk Management Practices</w:t>
            </w:r>
          </w:p>
        </w:tc>
        <w:tc>
          <w:tcPr>
            <w:tcW w:type="dxa" w:w="5300"/>
            <w:shd w:fill="D9D9D9" w:val="clear"/>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highlight w:val="yellow"/>
                <w:highlightCs w:val="yellow"/>
              </w:rPr>
              <w:t xml:space="preserve">Definitions</w:t>
            </w:r>
          </w:p>
        </w:tc>
        <w:tc>
          <w:tcPr>
            <w:tcW w:type="dxa" w:w="3000"/>
            <w:shd w:fill="D9D9D9" w:val="clear"/>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Section 3 of the Bank Guidelines corresponds to Section 5 of the FI Guidelines (FI sub-section 5.1 "Overview" has no Bank counterpart — see row [FI 5.1.1]; offset: Bank 3.1→FI 5.2, 3.2→5.3, 3.3→5.4, 3.4→5.5, 3.5→folded into 5.5.2(j), 3.6→5.6, 3.7→5.7, 3.8→5.8, 3.9→5.9, 3.10→5.10, 3.11→5.11, 3.12→5.12). Section 3 of the FI Guidelines ("Definitions") has no Bank counterpart — Bank ¶1.4 defers to the Notices for definitions.</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[FI 5.1.1]</w:t>
            </w:r>
          </w:p>
        </w:tc>
        <w:tc>
          <w:tcPr>
            <w:tcW w:type="dxa" w:w="5300"/>
            <w:tcMar>
              <w:top w:type="dxa" w:w="60"/>
              <w:left w:type="dxa" w:w="100"/>
              <w:bottom w:type="dxa" w:w="60"/>
              <w:right w:type="dxa" w:w="100"/>
            </w:tcMar>
            <w:vAlign w:val="top"/>
          </w:tcPr>
          <w:p>
            <w:pPr>
              <w:spacing w:after="40" w:before="40"/>
            </w:pPr>
            <w:r>
              <w:rPr>
                <w:rFonts w:ascii="Arial" w:cs="Arial" w:eastAsia="Arial" w:hAnsi="Arial"/>
                <w:i/>
                <w:iCs/>
                <w:color w:val="595959"/>
                <w:sz w:val="18"/>
                <w:szCs w:val="18"/>
              </w:rPr>
              <w:t xml:space="preserve">No provision here under the Bank Guidelines.</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[¶5.1.1 – Overview]</w:t>
            </w:r>
            <w:r>
              <w:rPr>
                <w:rFonts w:ascii="Arial" w:cs="Arial" w:eastAsia="Arial" w:hAnsi="Arial"/>
                <w:i w:val="false"/>
                <w:iCs w:val="false"/>
                <w:color w:val="000000"/>
                <w:sz w:val="18"/>
                <w:szCs w:val="18"/>
              </w:rPr>
              <w:t xml:space="preserve"> </w:t>
            </w:r>
            <w:r>
              <w:rPr>
                <w:rFonts w:ascii="Arial" w:cs="Arial" w:eastAsia="Arial" w:hAnsi="Arial"/>
                <w:i w:val="false"/>
                <w:iCs w:val="false"/>
                <w:color w:val="000000"/>
                <w:sz w:val="18"/>
                <w:szCs w:val="18"/>
                <w:highlight w:val="yellow"/>
                <w:highlightCs w:val="yellow"/>
              </w:rPr>
              <w:t xml:space="preserve">In supervising an institution, MAS will review its implementation of these Guidelines, the quality of its board and senior management oversight and governance, internal controls and risk management with regard to managing outsourcing risks.</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FI-only overview provision (sub-section 5.1); the equivalent idea is folded into Bank ¶2.1. No Bank counterpart provision.</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3.1</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Responsibilities of the Board and Senior Management</w:t>
            </w:r>
            <w:r>
              <w:rPr>
                <w:rFonts w:ascii="Arial" w:cs="Arial" w:eastAsia="Arial" w:hAnsi="Arial"/>
                <w:i w:val="false"/>
                <w:iCs w:val="false"/>
                <w:color w:val="000000"/>
                <w:sz w:val="18"/>
                <w:szCs w:val="18"/>
              </w:rPr>
              <w:t xml:space="preserve"> *(sub-section heading)*</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[¶3.1 – Definitions]</w:t>
            </w:r>
            <w:r>
              <w:rPr>
                <w:rFonts w:ascii="Arial" w:cs="Arial" w:eastAsia="Arial" w:hAnsi="Arial"/>
                <w:i w:val="false"/>
                <w:iCs w:val="false"/>
                <w:color w:val="000000"/>
                <w:sz w:val="18"/>
                <w:szCs w:val="18"/>
              </w:rPr>
              <w:t xml:space="preserve"> In these Guidelines on Outsourcing, unless the context otherwise requires:</w:t>
            </w:r>
          </w:p>
          <w:p>
            <w:pPr>
              <w:spacing w:after="40" w:before="40"/>
            </w:pPr>
            <w:r>
              <w:rPr>
                <w:rFonts w:ascii="Arial" w:cs="Arial" w:eastAsia="Arial" w:hAnsi="Arial"/>
                <w:i w:val="false"/>
                <w:iCs w:val="false"/>
                <w:color w:val="000000"/>
                <w:sz w:val="18"/>
                <w:szCs w:val="18"/>
                <w:highlight w:val="yellow"/>
                <w:highlightCs w:val="yellow"/>
              </w:rPr>
              <w:t xml:space="preserve">"benchmark administrator"</w:t>
            </w:r>
            <w:r>
              <w:rPr>
                <w:rFonts w:ascii="Arial" w:cs="Arial" w:eastAsia="Arial" w:hAnsi="Arial"/>
                <w:i w:val="false"/>
                <w:iCs w:val="false"/>
                <w:color w:val="000000"/>
                <w:sz w:val="18"/>
                <w:szCs w:val="18"/>
              </w:rPr>
              <w:t xml:space="preserve"> means a benchmark administrator authorised under section 123F of the Securities and Futures Act 2001 (SFA) or a benchmark administrator exempt under section 123K of the SFA;</w:t>
            </w:r>
          </w:p>
          <w:p>
            <w:pPr>
              <w:spacing w:after="40" w:before="40"/>
            </w:pPr>
            <w:r>
              <w:rPr>
                <w:rFonts w:ascii="Arial" w:cs="Arial" w:eastAsia="Arial" w:hAnsi="Arial"/>
                <w:i w:val="false"/>
                <w:iCs w:val="false"/>
                <w:color w:val="000000"/>
                <w:sz w:val="18"/>
                <w:szCs w:val="18"/>
                <w:highlight w:val="yellow"/>
                <w:highlightCs w:val="yellow"/>
              </w:rPr>
              <w:t xml:space="preserve">"board" or "board of directors"</w:t>
            </w:r>
            <w:r>
              <w:rPr>
                <w:rFonts w:ascii="Arial" w:cs="Arial" w:eastAsia="Arial" w:hAnsi="Arial"/>
                <w:i w:val="false"/>
                <w:iCs w:val="false"/>
                <w:color w:val="000000"/>
                <w:sz w:val="18"/>
                <w:szCs w:val="18"/>
              </w:rPr>
              <w:t xml:space="preserve"> means – (a) in the case of an institution incorporated in Singapore, the board of directors; and (b) in the case of an institution incorporated or established outside Singapore, a management committee or body beyond local management charged with oversight and supervision responsibilities for the institution in Singapore;</w:t>
            </w:r>
          </w:p>
          <w:p>
            <w:pPr>
              <w:spacing w:after="40" w:before="40"/>
            </w:pPr>
            <w:r>
              <w:rPr>
                <w:rFonts w:ascii="Arial" w:cs="Arial" w:eastAsia="Arial" w:hAnsi="Arial"/>
                <w:i w:val="false"/>
                <w:iCs w:val="false"/>
                <w:color w:val="000000"/>
                <w:sz w:val="18"/>
                <w:szCs w:val="18"/>
              </w:rPr>
              <w:t xml:space="preserve">"bridge-institution" means an institution, whether incorporated in Singapore or outside Singapore, to temporarily take over and maintain certain assets, liabilities and operations of a distressed financial institution, as part of a resolution Authority's exercise of a </w:t>
            </w:r>
            <w:r>
              <w:rPr>
                <w:rFonts w:ascii="Arial" w:cs="Arial" w:eastAsia="Arial" w:hAnsi="Arial"/>
                <w:i w:val="false"/>
                <w:iCs w:val="false"/>
                <w:color w:val="000000"/>
                <w:sz w:val="18"/>
                <w:szCs w:val="18"/>
                <w:highlight w:val="yellow"/>
                <w:highlightCs w:val="yellow"/>
              </w:rPr>
              <w:t xml:space="preserve">resolution power</w:t>
            </w:r>
            <w:r>
              <w:rPr>
                <w:rFonts w:ascii="Arial" w:cs="Arial" w:eastAsia="Arial" w:hAnsi="Arial"/>
                <w:i w:val="false"/>
                <w:iCs w:val="false"/>
                <w:color w:val="000000"/>
                <w:sz w:val="18"/>
                <w:szCs w:val="18"/>
              </w:rPr>
              <w:t xml:space="preserve">;</w:t>
            </w:r>
          </w:p>
          <w:p>
            <w:pPr>
              <w:spacing w:after="40" w:before="40"/>
            </w:pPr>
            <w:r>
              <w:rPr>
                <w:rFonts w:ascii="Arial" w:cs="Arial" w:eastAsia="Arial" w:hAnsi="Arial"/>
                <w:i w:val="false"/>
                <w:iCs w:val="false"/>
                <w:color w:val="000000"/>
                <w:sz w:val="18"/>
                <w:szCs w:val="18"/>
                <w:highlight w:val="yellow"/>
                <w:highlightCs w:val="yellow"/>
              </w:rPr>
              <w:t xml:space="preserve">"business relations"</w:t>
            </w:r>
            <w:r>
              <w:rPr>
                <w:rFonts w:ascii="Arial" w:cs="Arial" w:eastAsia="Arial" w:hAnsi="Arial"/>
                <w:i w:val="false"/>
                <w:iCs w:val="false"/>
                <w:color w:val="000000"/>
                <w:sz w:val="18"/>
                <w:szCs w:val="18"/>
              </w:rPr>
              <w:t xml:space="preserve"> – (a) in relation to an insurer, means (i) the issuance of a policy or reinsurance cover by the insurer to; or (ii) the provision of financial advice by the insurer to, a person (whether a natural person, legal person or legal arrangement); (b) in relation to a CMI, means (i) the opening or maintenance of an account by the CMI in the name of; (ii) the provision of financial advice by the CMI to; or (iii) the provision of fund management services by the CMI to, a person (whether a natural person, legal person or legal arrangement); (c) in relation to a financial adviser, means (i) the opening or maintenance of an account by the financial adviser in the name of; or (ii) the provision of financial advice by the financial adviser to, a person (whether a natural person, legal person or legal arrangement); (d) in relation to a credit card or charge card licensee licensed under section 57B of the Banking Act 1970, means the opening or maintenance of an account by the credit card or charge card licensee in the name of a person (whether a natural person, legal person or legal arrangement); (e) in relation to a benchmark administrator, means (i) the collection of information from a person (whether a natural person, legal person or legal arrangement) by the benchmark administrator for the purpose of administering a designated benchmark under the SFA; or (ii) the provision of a designated benchmark by the benchmark administrator to, a person (whether a natural person, legal person or legal arrangement);</w:t>
            </w:r>
          </w:p>
          <w:p>
            <w:pPr>
              <w:spacing w:after="40" w:before="40"/>
            </w:pPr>
            <w:r>
              <w:rPr>
                <w:rFonts w:ascii="Arial" w:cs="Arial" w:eastAsia="Arial" w:hAnsi="Arial"/>
                <w:i w:val="false"/>
                <w:iCs w:val="false"/>
                <w:color w:val="000000"/>
                <w:sz w:val="18"/>
                <w:szCs w:val="18"/>
                <w:highlight w:val="yellow"/>
                <w:highlightCs w:val="yellow"/>
              </w:rPr>
              <w:t xml:space="preserve">"CMI"</w:t>
            </w:r>
            <w:r>
              <w:rPr>
                <w:rFonts w:ascii="Arial" w:cs="Arial" w:eastAsia="Arial" w:hAnsi="Arial"/>
                <w:i w:val="false"/>
                <w:iCs w:val="false"/>
                <w:color w:val="000000"/>
                <w:sz w:val="18"/>
                <w:szCs w:val="18"/>
              </w:rPr>
              <w:t xml:space="preserve"> means a person holding a capital markets services licence under the SFA, a fund management company registered under paragraph 5(1)(i) of the Second Schedule to the Securities and Futures (Licensing and Conduct of Business) Regulations (SF(LCB)R) or a person exempted from the requirement to hold such a licence under paragraph 7(1)(b) of the Second Schedule to the SF(LCB)R;</w:t>
            </w:r>
          </w:p>
          <w:p>
            <w:pPr>
              <w:spacing w:after="40" w:before="40"/>
            </w:pPr>
            <w:r>
              <w:rPr>
                <w:rFonts w:ascii="Arial" w:cs="Arial" w:eastAsia="Arial" w:hAnsi="Arial"/>
                <w:i w:val="false"/>
                <w:iCs w:val="false"/>
                <w:color w:val="000000"/>
                <w:sz w:val="18"/>
                <w:szCs w:val="18"/>
                <w:highlight w:val="yellow"/>
                <w:highlightCs w:val="yellow"/>
              </w:rPr>
              <w:t xml:space="preserve">"customer"</w:t>
            </w:r>
            <w:r>
              <w:rPr>
                <w:rFonts w:ascii="Arial" w:cs="Arial" w:eastAsia="Arial" w:hAnsi="Arial"/>
                <w:i w:val="false"/>
                <w:iCs w:val="false"/>
                <w:color w:val="000000"/>
                <w:sz w:val="18"/>
                <w:szCs w:val="18"/>
              </w:rPr>
              <w:t xml:space="preserve"> means – (a) in relation to any trustee for a collective investment scheme authorised under section 286 of the SFA, that is approved under that Act, the managers and participants of the collective investment scheme; (b) in relation to an approved exchange, recognised market operator, licensed trade repository, licensed foreign trade repository, approved clearing house, recognised clearing house, and central depository system under the SFA, a person who may participate in one or more of the services provided by such entities; (c) in relation to a licensed trust company under the Trust Companies Act 2005, a trust for which the trust company provides trust business services and includes the settlor and any beneficiary under the trust; (d) in relation to an insurer, means a person (whether a natural person, legal person or legal arrangement) with whom the insurer establishes or intends to establish business relations, including, in the case of a group policy, the owner of the master policy issued or intended to be issued; (e) in relation to an insurance intermediary, means a person (whether a natural person, legal person or a legal arrangement) with whom the insurance intermediary arranges or intends to arrange for such persons, contracts of insurance in Singapore with one or more insurers; (f) in relation to a financial adviser, means a person (whether a natural person, legal person or a legal arrangement) with whom the financial adviser establishes or intends to establish business relations and includes in the case where the financial adviser arranges a group life insurance policy, the owner of the master policy; (g) in relation to a CMI, means a person (whether a natural person, legal person or a legal arrangement) – (i) with whom the CMI establishes or intends to establish business relations; (ii) for whom the CMI undertakes or intends to undertake any transaction without an account being opened; or (iii) who invests into an investment vehicle to which the CMI provides the regulated activities of fund management and real estate investment trust management; (h) in relation to a credit card or charge card licensee licensed under section 57B of the Banking Act 1970, means a person (whether a natural person, legal person or legal arrangement) with whom the credit card or charge card licensee establishes or intends to establish business relations; (i) in relation to money-changers and remittance businesses, means a person (whether a natural, legal person or legal arrangement) – (i) with whom the licensee establishes or intends to establish an account relationship; or (ii) for whom the licensee undertakes or intends to undertake a relevant business transaction without an account being opened, including in the case of an inward remittance transaction, the person to whom the licensee pays out funds in cash or cash equivalent in Singapore and the person on behalf of whom such funds are paid out in Singapore; (j) in relation to a benchmark administrator, means a person (whether a natural, legal person or legal arrangement) – (i) who provides information to the benchmark administrator in relation to a designated benchmark; or (ii) with whom the benchmark administrator establishes or intends to establish business relations;</w:t>
            </w:r>
          </w:p>
          <w:p>
            <w:pPr>
              <w:spacing w:after="40" w:before="40"/>
            </w:pPr>
            <w:r>
              <w:rPr>
                <w:rFonts w:ascii="Arial" w:cs="Arial" w:eastAsia="Arial" w:hAnsi="Arial"/>
                <w:i w:val="false"/>
                <w:iCs w:val="false"/>
                <w:color w:val="000000"/>
                <w:sz w:val="18"/>
                <w:szCs w:val="18"/>
                <w:highlight w:val="yellow"/>
                <w:highlightCs w:val="yellow"/>
              </w:rPr>
              <w:t xml:space="preserve">"customer information"</w:t>
            </w:r>
            <w:r>
              <w:rPr>
                <w:rFonts w:ascii="Arial" w:cs="Arial" w:eastAsia="Arial" w:hAnsi="Arial"/>
                <w:i w:val="false"/>
                <w:iCs w:val="false"/>
                <w:color w:val="000000"/>
                <w:sz w:val="18"/>
                <w:szCs w:val="18"/>
              </w:rPr>
              <w:t xml:space="preserve"> means – (a) in relation to an approved exchange, recognised market operator, approved clearing house and recognised clearing house, "user information" as defined in section 2 of the SFA; (b) in relation to a licensed trade repository and licensed foreign trade repository, "user information" and "transaction information" as defined in section 2 of the SFA; or (c) in the case of any other institution, information that relates to its customers and these include customers' accounts, particulars, transaction details and dealings with the financial institutions, but does not include any information that is public, anonymised, or encrypted in a secure manner such that the identities of the customers cannot be readily inferred;</w:t>
            </w:r>
          </w:p>
          <w:p>
            <w:pPr>
              <w:spacing w:after="40" w:before="40"/>
            </w:pPr>
            <w:r>
              <w:rPr>
                <w:rFonts w:ascii="Arial" w:cs="Arial" w:eastAsia="Arial" w:hAnsi="Arial"/>
                <w:i w:val="false"/>
                <w:iCs w:val="false"/>
                <w:color w:val="000000"/>
                <w:sz w:val="18"/>
                <w:szCs w:val="18"/>
                <w:highlight w:val="yellow"/>
                <w:highlightCs w:val="yellow"/>
              </w:rPr>
              <w:t xml:space="preserve">"financial adviser"</w:t>
            </w:r>
            <w:r>
              <w:rPr>
                <w:rFonts w:ascii="Arial" w:cs="Arial" w:eastAsia="Arial" w:hAnsi="Arial"/>
                <w:i w:val="false"/>
                <w:iCs w:val="false"/>
                <w:color w:val="000000"/>
                <w:sz w:val="18"/>
                <w:szCs w:val="18"/>
              </w:rPr>
              <w:t xml:space="preserve"> means a licensed financial adviser under the Financial Advisers Act 2001 (FAA) or a person exempt, under section 20(1)(g) of the FAA read with regulation 27(1)(d) of the Financial Advisers Regulations, from holding a financial adviser's licence to act as a financial adviser in Singapore in respect of any financial advisory service; </w:t>
            </w:r>
            <w:r>
              <w:rPr>
                <w:rFonts w:ascii="Arial" w:cs="Arial" w:eastAsia="Arial" w:hAnsi="Arial"/>
                <w:i w:val="false"/>
                <w:iCs w:val="false"/>
                <w:color w:val="000000"/>
                <w:sz w:val="18"/>
                <w:szCs w:val="18"/>
                <w:highlight w:val="yellow"/>
                <w:highlightCs w:val="yellow"/>
              </w:rPr>
              <w:t xml:space="preserve">[Amended on 24 January 2025]</w:t>
            </w:r>
          </w:p>
          <w:p>
            <w:pPr>
              <w:spacing w:after="40" w:before="40"/>
            </w:pPr>
            <w:r>
              <w:rPr>
                <w:rFonts w:ascii="Arial" w:cs="Arial" w:eastAsia="Arial" w:hAnsi="Arial"/>
                <w:i w:val="false"/>
                <w:iCs w:val="false"/>
                <w:color w:val="000000"/>
                <w:sz w:val="18"/>
                <w:szCs w:val="18"/>
                <w:highlight w:val="yellow"/>
                <w:highlightCs w:val="yellow"/>
              </w:rPr>
              <w:t xml:space="preserve">"institution"</w:t>
            </w:r>
            <w:r>
              <w:rPr>
                <w:rFonts w:ascii="Arial" w:cs="Arial" w:eastAsia="Arial" w:hAnsi="Arial"/>
                <w:i w:val="false"/>
                <w:iCs w:val="false"/>
                <w:color w:val="000000"/>
                <w:sz w:val="18"/>
                <w:szCs w:val="18"/>
              </w:rPr>
              <w:t xml:space="preserve"> means any financial institution as defined in Section 2 of the Financial Services and Markets Act 2022 other than a bank licensed under the Banking Act 1970 or a merchant bank licensed under the Banking Act 1970;</w:t>
            </w:r>
          </w:p>
          <w:p>
            <w:pPr>
              <w:spacing w:after="40" w:before="40"/>
            </w:pPr>
            <w:r>
              <w:rPr>
                <w:rFonts w:ascii="Arial" w:cs="Arial" w:eastAsia="Arial" w:hAnsi="Arial"/>
                <w:i w:val="false"/>
                <w:iCs w:val="false"/>
                <w:color w:val="000000"/>
                <w:sz w:val="18"/>
                <w:szCs w:val="18"/>
                <w:highlight w:val="yellow"/>
                <w:highlightCs w:val="yellow"/>
              </w:rPr>
              <w:t xml:space="preserve">"material outsourcing arrangement"</w:t>
            </w:r>
            <w:r>
              <w:rPr>
                <w:rFonts w:ascii="Arial" w:cs="Arial" w:eastAsia="Arial" w:hAnsi="Arial"/>
                <w:i w:val="false"/>
                <w:iCs w:val="false"/>
                <w:color w:val="000000"/>
                <w:sz w:val="18"/>
                <w:szCs w:val="18"/>
              </w:rPr>
              <w:t xml:space="preserve"> means an outsourcing arrangement – (a) which, in the event of a service failure or security breach, has the potential to either materially impact an institution's– (i) business operations, reputation or profitability; or (ii) ability to manage risk and comply with applicable laws and regulations, or (b) which involves customer information and, in the event of any unauthorised access or disclosure, loss or theft of customer information, may have a material impact on an institution's customers;</w:t>
            </w:r>
          </w:p>
          <w:p>
            <w:pPr>
              <w:spacing w:after="40" w:before="40"/>
            </w:pPr>
            <w:r>
              <w:rPr>
                <w:rFonts w:ascii="Arial" w:cs="Arial" w:eastAsia="Arial" w:hAnsi="Arial"/>
                <w:i w:val="false"/>
                <w:iCs w:val="false"/>
                <w:color w:val="000000"/>
                <w:sz w:val="18"/>
                <w:szCs w:val="18"/>
              </w:rPr>
              <w:t xml:space="preserve">"legal arrangement" means a trust or other similar arrangement;</w:t>
            </w:r>
          </w:p>
          <w:p>
            <w:pPr>
              <w:spacing w:after="40" w:before="40"/>
            </w:pPr>
            <w:r>
              <w:rPr>
                <w:rFonts w:ascii="Arial" w:cs="Arial" w:eastAsia="Arial" w:hAnsi="Arial"/>
                <w:i w:val="false"/>
                <w:iCs w:val="false"/>
                <w:color w:val="000000"/>
                <w:sz w:val="18"/>
                <w:szCs w:val="18"/>
              </w:rPr>
              <w:t xml:space="preserve">"legal person" means an entity other than a natural person that can establish a permanent customer relationship with a financial institution or otherwise own property;</w:t>
            </w:r>
          </w:p>
          <w:p>
            <w:pPr>
              <w:spacing w:after="40" w:before="40"/>
            </w:pPr>
            <w:r>
              <w:rPr>
                <w:rFonts w:ascii="Arial" w:cs="Arial" w:eastAsia="Arial" w:hAnsi="Arial"/>
                <w:i w:val="false"/>
                <w:iCs w:val="false"/>
                <w:color w:val="000000"/>
                <w:sz w:val="18"/>
                <w:szCs w:val="18"/>
              </w:rPr>
              <w:t xml:space="preserve">"outsourcing agreement" means a written agreement setting out the contractual terms and conditions governing relationships, obligations, responsibilities, rights and expectations of the contracting parties in an outsourcing arrangement;</w:t>
            </w:r>
          </w:p>
          <w:p>
            <w:pPr>
              <w:spacing w:after="40" w:before="40"/>
            </w:pPr>
            <w:r>
              <w:rPr>
                <w:rFonts w:ascii="Arial" w:cs="Arial" w:eastAsia="Arial" w:hAnsi="Arial"/>
                <w:i w:val="false"/>
                <w:iCs w:val="false"/>
                <w:color w:val="000000"/>
                <w:sz w:val="18"/>
                <w:szCs w:val="18"/>
                <w:highlight w:val="yellow"/>
                <w:highlightCs w:val="yellow"/>
              </w:rPr>
              <w:t xml:space="preserve">"outsourcing arrangement"</w:t>
            </w:r>
            <w:r>
              <w:rPr>
                <w:rFonts w:ascii="Arial" w:cs="Arial" w:eastAsia="Arial" w:hAnsi="Arial"/>
                <w:i w:val="false"/>
                <w:iCs w:val="false"/>
                <w:color w:val="000000"/>
                <w:sz w:val="18"/>
                <w:szCs w:val="18"/>
              </w:rPr>
              <w:t xml:space="preserve"> means an arrangement in which a service provider provides the institution with a service that may currently or potentially be performed by the institution itself and which includes the following characteristics – (a) the institution is dependent on the service on an ongoing basis; and (b) the service is integral to the provision of a financial service by the institution or the service is provided to the market by the service provider in the name of the institution;</w:t>
            </w:r>
          </w:p>
          <w:p>
            <w:pPr>
              <w:spacing w:after="40" w:before="40"/>
            </w:pPr>
            <w:r>
              <w:rPr>
                <w:rFonts w:ascii="Arial" w:cs="Arial" w:eastAsia="Arial" w:hAnsi="Arial"/>
                <w:i w:val="false"/>
                <w:iCs w:val="false"/>
                <w:color w:val="000000"/>
                <w:sz w:val="18"/>
                <w:szCs w:val="18"/>
                <w:highlight w:val="yellow"/>
                <w:highlightCs w:val="yellow"/>
              </w:rPr>
              <w:t xml:space="preserve">"relevant business transaction"</w:t>
            </w:r>
            <w:r>
              <w:rPr>
                <w:rFonts w:ascii="Arial" w:cs="Arial" w:eastAsia="Arial" w:hAnsi="Arial"/>
                <w:i w:val="false"/>
                <w:iCs w:val="false"/>
                <w:color w:val="000000"/>
                <w:sz w:val="18"/>
                <w:szCs w:val="18"/>
              </w:rPr>
              <w:t xml:space="preserve"> – (a) in relation to a holder of a money-changer's licence means – (i) a money-changing transaction of an aggregate value not less than S$5,000; or (ii) an inward remittance transaction from another country or jurisdiction to Singapore; or (b) in relation to a holder of a remittance license means, a remittance transaction whether from Singapore to another country or jurisdiction or from another country or jurisdiction to Singapore;</w:t>
            </w:r>
          </w:p>
          <w:p>
            <w:pPr>
              <w:spacing w:after="40" w:before="40"/>
            </w:pPr>
            <w:r>
              <w:rPr>
                <w:rFonts w:ascii="Arial" w:cs="Arial" w:eastAsia="Arial" w:hAnsi="Arial"/>
                <w:i w:val="false"/>
                <w:iCs w:val="false"/>
                <w:color w:val="000000"/>
                <w:sz w:val="18"/>
                <w:szCs w:val="18"/>
                <w:highlight w:val="yellow"/>
                <w:highlightCs w:val="yellow"/>
              </w:rPr>
              <w:t xml:space="preserve">"service provider"</w:t>
            </w:r>
            <w:r>
              <w:rPr>
                <w:rFonts w:ascii="Arial" w:cs="Arial" w:eastAsia="Arial" w:hAnsi="Arial"/>
                <w:i w:val="false"/>
                <w:iCs w:val="false"/>
                <w:color w:val="000000"/>
                <w:sz w:val="18"/>
                <w:szCs w:val="18"/>
              </w:rPr>
              <w:t xml:space="preserve"> means any party which provides a service to the institution, including any entity within the institution's group4, whether it is located in Singapore or elsewhere;</w:t>
            </w:r>
          </w:p>
          <w:p>
            <w:pPr>
              <w:spacing w:after="40" w:before="40"/>
            </w:pPr>
            <w:r>
              <w:rPr>
                <w:rFonts w:ascii="Arial" w:cs="Arial" w:eastAsia="Arial" w:hAnsi="Arial"/>
                <w:i w:val="false"/>
                <w:iCs w:val="false"/>
                <w:color w:val="595959"/>
                <w:sz w:val="14"/>
                <w:szCs w:val="14"/>
              </w:rPr>
              <w:t xml:space="preserve">4 – This refers to the institution's Head Office or parent institution, subsidiaries, affiliates, and any entity (including their subsidiaries, affiliates and special purpose entities) that the institution exerts control over or that exerts control over the institution.</w:t>
            </w:r>
          </w:p>
          <w:p>
            <w:pPr>
              <w:spacing w:after="40" w:before="40"/>
            </w:pPr>
            <w:r>
              <w:rPr>
                <w:rFonts w:ascii="Arial" w:cs="Arial" w:eastAsia="Arial" w:hAnsi="Arial"/>
                <w:i w:val="false"/>
                <w:iCs w:val="false"/>
                <w:color w:val="000000"/>
                <w:sz w:val="18"/>
                <w:szCs w:val="18"/>
                <w:highlight w:val="yellow"/>
                <w:highlightCs w:val="yellow"/>
              </w:rPr>
              <w:t xml:space="preserve">"sub-contracting"</w:t>
            </w:r>
            <w:r>
              <w:rPr>
                <w:rFonts w:ascii="Arial" w:cs="Arial" w:eastAsia="Arial" w:hAnsi="Arial"/>
                <w:i w:val="false"/>
                <w:iCs w:val="false"/>
                <w:color w:val="000000"/>
                <w:sz w:val="18"/>
                <w:szCs w:val="18"/>
              </w:rPr>
              <w:t xml:space="preserve"> means an arrangement where a service provider which has an outsourcing arrangement with an institution, further outsources the services or part of the services covered under the outsourcing arrangement to another service provider.</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The FI §3 glossary (17 defined terms) has no Bank counterpart; the Bank Guidelines define only "bridge-institution" (fn 14) and "multi-tenancy" (fn 20) in footnotes and delimit "customer information" at fn 4, deferring otherwise to the Notices.</w:t>
            </w:r>
          </w:p>
          <w:p>
            <w:pPr>
              <w:spacing w:after="40" w:before="40"/>
            </w:pPr>
            <w:r>
              <w:rPr>
                <w:rFonts w:ascii="Arial" w:cs="Arial" w:eastAsia="Arial" w:hAnsi="Arial"/>
                <w:i w:val="false"/>
                <w:iCs w:val="false"/>
                <w:color w:val="000000"/>
                <w:sz w:val="18"/>
                <w:szCs w:val="18"/>
              </w:rPr>
              <w:t xml:space="preserve">2.  Bank sub-section 3.1 ("Responsibilities of the Board and Senior Management") corresponds to FI sub-section 5.2.</w:t>
            </w:r>
          </w:p>
          <w:p>
            <w:pPr>
              <w:spacing w:after="40" w:before="40"/>
            </w:pPr>
            <w:r>
              <w:rPr>
                <w:rFonts w:ascii="Arial" w:cs="Arial" w:eastAsia="Arial" w:hAnsi="Arial"/>
                <w:i w:val="false"/>
                <w:iCs w:val="false"/>
                <w:color w:val="000000"/>
                <w:sz w:val="18"/>
                <w:szCs w:val="18"/>
              </w:rPr>
              <w:t xml:space="preserve">3.  "Material outsourcing arrangement" is defined in the FI instrument itself; the Bank equivalent (MOORS) is defined in the Notices.</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3.1.1</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The board and senior management of a Bank play pivotal roles in ensuring a sound risk management culture and environment. While a Bank may delegate day-to-day operational duties to the service provider, the responsibilities for maintaining effective oversight and governance of outsourcing arrangements, managing outsourcing risks, and implementing an adequate outsourcing risk management framework, in accordance with these Guidelines, continue to rest with the Bank, its board and senior management. The board and senior management of a Bank should ensure there are adequate processes to provide a comprehensive bank-wide view of the Bank's risk exposures from outsourcing, and incorporate the assessment and mitigation of such risks into the Bank's outsourcing risk management framework.</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[¶5.2.1]</w:t>
            </w:r>
            <w:r>
              <w:rPr>
                <w:rFonts w:ascii="Arial" w:cs="Arial" w:eastAsia="Arial" w:hAnsi="Arial"/>
                <w:i w:val="false"/>
                <w:iCs w:val="false"/>
                <w:color w:val="000000"/>
                <w:sz w:val="18"/>
                <w:szCs w:val="18"/>
              </w:rPr>
              <w:t xml:space="preserve"> The board and senior management of an institution play pivotal roles in ensuring a sound risk management culture and environment. While an institution may delegate day-to-day operational duties to the service provider, the responsibilities for maintaining effective oversight and governance of outsourcing arrangements, managing outsourcing risks, and implementing an adequate outsourcing risk management framework, in accordance with these Guidelines, continue to rest with the institution, its board and senior management. The board and senior management of an institution should ensure there are adequate processes to provide a comprehensive institution-wide view of the institution's risk exposures from outsourcing, and incorporate the assessment and mitigation of such risks into the institution's outsourcing risk management framework.</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Found at FI ¶5.2.1, worded identically ("institution-wide" for "bank-wide").</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3.1.2</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The board, or a committee delegated by it, is responsible for: (a) approving a framework to evaluate the risks and materiality of all existing and prospective outsourcing arrangements and the policies that apply to such arrangements; (b) setting a suitable risk appetite to define the nature and extent of risks that the Bank is willing and able to assume from its outsourcing arrangements; (c) laying down appropriate approval authorities for outsourcing arrangements consistent with its established strategy and risk appetite; (d) assessing management competencies for developing sound and responsive outsourcing risk management policies and procedures that are commensurate with the nature, scope and complexity of the outsourcing arrangements; (e) ensuring that senior management establishes appropriate governance structures and processes for sound and prudent risk management, such as a management body that reviews controls for consistency and alignment with a comprehensive bank-wide view of risk; and (f) undertaking regular reviews of strategies relating to outsourcing arrangements and outsourcing arrangements for their continued relevance, and safety and soundness.</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[¶5.2.2]</w:t>
            </w:r>
            <w:r>
              <w:rPr>
                <w:rFonts w:ascii="Arial" w:cs="Arial" w:eastAsia="Arial" w:hAnsi="Arial"/>
                <w:i w:val="false"/>
                <w:iCs w:val="false"/>
                <w:color w:val="000000"/>
                <w:sz w:val="18"/>
                <w:szCs w:val="18"/>
              </w:rPr>
              <w:t xml:space="preserve"> The board, or a committee delegated by it, is responsible for: (a) approving a framework to evaluate the risks and materiality of all existing and prospective outsourcing arrangements and the policies that apply to such arrangements; (b) setting a suitable risk appetite to define the nature and extent of risks that the institution is willing and able to assume from its outsourcing arrangements; (c) laying down appropriate approval authorities for outsourcing arrangements consistent with its established strategy and risk appetite; (d) assessing management competencies for developing sound and responsive outsourcing risk management policies and procedures that are commensurate with the nature, scope and complexity of the outsourcing arrangements; (e) ensuring that senior management establishes appropriate governance structures and processes for sound and prudent risk management, such as a management body that reviews controls for consistency and alignment with a comprehensive institution-wide view of risk; and (f) undertaking regular reviews of strategies relating to outsourcing and arrangements for their continued relevance, and safety and soundness.</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Found at FI ¶5.2.2, worded identically (item (f) has trivial drafting variance in the officials’ own texts).</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3.1.3</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Senior management is responsible for: (a) evaluating the materiality and risks from all existing and prospective outsourcing arrangements, based on the framework approved by the board; (b) developing sound and prudent outsourcing policies and procedures that are commensurate with the nature, scope and complexity of the outsourcing arrangements as well as ensuring that such policies and procedures are implemented effectively; (c) reviewing regularly the effectiveness of, and appropriately adjusting, policies, standards and procedures to reflect changes in the Bank's overall risk profile and risk environment; (d) monitoring and maintaining effective control of all risks from its </w:t>
            </w:r>
            <w:r>
              <w:rPr>
                <w:rFonts w:ascii="Arial" w:cs="Arial" w:eastAsia="Arial" w:hAnsi="Arial"/>
                <w:i w:val="false"/>
                <w:iCs w:val="false"/>
                <w:color w:val="000000"/>
                <w:sz w:val="18"/>
                <w:szCs w:val="18"/>
                <w:highlight w:val="yellow"/>
                <w:highlightCs w:val="yellow"/>
              </w:rPr>
              <w:t xml:space="preserve">MOORS</w:t>
            </w:r>
            <w:r>
              <w:rPr>
                <w:rFonts w:ascii="Arial" w:cs="Arial" w:eastAsia="Arial" w:hAnsi="Arial"/>
                <w:i w:val="false"/>
                <w:iCs w:val="false"/>
                <w:color w:val="000000"/>
                <w:sz w:val="18"/>
                <w:szCs w:val="18"/>
              </w:rPr>
              <w:t xml:space="preserve"> on a bank-wide basis; (e) ensuring that contingency plans, based on realistic and probable disruptive scenarios, are in place and tested; (f) ensuring that there is independent review and audit for compliance with outsourcing policies and procedures; (g) ensuring that appropriate and timely remedial actions are taken to address audit findings; and (h) communicating information pertaining to risks arising from its </w:t>
            </w:r>
            <w:r>
              <w:rPr>
                <w:rFonts w:ascii="Arial" w:cs="Arial" w:eastAsia="Arial" w:hAnsi="Arial"/>
                <w:i w:val="false"/>
                <w:iCs w:val="false"/>
                <w:color w:val="000000"/>
                <w:sz w:val="18"/>
                <w:szCs w:val="18"/>
                <w:highlight w:val="yellow"/>
                <w:highlightCs w:val="yellow"/>
              </w:rPr>
              <w:t xml:space="preserve">MOORS</w:t>
            </w:r>
            <w:r>
              <w:rPr>
                <w:rFonts w:ascii="Arial" w:cs="Arial" w:eastAsia="Arial" w:hAnsi="Arial"/>
                <w:i w:val="false"/>
                <w:iCs w:val="false"/>
                <w:color w:val="000000"/>
                <w:sz w:val="18"/>
                <w:szCs w:val="18"/>
              </w:rPr>
              <w:t xml:space="preserve"> to the board in a timely manner.</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[¶5.2.3]</w:t>
            </w:r>
            <w:r>
              <w:rPr>
                <w:rFonts w:ascii="Arial" w:cs="Arial" w:eastAsia="Arial" w:hAnsi="Arial"/>
                <w:i w:val="false"/>
                <w:iCs w:val="false"/>
                <w:color w:val="000000"/>
                <w:sz w:val="18"/>
                <w:szCs w:val="18"/>
              </w:rPr>
              <w:t xml:space="preserve"> Senior management is responsible for: (a) evaluating the materiality and risks from all existing and prospective outsourcing arrangements, based on the framework approved by the board; (b) developing sound and prudent outsourcing policies and procedures that are commensurate with the nature, scope and complexity of the outsourcing arrangements as well as ensuring that such policies and procedures are implemented effectively; (c) reviewing regularly the effectiveness of, and appropriately adjusting, policies, standards and procedures to reflect changes in the institution's overall risk profile and risk environment; (d) monitoring and maintaining effective control of all risks from its material outsourcing arrangements on an institution-wide basis; (e) ensuring that contingency plans, based on realistic and probable disruptive scenarios, are in place and tested; (f) ensuring that there is independent review and audit for compliance with outsourcing policies and procedures; (g) ensuring that appropriate and timely remedial actions are taken to address audit findings; and (h) communicating information pertaining to risks arising from its material outsourcing arrangements to the board in a timely manner.</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Found at FI ¶5.2.3, worded identically except items (d) and (h): "MOORS" (Bank) vs "material outsourcing arrangements" (FI).</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3.1.4</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Where the board delegates its responsibility to a committee as described in paragraph 3.1.2, the board should establish communication procedures between the board and the committee. This should include requiring the committee to report to the board on a regular basis, and ensuring that senior management is held responsible for implementation of the expectations in these Guidelines as elaborated in paragraph 3.1.3. Notwithstanding the delegation of responsibility to a committee, the board shall remain responsible for the performance of its responsibilities by that committee.</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[¶5.2.4]</w:t>
            </w:r>
            <w:r>
              <w:rPr>
                <w:rFonts w:ascii="Arial" w:cs="Arial" w:eastAsia="Arial" w:hAnsi="Arial"/>
                <w:i w:val="false"/>
                <w:iCs w:val="false"/>
                <w:color w:val="000000"/>
                <w:sz w:val="18"/>
                <w:szCs w:val="18"/>
              </w:rPr>
              <w:t xml:space="preserve"> Where the board delegates its responsibility to a committee as described in paragraph 5.2.2, the board should establish communication procedures between the board and the committee. This should include requiring the committee to report to the board on a regular basis, and ensuring that senior management is held responsible for implementation of the expectations in these Guidelines as elaborated in paragraphs 5.2.3. Notwithstanding the delegation of responsibility to a committee, the board shall remain responsible for the performance of its responsibilities by that committee.</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Found at FI ¶5.2.4, worded identically (cross-references renumbered).</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3.1.5</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The functions of senior management in paragraph 3.1.3 lie with local management. Local management of a Bank incorporated or established outside Singapore should continue to take necessary steps to enable it to discharge its obligations to comply with the relevant laws and regulations in Singapore, including expectations under these Guidelines. Local management cannot abrogate its governance responsibilities to run the Bank in a prudent and professional manner.</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[¶5.2.5]</w:t>
            </w:r>
            <w:r>
              <w:rPr>
                <w:rFonts w:ascii="Arial" w:cs="Arial" w:eastAsia="Arial" w:hAnsi="Arial"/>
                <w:i w:val="false"/>
                <w:iCs w:val="false"/>
                <w:color w:val="000000"/>
                <w:sz w:val="18"/>
                <w:szCs w:val="18"/>
              </w:rPr>
              <w:t xml:space="preserve"> </w:t>
            </w:r>
            <w:r>
              <w:rPr>
                <w:rFonts w:ascii="Arial" w:cs="Arial" w:eastAsia="Arial" w:hAnsi="Arial"/>
                <w:i w:val="false"/>
                <w:iCs w:val="false"/>
                <w:color w:val="000000"/>
                <w:sz w:val="18"/>
                <w:szCs w:val="18"/>
                <w:highlight w:val="yellow"/>
                <w:highlightCs w:val="yellow"/>
              </w:rPr>
              <w:t xml:space="preserve">For an institution incorporated or established outside Singapore, the functions of the board described in paragraph 5.2.2 may be delegated to and performed by a management committee or body beyond local management that is charged to functionally oversee and supervise the local office (e.g. a regional risk management committee).</w:t>
            </w:r>
            <w:r>
              <w:rPr>
                <w:rFonts w:ascii="Arial" w:cs="Arial" w:eastAsia="Arial" w:hAnsi="Arial"/>
                <w:i w:val="false"/>
                <w:iCs w:val="false"/>
                <w:color w:val="000000"/>
                <w:sz w:val="18"/>
                <w:szCs w:val="18"/>
              </w:rPr>
              <w:t xml:space="preserve"> The functions of senior management in paragraph 5.2.3 lie with local management. Local management of an institution incorporated or established outside Singapore should continue to take necessary steps to enable it to discharge its obligations to comply with the relevant laws and regulations in Singapore, including expectations under these Guidelines. Local management cannot abrogate its governance responsibilities to run the institution in a prudent and professional manner.</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FI ¶5.2.5 adds an opening sentence expressly permitting delegation of board functions to a management committee or body beyond local management (e.g. a regional risk management committee) for foreign-incorporated institutions, dovetailing with the FI §3 "board" definition. The Bank provision addresses only the local-management limb.</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3.2</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Evaluation of risks</w:t>
            </w:r>
            <w:r>
              <w:rPr>
                <w:rFonts w:ascii="Arial" w:cs="Arial" w:eastAsia="Arial" w:hAnsi="Arial"/>
                <w:i w:val="false"/>
                <w:iCs w:val="false"/>
                <w:color w:val="000000"/>
                <w:sz w:val="18"/>
                <w:szCs w:val="18"/>
              </w:rPr>
              <w:t xml:space="preserve"> *(sub-section heading)*</w:t>
            </w:r>
          </w:p>
        </w:tc>
        <w:tc>
          <w:tcPr>
            <w:tcW w:type="dxa" w:w="5300"/>
            <w:tcMar>
              <w:top w:type="dxa" w:w="60"/>
              <w:left w:type="dxa" w:w="100"/>
              <w:bottom w:type="dxa" w:w="60"/>
              <w:right w:type="dxa" w:w="100"/>
            </w:tcMar>
            <w:vAlign w:val="top"/>
          </w:tcPr>
          <w:p>
            <w:pPr>
              <w:spacing w:after="40" w:before="40"/>
            </w:pPr>
            <w:r>
              <w:rPr>
                <w:rFonts w:ascii="Arial" w:cs="Arial" w:eastAsia="Arial" w:hAnsi="Arial"/>
                <w:i/>
                <w:iCs/>
                <w:color w:val="595959"/>
                <w:sz w:val="18"/>
                <w:szCs w:val="18"/>
              </w:rPr>
              <w:t xml:space="preserve">Corresponds to FI sub-section 5.3 ("Evaluation of risks").</w:t>
            </w:r>
          </w:p>
        </w:tc>
        <w:tc>
          <w:tcPr>
            <w:tcW w:type="dxa" w:w="30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None</w:t>
            </w:r>
            <w:r>
              <w:rPr>
                <w:rFonts w:ascii="Arial" w:cs="Arial" w:eastAsia="Arial" w:hAnsi="Arial"/>
                <w:i w:val="false"/>
                <w:iCs w:val="false"/>
                <w:color w:val="000000"/>
                <w:sz w:val="18"/>
                <w:szCs w:val="18"/>
              </w:rPr>
              <w:t xml:space="preserve"> (heading correspondence only).</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3.2.1</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In order to be satisfied that an outsourcing arrangement does not result in the risk management, internal control, business conduct or reputation of a Bank being compromised or weakened, the board and senior management need to fully appreciate the risks arising from outsourcing. The bank should establish a framework for risk evaluation that includes the following steps: (a) identifying the role of outsourcing in the overall business strategy and objectives of the Bank; (b) performing comprehensive due diligence on the nature, scope and complexity of the outsourcing arrangement to identify and mitigate key risks; (c) assessing5 the service provider's ability to employ a high standard of care in performing the </w:t>
            </w:r>
            <w:r>
              <w:rPr>
                <w:rFonts w:ascii="Arial" w:cs="Arial" w:eastAsia="Arial" w:hAnsi="Arial"/>
                <w:i w:val="false"/>
                <w:iCs w:val="false"/>
                <w:color w:val="000000"/>
                <w:sz w:val="18"/>
                <w:szCs w:val="18"/>
                <w:highlight w:val="yellow"/>
                <w:highlightCs w:val="yellow"/>
              </w:rPr>
              <w:t xml:space="preserve">outsourced relevant service</w:t>
            </w:r>
            <w:r>
              <w:rPr>
                <w:rFonts w:ascii="Arial" w:cs="Arial" w:eastAsia="Arial" w:hAnsi="Arial"/>
                <w:i w:val="false"/>
                <w:iCs w:val="false"/>
                <w:color w:val="000000"/>
                <w:sz w:val="18"/>
                <w:szCs w:val="18"/>
              </w:rPr>
              <w:t xml:space="preserve"> and meet regulatory standards as expected of the Bank, </w:t>
            </w:r>
            <w:r>
              <w:rPr>
                <w:rFonts w:ascii="Arial" w:cs="Arial" w:eastAsia="Arial" w:hAnsi="Arial"/>
                <w:i w:val="false"/>
                <w:iCs w:val="false"/>
                <w:color w:val="000000"/>
                <w:sz w:val="18"/>
                <w:szCs w:val="18"/>
                <w:highlight w:val="yellow"/>
                <w:highlightCs w:val="yellow"/>
              </w:rPr>
              <w:t xml:space="preserve">as if the service is performed by the Bank</w:t>
            </w:r>
            <w:r>
              <w:rPr>
                <w:rFonts w:ascii="Arial" w:cs="Arial" w:eastAsia="Arial" w:hAnsi="Arial"/>
                <w:i w:val="false"/>
                <w:iCs w:val="false"/>
                <w:color w:val="000000"/>
                <w:sz w:val="18"/>
                <w:szCs w:val="18"/>
              </w:rPr>
              <w:t xml:space="preserve">; (d) analysing the impact of the outsourcing arrangement on the overall risk profile of the Bank, and whether there are adequate internal expertise and resources to mitigate the risks identified; (e) analysing the Bank's as well as the Bank's group aggregate exposure to the outsourcing arrangement, to manage concentration risk; and (f) analysing the benefits of outsourcing against the risks that may arise, ranging from the impact of temporary disruption to service to that of a breach in security and confidentiality, and unexpected termination of the outsourcing arrangement, and whether for strategic and internal control reasons, the Bank should not enter into the outsourcing arrangement.</w:t>
            </w:r>
          </w:p>
          <w:p>
            <w:pPr>
              <w:spacing w:after="40" w:before="40"/>
            </w:pPr>
            <w:r>
              <w:rPr>
                <w:rFonts w:ascii="Arial" w:cs="Arial" w:eastAsia="Arial" w:hAnsi="Arial"/>
                <w:i w:val="false"/>
                <w:iCs w:val="false"/>
                <w:color w:val="595959"/>
                <w:sz w:val="14"/>
                <w:szCs w:val="14"/>
              </w:rPr>
              <w:t xml:space="preserve">5 – Please see paragraph 3.3 on assessment of service providers.</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[¶5.3.1]</w:t>
            </w:r>
            <w:r>
              <w:rPr>
                <w:rFonts w:ascii="Arial" w:cs="Arial" w:eastAsia="Arial" w:hAnsi="Arial"/>
                <w:i w:val="false"/>
                <w:iCs w:val="false"/>
                <w:color w:val="000000"/>
                <w:sz w:val="18"/>
                <w:szCs w:val="18"/>
              </w:rPr>
              <w:t xml:space="preserve"> In order to be satisfied that an outsourcing arrangement does not result in the risk management, internal control, business conduct or reputation of an institution being compromised or weakened, the board and senior management would need to fully appreciate the risks arising from outsourcing. The institution should establish a framework for risk evaluation that includes the following steps: (a) identifying the role of outsourcing in the overall business strategy and objectives of the institution; (b) performing comprehensive due diligence on the nature, scope and complexity of the outsourcing arrangement to identify and mitigate key risks; (c) assessing5 the service provider's ability to employ a high standard of care in performing the outsourced service and meet regulatory standards as expected of the institution, as if the outsourcing arrangement is performed by the institution; (d) analysing the impact of the outsourcing arrangement on the overall risk profile of the institution, and whether there are adequate internal expertise and resources to mitigate the risks identified; (e) analysing the institution's as well as the institution's group aggregate exposure to the outsourcing arrangement, to manage concentration risk; and (f) analysing the benefits of outsourcing against the risks that may arise, ranging from the impact of temporary disruption to service to that of a breach in security and confidentiality, and unexpected termination in the outsourcing arrangement, and whether for strategic and internal control reasons, the institution should not enter into the outsourcing arrangement.</w:t>
            </w:r>
          </w:p>
          <w:p>
            <w:pPr>
              <w:spacing w:after="40" w:before="40"/>
            </w:pPr>
            <w:r>
              <w:rPr>
                <w:rFonts w:ascii="Arial" w:cs="Arial" w:eastAsia="Arial" w:hAnsi="Arial"/>
                <w:i w:val="false"/>
                <w:iCs w:val="false"/>
                <w:color w:val="595959"/>
                <w:sz w:val="14"/>
                <w:szCs w:val="14"/>
              </w:rPr>
              <w:t xml:space="preserve">5 – Please see paragraph 5.4 on assessment of service providers.</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Found at FI ¶5.3.1, worded identically in substance; sub-substantive drift only — Bank (c) "outsourced relevant service … as if the service is performed by the Bank" vs FI "outsourced service … as if the outsourcing arrangement is performed by the institution"; FI also reads "would need to fully appreciate" (Bank: "need to") and "unexpected termination in the outsourcing arrangement" (Bank: "of").</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3.2.2</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Such risk evaluations should be performed when a Bank is planning to enter into an outsourcing arrangement with an existing or a new service provider, and also re-performed periodically on existing outsourcing arrangements, as part of the approval, strategic planning, risk management or internal control reviews of the outsourcing arrangements of the Bank.</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[¶5.3.2]</w:t>
            </w:r>
            <w:r>
              <w:rPr>
                <w:rFonts w:ascii="Arial" w:cs="Arial" w:eastAsia="Arial" w:hAnsi="Arial"/>
                <w:i w:val="false"/>
                <w:iCs w:val="false"/>
                <w:color w:val="000000"/>
                <w:sz w:val="18"/>
                <w:szCs w:val="18"/>
              </w:rPr>
              <w:t xml:space="preserve"> Such risk evaluations should be performed when an institution is planning to enter into an outsourcing arrangement with an existing or a new service provider, and also re-performed periodically on existing outsourcing arrangements, as part of the approval, strategic planning, risk management or internal control reviews of the outsourcing arrangements of the institution.</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Found at FI ¶5.3.2, worded identically.</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3.2.3</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highlight w:val="yellow"/>
                <w:highlightCs w:val="yellow"/>
              </w:rPr>
              <w:t xml:space="preserve">When assessing risks relating to the safeguarding of customer information where the MOORS involves the disclosure of customer information to an overseas service provider, Banks should assess whether it is necessary to obtain independent legal advice or rely on the advice of internal counsel when assessing such risks. The decision on obtaining legal advice and the frequency for obtaining such advice should be approved by the Bank's board, or a committee delegated by it, and whenever there are significant changes in the relevant law(s) overseas.</w:t>
            </w:r>
          </w:p>
        </w:tc>
        <w:tc>
          <w:tcPr>
            <w:tcW w:type="dxa" w:w="5300"/>
            <w:tcMar>
              <w:top w:type="dxa" w:w="60"/>
              <w:left w:type="dxa" w:w="100"/>
              <w:bottom w:type="dxa" w:w="60"/>
              <w:right w:type="dxa" w:w="100"/>
            </w:tcMar>
            <w:vAlign w:val="top"/>
          </w:tcPr>
          <w:p>
            <w:pPr>
              <w:spacing w:after="40" w:before="40"/>
            </w:pPr>
            <w:r>
              <w:rPr>
                <w:rFonts w:ascii="Arial" w:cs="Arial" w:eastAsia="Arial" w:hAnsi="Arial"/>
                <w:i/>
                <w:iCs/>
                <w:color w:val="595959"/>
                <w:sz w:val="18"/>
                <w:szCs w:val="18"/>
              </w:rPr>
              <w:t xml:space="preserve">No provision here under FI Guidelines.</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Bank-only. Banking-secrecy-driven provision on independent legal advice for overseas disclosure of customer information; no FI counterpart anywhere.</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3.3</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Assessment of service providers</w:t>
            </w:r>
            <w:r>
              <w:rPr>
                <w:rFonts w:ascii="Arial" w:cs="Arial" w:eastAsia="Arial" w:hAnsi="Arial"/>
                <w:i w:val="false"/>
                <w:iCs w:val="false"/>
                <w:color w:val="000000"/>
                <w:sz w:val="18"/>
                <w:szCs w:val="18"/>
              </w:rPr>
              <w:t xml:space="preserve"> *(sub-section heading)*</w:t>
            </w:r>
          </w:p>
        </w:tc>
        <w:tc>
          <w:tcPr>
            <w:tcW w:type="dxa" w:w="5300"/>
            <w:tcMar>
              <w:top w:type="dxa" w:w="60"/>
              <w:left w:type="dxa" w:w="100"/>
              <w:bottom w:type="dxa" w:w="60"/>
              <w:right w:type="dxa" w:w="100"/>
            </w:tcMar>
            <w:vAlign w:val="top"/>
          </w:tcPr>
          <w:p>
            <w:pPr>
              <w:spacing w:after="40" w:before="40"/>
            </w:pPr>
            <w:r>
              <w:rPr>
                <w:rFonts w:ascii="Arial" w:cs="Arial" w:eastAsia="Arial" w:hAnsi="Arial"/>
                <w:i/>
                <w:iCs/>
                <w:color w:val="595959"/>
                <w:sz w:val="18"/>
                <w:szCs w:val="18"/>
              </w:rPr>
              <w:t xml:space="preserve">Corresponds to FI sub-section 5.4 ("Assessment of service providers").</w:t>
            </w:r>
          </w:p>
        </w:tc>
        <w:tc>
          <w:tcPr>
            <w:tcW w:type="dxa" w:w="30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None</w:t>
            </w:r>
            <w:r>
              <w:rPr>
                <w:rFonts w:ascii="Arial" w:cs="Arial" w:eastAsia="Arial" w:hAnsi="Arial"/>
                <w:i w:val="false"/>
                <w:iCs w:val="false"/>
                <w:color w:val="000000"/>
                <w:sz w:val="18"/>
                <w:szCs w:val="18"/>
              </w:rPr>
              <w:t xml:space="preserve"> (heading correspondence only).</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3.3.1</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In considering, renegotiating or renewing an outsourcing arrangement, a Bank should subject the service provider to appropriate due diligence processes to assess the risks associated with the outsourcing arrangements.</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[¶5.4.1]</w:t>
            </w:r>
            <w:r>
              <w:rPr>
                <w:rFonts w:ascii="Arial" w:cs="Arial" w:eastAsia="Arial" w:hAnsi="Arial"/>
                <w:i w:val="false"/>
                <w:iCs w:val="false"/>
                <w:color w:val="000000"/>
                <w:sz w:val="18"/>
                <w:szCs w:val="18"/>
              </w:rPr>
              <w:t xml:space="preserve"> In considering, renegotiating or renewing an outsourcing arrangement, an institution should subject the service provider to appropriate due diligence processes to assess the risks associated with the outsourcing arrangements.</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Found at FI ¶5.4.1, worded identically.</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3.3.2</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A Bank should assess all relevant aspects of the service provider, including its capability to employ a high standard of care in the performance of the outsourcing arrangement as if the service is performed by the Bank to meet its obligations as a regulated entity. The due diligence should also take into account the physical and IT security controls the service provider has in place, the business reputation and financial strength of the service provider, including the ethical and professional standards held by the service provider, and its ability to meet obligations under the outsourcing arrangement. Onsite visits to the service provider, and where possible, independent reviews and market feedback on the service provider, should also be obtained to supplement the Bank's assessment. Onsite visits should be conducted by persons who possess the requisite knowledge and skills to conduct the assessment.</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[¶5.4.2]</w:t>
            </w:r>
            <w:r>
              <w:rPr>
                <w:rFonts w:ascii="Arial" w:cs="Arial" w:eastAsia="Arial" w:hAnsi="Arial"/>
                <w:i w:val="false"/>
                <w:iCs w:val="false"/>
                <w:color w:val="000000"/>
                <w:sz w:val="18"/>
                <w:szCs w:val="18"/>
              </w:rPr>
              <w:t xml:space="preserve"> An institution should assess all relevant aspects of the service provider, including its capability to employ a high standard of care in the performance of the outsourcing arrangement as if the service is performed by the institution to meet its obligations as a regulated entity. The due diligence should also take into account the physical and IT security controls the service provider has in place, the business reputation and financial strength of the service provider, including the ethical and professional standards held by the service provider, and its ability to meet obligations under the outsourcing arrangement. Onsite visits to the service provider, and where possible, independent reviews and market feedback on the service provider, should also be obtained to supplement the institution's assessment. Onsite visits should be conducted by persons who possess the requisite knowledge and skills to conduct the assessment.</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Found at FI ¶5.4.2, worded identically.</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3.3.3</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The due diligence should involve an evaluation of all relevant information about the service provider. Information to be evaluated includes the service provider's: (a) experience and capability to implement and support the outsourcing arrangement over the contracted period; (b) financial strength and resources (the due diligence should be similar to a credit assessment of the viability of the service provider based on reviews of business strategy and goals, audited financial statements, the strength of commitment of major equity sponsors and ability to service commitments even under adverse conditions); (c) corporate governance, business reputation and culture, compliance, and pending or potential litigation; (d) security and internal controls, audit coverage, reporting and monitoring environment; (e) risk management framework and capabilities, including technology risk management6 and business continuity management7 in respect of the outsourcing arrangement; (f) disaster recovery arrangements and disaster recovery track record; (g) reliance on and success in dealing with sub-contractors; (h) insurance coverage; (i) external environment (such as the political, economic, social and legal environment of the jurisdiction in which the service provider operates); and (j) ability to comply with applicable laws and regulations and track record in relation to its compliance with applicable laws and regulations.</w:t>
            </w:r>
          </w:p>
          <w:p>
            <w:pPr>
              <w:spacing w:after="40" w:before="40"/>
            </w:pPr>
            <w:r>
              <w:rPr>
                <w:rFonts w:ascii="Arial" w:cs="Arial" w:eastAsia="Arial" w:hAnsi="Arial"/>
                <w:i w:val="false"/>
                <w:iCs w:val="false"/>
                <w:color w:val="595959"/>
                <w:sz w:val="14"/>
                <w:szCs w:val="14"/>
              </w:rPr>
              <w:t xml:space="preserve">6 – Standards should be commensurate with that expected of the institution as set out in MAS' Technology Risk Management Guidelines.</w:t>
            </w:r>
          </w:p>
          <w:p>
            <w:pPr>
              <w:spacing w:after="40" w:before="40"/>
            </w:pPr>
            <w:r>
              <w:rPr>
                <w:rFonts w:ascii="Arial" w:cs="Arial" w:eastAsia="Arial" w:hAnsi="Arial"/>
                <w:i w:val="false"/>
                <w:iCs w:val="false"/>
                <w:color w:val="595959"/>
                <w:sz w:val="14"/>
                <w:szCs w:val="14"/>
              </w:rPr>
              <w:t xml:space="preserve">7 – Standards should be commensurate with that expected of the institution as set out in MAS' Business Continuity Management Guidelines. Please also see paragraph 3.7 for more guidance.</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[¶5.4.3]</w:t>
            </w:r>
            <w:r>
              <w:rPr>
                <w:rFonts w:ascii="Arial" w:cs="Arial" w:eastAsia="Arial" w:hAnsi="Arial"/>
                <w:i w:val="false"/>
                <w:iCs w:val="false"/>
                <w:color w:val="000000"/>
                <w:sz w:val="18"/>
                <w:szCs w:val="18"/>
              </w:rPr>
              <w:t xml:space="preserve"> The due diligence should involve an evaluation of all relevant information about the service provider. Information to be evaluated includes the service provider's: (a) experience and capability to implement and support the outsourcing arrangement over the contracted period; (b) financial strength and resources (the due diligence should be similar to a credit assessment of the viability of the service provider based on reviews of business strategy and goals, audited financial statements, the strength of commitment of major equity sponsors and ability to service commitments even under adverse conditions); (c) corporate governance, business reputation and culture, compliance, and pending or potential litigation; (d) security and internal controls, audit coverage, reporting and monitoring environment; (e) risk management framework and capabilities, including technology risk management6 and business continuity management7 in respect of the outsourcing arrangement; (f) disaster recovery arrangements and disaster recovery track record; (g) reliance on and success in dealing with sub-contractors; (h) insurance coverage; (i) external environment (such as the political, economic, social and legal environment of the jurisdiction in which the service provider operates); and (j) ability to comply with applicable laws and regulations and track record in relation to its compliance with applicable laws and regulations.</w:t>
            </w:r>
          </w:p>
          <w:p>
            <w:pPr>
              <w:spacing w:after="40" w:before="40"/>
            </w:pPr>
            <w:r>
              <w:rPr>
                <w:rFonts w:ascii="Arial" w:cs="Arial" w:eastAsia="Arial" w:hAnsi="Arial"/>
                <w:i w:val="false"/>
                <w:iCs w:val="false"/>
                <w:color w:val="595959"/>
                <w:sz w:val="14"/>
                <w:szCs w:val="14"/>
              </w:rPr>
              <w:t xml:space="preserve">6 – Standards should be commensurate with that expected of the institution as set out in MAS' Technology Risk Management Guidelines.</w:t>
            </w:r>
          </w:p>
          <w:p>
            <w:pPr>
              <w:spacing w:after="40" w:before="40"/>
            </w:pPr>
            <w:r>
              <w:rPr>
                <w:rFonts w:ascii="Arial" w:cs="Arial" w:eastAsia="Arial" w:hAnsi="Arial"/>
                <w:i w:val="false"/>
                <w:iCs w:val="false"/>
                <w:color w:val="595959"/>
                <w:sz w:val="14"/>
                <w:szCs w:val="14"/>
              </w:rPr>
              <w:t xml:space="preserve">7 – Standards should be commensurate with that expected of the institution as set out in MAS' Business Continuity Management Guidelines. Please also see paragraph 5.7 of the Guidelines on Outsourcing for more guidance.</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Found at FI ¶5.4.3, worded identically (footnotes 6–7 identical, cross-reference renumbered).</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3.3.4</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A Bank should ensure that the employees of the service provider undertaking any part of the outsourcing arrangement have been assessed to meet the Bank's hiring policies for the role they are performing, consistent with the criteria applicable to its own employees. The following are some non-exhaustive examples of what should be considered under this assessment: (a) whether they have been the subject of any proceedings of a disciplinary or criminal nature; (b) whether they have been convicted of any offence (in particular, that associated with a finding of fraud, misrepresentation or dishonesty); (c) whether they have accepted civil liability for fraud or misrepresentation; and (d) whether they are financially sound. Any adverse findings from this assessment should be considered in light of their relevance and impact to the outsourcing arrangement.</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[¶5.4.4]</w:t>
            </w:r>
            <w:r>
              <w:rPr>
                <w:rFonts w:ascii="Arial" w:cs="Arial" w:eastAsia="Arial" w:hAnsi="Arial"/>
                <w:i w:val="false"/>
                <w:iCs w:val="false"/>
                <w:color w:val="000000"/>
                <w:sz w:val="18"/>
                <w:szCs w:val="18"/>
              </w:rPr>
              <w:t xml:space="preserve"> An institution should ensure that the employees of the service provider undertaking any part of the outsourcing arrangement have been assessed to meet the institution's hiring policies for the role they are performing, consistent with the criteria applicable to its own employees. The following are some non-exhaustive examples of what should be considered under this assessment: (a) whether they have been the subject of any proceedings of a disciplinary or criminal nature; (b) whether they have been convicted of any offence (in particular, that associated with a finding of fraud, misrepresentation or dishonesty); (c) whether they have accepted civil liability for fraud or misrepresentation; and (d) whether they are financially sound. Any adverse findings from this assessment should be considered in light of their relevance and impact to the outsourcing arrangement.</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Found at FI ¶5.4.4, worded identically.</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3.3.5</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Due diligence undertaken during the assessment process should be documented and re-performed periodically as part of the monitoring and control processes of outsourcing arrangements. A risk-based approach may be used to determine the frequency for the re-performance of due diligence for outsourcing arrangements (including intragroup arrangements). The due diligence process may vary depending on the nature, and extent of risk of the </w:t>
            </w:r>
            <w:r>
              <w:rPr>
                <w:rFonts w:ascii="Arial" w:cs="Arial" w:eastAsia="Arial" w:hAnsi="Arial"/>
                <w:i w:val="false"/>
                <w:iCs w:val="false"/>
                <w:color w:val="000000"/>
                <w:sz w:val="18"/>
                <w:szCs w:val="18"/>
                <w:highlight w:val="yellow"/>
                <w:highlightCs w:val="yellow"/>
              </w:rPr>
              <w:t xml:space="preserve">service</w:t>
            </w:r>
            <w:r>
              <w:rPr>
                <w:rFonts w:ascii="Arial" w:cs="Arial" w:eastAsia="Arial" w:hAnsi="Arial"/>
                <w:i w:val="false"/>
                <w:iCs w:val="false"/>
                <w:color w:val="000000"/>
                <w:sz w:val="18"/>
                <w:szCs w:val="18"/>
              </w:rPr>
              <w:t xml:space="preserve"> and impact to the Bank in the event of a disruption to service or breach of security and confidentiality (e.g. reduced due diligence may be sufficient where the outsourcing arrangements are made within the Bank's group8). A Bank should ensure that the information used for due diligence evaluation is sufficiently current. A Bank should also consider the findings from the due diligence evaluation to determine the frequency and scope of audit on the service provider.</w:t>
            </w:r>
          </w:p>
          <w:p>
            <w:pPr>
              <w:spacing w:after="40" w:before="40"/>
            </w:pPr>
            <w:r>
              <w:rPr>
                <w:rFonts w:ascii="Arial" w:cs="Arial" w:eastAsia="Arial" w:hAnsi="Arial"/>
                <w:i w:val="false"/>
                <w:iCs w:val="false"/>
                <w:color w:val="595959"/>
                <w:sz w:val="14"/>
                <w:szCs w:val="14"/>
              </w:rPr>
              <w:t xml:space="preserve">8 – Please see paragraph 3.11 on provision of outsourced relevant services within a group.</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[¶5.4.5]</w:t>
            </w:r>
            <w:r>
              <w:rPr>
                <w:rFonts w:ascii="Arial" w:cs="Arial" w:eastAsia="Arial" w:hAnsi="Arial"/>
                <w:i w:val="false"/>
                <w:iCs w:val="false"/>
                <w:color w:val="000000"/>
                <w:sz w:val="18"/>
                <w:szCs w:val="18"/>
              </w:rPr>
              <w:t xml:space="preserve"> Due diligence undertaken during the assessment process should be documented and re-performed periodically as part of the monitoring and control processes of outsourcing arrangements. A risk-based approach may be used to determine the frequency for the re-performance of due diligence for outsourcing arrangements (including intragroup arrangements). The due diligence process may vary depending on the nature, and extent of risk of the arrangement and impact to the institution in the event of a disruption to service or breach of security and confidentiality (e.g. reduced due diligence may be sufficient where the outsourcing arrangements are made within the institution's group8). An institution should ensure that the information used for due diligence evaluation is sufficiently current. An institution should also consider the findings from the due diligence evaluation to determine the frequency and scope of audit on the service provider.</w:t>
            </w:r>
          </w:p>
          <w:p>
            <w:pPr>
              <w:spacing w:after="40" w:before="40"/>
            </w:pPr>
            <w:r>
              <w:rPr>
                <w:rFonts w:ascii="Arial" w:cs="Arial" w:eastAsia="Arial" w:hAnsi="Arial"/>
                <w:i w:val="false"/>
                <w:iCs w:val="false"/>
                <w:color w:val="595959"/>
                <w:sz w:val="14"/>
                <w:szCs w:val="14"/>
              </w:rPr>
              <w:t xml:space="preserve">8 – Please see paragraph 5.11 on arrangements relating to outsourcing within a group.</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Found at FI ¶5.4.5, worded identically ("service"→"arrangement"; footnote cross-reference reworded).</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3.3.6</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highlight w:val="yellow"/>
                <w:highlightCs w:val="yellow"/>
              </w:rPr>
              <w:t xml:space="preserve">For the purposes of paragraph 5.2(b) of the Notices on policies on frequencies of checks, a Bank may, but is not required to, set a specific policy for each MOORS. Banks may set policies for groups or types of MOORS so long as banks ensure that the review frequency is commensurate with the risks posed by the MOORS.</w:t>
            </w:r>
          </w:p>
        </w:tc>
        <w:tc>
          <w:tcPr>
            <w:tcW w:type="dxa" w:w="5300"/>
            <w:tcMar>
              <w:top w:type="dxa" w:w="60"/>
              <w:left w:type="dxa" w:w="100"/>
              <w:bottom w:type="dxa" w:w="60"/>
              <w:right w:type="dxa" w:w="100"/>
            </w:tcMar>
            <w:vAlign w:val="top"/>
          </w:tcPr>
          <w:p>
            <w:pPr>
              <w:spacing w:after="40" w:before="40"/>
            </w:pPr>
            <w:r>
              <w:rPr>
                <w:rFonts w:ascii="Arial" w:cs="Arial" w:eastAsia="Arial" w:hAnsi="Arial"/>
                <w:i/>
                <w:iCs/>
                <w:color w:val="595959"/>
                <w:sz w:val="18"/>
                <w:szCs w:val="18"/>
              </w:rPr>
              <w:t xml:space="preserve">No provision here under FI Guidelines.</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Bank-only. Interprets Notices ¶5.2(b); no Notice or counterpart exists for FIs. (The FI analogue in spirit is the annual periodic review at FI ¶5.8.2(d).)</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3.4</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Outsourcing agreement</w:t>
            </w:r>
            <w:r>
              <w:rPr>
                <w:rFonts w:ascii="Arial" w:cs="Arial" w:eastAsia="Arial" w:hAnsi="Arial"/>
                <w:i w:val="false"/>
                <w:iCs w:val="false"/>
                <w:color w:val="000000"/>
                <w:sz w:val="18"/>
                <w:szCs w:val="18"/>
              </w:rPr>
              <w:t xml:space="preserve"> *(sub-section heading)*</w:t>
            </w:r>
          </w:p>
        </w:tc>
        <w:tc>
          <w:tcPr>
            <w:tcW w:type="dxa" w:w="5300"/>
            <w:tcMar>
              <w:top w:type="dxa" w:w="60"/>
              <w:left w:type="dxa" w:w="100"/>
              <w:bottom w:type="dxa" w:w="60"/>
              <w:right w:type="dxa" w:w="100"/>
            </w:tcMar>
            <w:vAlign w:val="top"/>
          </w:tcPr>
          <w:p>
            <w:pPr>
              <w:spacing w:after="40" w:before="40"/>
            </w:pPr>
            <w:r>
              <w:rPr>
                <w:rFonts w:ascii="Arial" w:cs="Arial" w:eastAsia="Arial" w:hAnsi="Arial"/>
                <w:i/>
                <w:iCs/>
                <w:color w:val="595959"/>
                <w:sz w:val="18"/>
                <w:szCs w:val="18"/>
              </w:rPr>
              <w:t xml:space="preserve">Corresponds to FI sub-section 5.5 ("Outsourcing agreement").</w:t>
            </w:r>
          </w:p>
        </w:tc>
        <w:tc>
          <w:tcPr>
            <w:tcW w:type="dxa" w:w="30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None</w:t>
            </w:r>
            <w:r>
              <w:rPr>
                <w:rFonts w:ascii="Arial" w:cs="Arial" w:eastAsia="Arial" w:hAnsi="Arial"/>
                <w:i w:val="false"/>
                <w:iCs w:val="false"/>
                <w:color w:val="000000"/>
                <w:sz w:val="18"/>
                <w:szCs w:val="18"/>
              </w:rPr>
              <w:t xml:space="preserve"> (heading correspondence only).</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3.4.1</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Contractual terms and conditions governing relationships, obligations, responsibilities, rights and expectations of the contracting parties in the outsourcing arrangement should be carefully and properly defined in written agreements. They should also be vetted by a competent authority (e.g. the Banks' legal counsel) on their legality and enforceability.</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[¶5.5.1]</w:t>
            </w:r>
            <w:r>
              <w:rPr>
                <w:rFonts w:ascii="Arial" w:cs="Arial" w:eastAsia="Arial" w:hAnsi="Arial"/>
                <w:i w:val="false"/>
                <w:iCs w:val="false"/>
                <w:color w:val="000000"/>
                <w:sz w:val="18"/>
                <w:szCs w:val="18"/>
              </w:rPr>
              <w:t xml:space="preserve"> Contractual terms and conditions governing relationships, obligations, responsibilities, rights and expectations of the contracting parties in the outsourcing arrangement should be carefully and properly defined in written agreements. They should also be vetted by a competent authority (e.g. the institutions' legal counsel) on their legality and enforceability.</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Found at FI ¶5.5.1, worded identically.</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3.4.2</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A Bank should ensure that every outsourcing agreement addresses the risks identified at the risk evaluation and due diligence stages. Each outsourcing agreement should allow for timely renegotiation and renewal to enable the Bank to retain an appropriate level of control over the outsourcing arrangement and the right to intervene with appropriate measures to meet its legal and regulatory obligations. It should at the very least, have provisions to address the following aspects of outsourcing: (a) scope of the outsourcing arrangement; (b) performance, operational, internal control and risk management standards; (c) confidentiality and security</w:t>
            </w:r>
            <w:r>
              <w:rPr>
                <w:rFonts w:ascii="Arial" w:cs="Arial" w:eastAsia="Arial" w:hAnsi="Arial"/>
                <w:i w:val="false"/>
                <w:iCs w:val="false"/>
                <w:color w:val="000000"/>
                <w:sz w:val="18"/>
                <w:szCs w:val="18"/>
                <w:highlight w:val="yellow"/>
                <w:highlightCs w:val="yellow"/>
              </w:rPr>
              <w:t xml:space="preserve">9</w:t>
            </w:r>
            <w:r>
              <w:rPr>
                <w:rFonts w:ascii="Arial" w:cs="Arial" w:eastAsia="Arial" w:hAnsi="Arial"/>
                <w:i w:val="false"/>
                <w:iCs w:val="false"/>
                <w:color w:val="000000"/>
                <w:sz w:val="18"/>
                <w:szCs w:val="18"/>
              </w:rPr>
              <w:t xml:space="preserve">; (d) business continuity management; (e) monitoring and control; (f) audit and inspection</w:t>
            </w:r>
            <w:r>
              <w:rPr>
                <w:rFonts w:ascii="Arial" w:cs="Arial" w:eastAsia="Arial" w:hAnsi="Arial"/>
                <w:i w:val="false"/>
                <w:iCs w:val="false"/>
                <w:color w:val="000000"/>
                <w:sz w:val="18"/>
                <w:szCs w:val="18"/>
                <w:highlight w:val="yellow"/>
                <w:highlightCs w:val="yellow"/>
              </w:rPr>
              <w:t xml:space="preserve">12</w:t>
            </w:r>
            <w:r>
              <w:rPr>
                <w:rFonts w:ascii="Arial" w:cs="Arial" w:eastAsia="Arial" w:hAnsi="Arial"/>
                <w:i w:val="false"/>
                <w:iCs w:val="false"/>
                <w:color w:val="000000"/>
                <w:sz w:val="18"/>
                <w:szCs w:val="18"/>
              </w:rPr>
              <w:t xml:space="preserve">; (g) notification of adverse developments — A Bank should specify in its outsourcing agreement the type of events and the circumstances under which the service provider should report to the Bank in order for the Bank to take prompt risk mitigation measures and notify MAS of such developments under paragraph 2.2; (h) dispute resolution — A Bank should specify in its outsourcing agreement the resolution process, events of default, and the indemnities, remedies and recourse of the respective parties in the agreement. The Bank should ensure that its contractual rights can be exercised in the event of a breach of the outsourcing agreement by the service provider; (i) default termination and early exit13; (j) applicable laws — Agreements should include choice-of-law provisions, agreement covenants and jurisdictional covenants that provide for adjudication of disputes between the parties under the laws of a specific jurisdiction.</w:t>
            </w:r>
          </w:p>
          <w:p>
            <w:pPr>
              <w:spacing w:after="40" w:before="40"/>
            </w:pPr>
            <w:r>
              <w:rPr>
                <w:rFonts w:ascii="Arial" w:cs="Arial" w:eastAsia="Arial" w:hAnsi="Arial"/>
                <w:i w:val="false"/>
                <w:iCs w:val="false"/>
                <w:color w:val="595959"/>
                <w:sz w:val="14"/>
                <w:szCs w:val="14"/>
              </w:rPr>
              <w:t xml:space="preserve">9 – The provisions of the outsourcing agreement for a MOORS that relate to confidentiality and security should include the requirements set out in paragraph 7.1(a) to (c) of the Notices. Refer also to paragraph 3.6.</w:t>
            </w:r>
          </w:p>
          <w:p>
            <w:pPr>
              <w:spacing w:after="40" w:before="40"/>
            </w:pPr>
            <w:r>
              <w:rPr>
                <w:rFonts w:ascii="Arial" w:cs="Arial" w:eastAsia="Arial" w:hAnsi="Arial"/>
                <w:i w:val="false"/>
                <w:iCs w:val="false"/>
                <w:color w:val="595959"/>
                <w:sz w:val="14"/>
                <w:szCs w:val="14"/>
              </w:rPr>
              <w:t xml:space="preserve">12 – The provisions of the outsourcing agreement for a MOORS that relate to audit and inspection should include the requirements set out in paragraph 7.1(d) of the Notices. Refer also to paragraph 3.9.</w:t>
            </w:r>
          </w:p>
          <w:p>
            <w:pPr>
              <w:spacing w:after="40" w:before="40"/>
            </w:pPr>
            <w:r>
              <w:rPr>
                <w:rFonts w:ascii="Arial" w:cs="Arial" w:eastAsia="Arial" w:hAnsi="Arial"/>
                <w:i w:val="false"/>
                <w:iCs w:val="false"/>
                <w:color w:val="595959"/>
                <w:sz w:val="14"/>
                <w:szCs w:val="14"/>
              </w:rPr>
              <w:t xml:space="preserve">13 – Refer to paragraphs 3.4.3 to 3.4.8.</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[¶5.5.2]</w:t>
            </w:r>
            <w:r>
              <w:rPr>
                <w:rFonts w:ascii="Arial" w:cs="Arial" w:eastAsia="Arial" w:hAnsi="Arial"/>
                <w:i w:val="false"/>
                <w:iCs w:val="false"/>
                <w:color w:val="000000"/>
                <w:sz w:val="18"/>
                <w:szCs w:val="18"/>
              </w:rPr>
              <w:t xml:space="preserve"> An institution should ensure that every outsourcing agreement addresses the risks identified at the risk evaluation and due diligence stages. Each outsourcing agreement should allow for timely renegotiation and renewal to enable the institution to retain an appropriate level of control over the outsourcing arrangement and the right to intervene with appropriate measures to meet its legal and regulatory obligations. It should at the very least, have provisions to address the following aspects of outsourcing: (a) scope of the outsourcing arrangement; (b) performance, operational, internal control and risk management standards; (c) confidentiality and security9; (d) business continuity management10; (e) monitoring and control11; (f) audit and inspection12; (g) notification of adverse developments — An institution should specify in its outsourcing agreement the type of events and the circumstances under which the service provider should report to the institution in order for an institution to take prompt risk mitigation measures and notify MAS of such developments under paragraph 4.2.1; (h) dispute resolution — An institution should specify in its outsourcing agreement the resolution process, events of default, and the indemnities, remedies and recourse of the respective parties in the agreement. The institution should ensure that its contractual rights can be exercised in the event of a breach of the outsourcing agreement by the service provider; (i) default termination and early exit — set out in full at rows 3.4.3 and 3.4.4 of this table; </w:t>
            </w:r>
            <w:r>
              <w:rPr>
                <w:rFonts w:ascii="Arial" w:cs="Arial" w:eastAsia="Arial" w:hAnsi="Arial"/>
                <w:i w:val="false"/>
                <w:iCs w:val="false"/>
                <w:color w:val="000000"/>
                <w:sz w:val="18"/>
                <w:szCs w:val="18"/>
                <w:highlight w:val="yellow"/>
                <w:highlightCs w:val="yellow"/>
              </w:rPr>
              <w:t xml:space="preserve">(j) sub-contracting</w:t>
            </w:r>
            <w:r>
              <w:rPr>
                <w:rFonts w:ascii="Arial" w:cs="Arial" w:eastAsia="Arial" w:hAnsi="Arial"/>
                <w:i w:val="false"/>
                <w:iCs w:val="false"/>
                <w:color w:val="000000"/>
                <w:sz w:val="18"/>
                <w:szCs w:val="18"/>
              </w:rPr>
              <w:t xml:space="preserve"> — set out in full at row 3.5.1 of this table; (k) applicable laws — Agreements should include choice-of-law provisions, agreement covenants and jurisdictional covenants that provide for adjudication of disputes between the parties under the laws of a specific jurisdiction.</w:t>
            </w:r>
          </w:p>
          <w:p>
            <w:pPr>
              <w:spacing w:after="40" w:before="40"/>
            </w:pPr>
            <w:r>
              <w:rPr>
                <w:rFonts w:ascii="Arial" w:cs="Arial" w:eastAsia="Arial" w:hAnsi="Arial"/>
                <w:i w:val="false"/>
                <w:iCs w:val="false"/>
                <w:color w:val="595959"/>
                <w:sz w:val="14"/>
                <w:szCs w:val="14"/>
              </w:rPr>
              <w:t xml:space="preserve">9 – Refer to paragraph 5.6.</w:t>
            </w:r>
          </w:p>
          <w:p>
            <w:pPr>
              <w:spacing w:after="40" w:before="40"/>
            </w:pPr>
            <w:r>
              <w:rPr>
                <w:rFonts w:ascii="Arial" w:cs="Arial" w:eastAsia="Arial" w:hAnsi="Arial"/>
                <w:i w:val="false"/>
                <w:iCs w:val="false"/>
                <w:color w:val="595959"/>
                <w:sz w:val="14"/>
                <w:szCs w:val="14"/>
              </w:rPr>
              <w:t xml:space="preserve">10 – Refer to paragraph 5.7.</w:t>
            </w:r>
          </w:p>
          <w:p>
            <w:pPr>
              <w:spacing w:after="40" w:before="40"/>
            </w:pPr>
            <w:r>
              <w:rPr>
                <w:rFonts w:ascii="Arial" w:cs="Arial" w:eastAsia="Arial" w:hAnsi="Arial"/>
                <w:i w:val="false"/>
                <w:iCs w:val="false"/>
                <w:color w:val="595959"/>
                <w:sz w:val="14"/>
                <w:szCs w:val="14"/>
              </w:rPr>
              <w:t xml:space="preserve">11 – Refer to paragraph 5.8.</w:t>
            </w:r>
          </w:p>
          <w:p>
            <w:pPr>
              <w:spacing w:after="40" w:before="40"/>
            </w:pPr>
            <w:r>
              <w:rPr>
                <w:rFonts w:ascii="Arial" w:cs="Arial" w:eastAsia="Arial" w:hAnsi="Arial"/>
                <w:i w:val="false"/>
                <w:iCs w:val="false"/>
                <w:color w:val="595959"/>
                <w:sz w:val="14"/>
                <w:szCs w:val="14"/>
              </w:rPr>
              <w:t xml:space="preserve">12 – Refer to paragraph 5.9.</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Same core checklist, found at FI ¶5.5.2, with three differences: (i) the FI list adds </w:t>
            </w:r>
            <w:r>
              <w:rPr>
                <w:rFonts w:ascii="Arial" w:cs="Arial" w:eastAsia="Arial" w:hAnsi="Arial"/>
                <w:i w:val="false"/>
                <w:iCs w:val="false"/>
                <w:color w:val="000000"/>
                <w:sz w:val="18"/>
                <w:szCs w:val="18"/>
                <w:highlight w:val="yellow"/>
                <w:highlightCs w:val="yellow"/>
              </w:rPr>
              <w:t xml:space="preserve">item (j) sub-contracting</w:t>
            </w:r>
            <w:r>
              <w:rPr>
                <w:rFonts w:ascii="Arial" w:cs="Arial" w:eastAsia="Arial" w:hAnsi="Arial"/>
                <w:i w:val="false"/>
                <w:iCs w:val="false"/>
                <w:color w:val="000000"/>
                <w:sz w:val="18"/>
                <w:szCs w:val="18"/>
              </w:rPr>
              <w:t xml:space="preserve"> (the Bank Guidelines deal with sub-contracting in a dedicated §3.5); (ii) Bank footnotes 9 and 12 require MOORS agreements to include the binding requirements of Notices ¶7.1(a)–(c) and ¶7.1(d) — no FI equivalent; (iii) the FI version expands "default termination and early exit" inline (see next row).</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3.4.3</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A Bank should have the right to terminate the outsourcing agreement in the event of default, or under any of the following circumstances: </w:t>
            </w:r>
            <w:r>
              <w:rPr>
                <w:rFonts w:ascii="Arial" w:cs="Arial" w:eastAsia="Arial" w:hAnsi="Arial"/>
                <w:i w:val="false"/>
                <w:iCs w:val="false"/>
                <w:color w:val="000000"/>
                <w:sz w:val="18"/>
                <w:szCs w:val="18"/>
                <w:highlight w:val="yellow"/>
                <w:highlightCs w:val="yellow"/>
              </w:rPr>
              <w:t xml:space="preserve">(a) by giving reasonable notice to the service provider; (b) if the service provider or a sub-contractor, as the case may be, failed to safeguard the confidentiality or integrity of customer information of the Bank; or (c) if there has been a demonstrable deterioration in the ability of the service provider or a sub-contractor to safeguard the confidentiality of customer information.</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[¶5.5.2(i)]</w:t>
            </w:r>
            <w:r>
              <w:rPr>
                <w:rFonts w:ascii="Arial" w:cs="Arial" w:eastAsia="Arial" w:hAnsi="Arial"/>
                <w:i w:val="false"/>
                <w:iCs w:val="false"/>
                <w:color w:val="000000"/>
                <w:sz w:val="18"/>
                <w:szCs w:val="18"/>
              </w:rPr>
              <w:t xml:space="preserve"> An institution should, have the right to terminate the outsourcing agreement in the event of default, or under circumstances where: </w:t>
            </w:r>
            <w:r>
              <w:rPr>
                <w:rFonts w:ascii="Arial" w:cs="Arial" w:eastAsia="Arial" w:hAnsi="Arial"/>
                <w:i w:val="false"/>
                <w:iCs w:val="false"/>
                <w:color w:val="000000"/>
                <w:sz w:val="18"/>
                <w:szCs w:val="18"/>
                <w:highlight w:val="yellow"/>
                <w:highlightCs w:val="yellow"/>
              </w:rPr>
              <w:t xml:space="preserve">(i) the service provider undergoes a change in ownership; (ii) the service provider becomes insolvent or goes into liquidation; (iii) the service provider goes into receivership or judicial management whether in Singapore or elsewhere; (iv) there has been a breach of security or confidentiality; or (v) there is a demonstrable deterioration in the ability of the service provider to perform the contracted service.</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Materially different trigger lists. The FI version keeps the traditional corporate-event triggers (change of ownership; insolvency/liquidation; receivership/judicial management) and a service-performance trigger; the Bank list is confidentiality-centred (extending expressly to sub-contractor failures) and adds a no-fault reasonable-notice right.</w:t>
            </w:r>
          </w:p>
          <w:p>
            <w:pPr>
              <w:spacing w:after="40" w:before="40"/>
            </w:pPr>
            <w:r>
              <w:rPr>
                <w:rFonts w:ascii="Arial" w:cs="Arial" w:eastAsia="Arial" w:hAnsi="Arial"/>
                <w:i w:val="false"/>
                <w:iCs w:val="false"/>
                <w:color w:val="000000"/>
                <w:sz w:val="18"/>
                <w:szCs w:val="18"/>
              </w:rPr>
              <w:t xml:space="preserve">2.  The Bank Guidelines recite no corporate-event triggers — banks’ binding contractual requirements are prescribed by Notices ¶7.1, whose full content the Guidelines do not reproduce. On the face of the two Guidelines, the FI list is the broader one.</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3.4.4</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The minimum period to execute a termination provision should be specified in the outsourcing agreement. Other provisions should also be put in place to ensure a smooth transition when the agreement is terminated or being amended. Such provisions may facilitate transferability of the outsourced services to a bridge-institution14 or a third party. Where the outsourcing agreement involves an intra-group entity, the agreement should be legally enforceable against the intra-group entity providing the outsourced service.</w:t>
            </w:r>
          </w:p>
          <w:p>
            <w:pPr>
              <w:spacing w:after="40" w:before="40"/>
            </w:pPr>
            <w:r>
              <w:rPr>
                <w:rFonts w:ascii="Arial" w:cs="Arial" w:eastAsia="Arial" w:hAnsi="Arial"/>
                <w:i w:val="false"/>
                <w:iCs w:val="false"/>
                <w:color w:val="595959"/>
                <w:sz w:val="14"/>
                <w:szCs w:val="14"/>
              </w:rPr>
              <w:t xml:space="preserve">14 – "bridge-institution" means an institution, whether incorporated in Singapore or outside Singapore, to temporarily take over and maintain certain assets, liabilities and operations of a distressed financial institution, as part of a resolution Authority's exercise of a resolution.</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[¶5.5.2(i) (closing text)]</w:t>
            </w:r>
            <w:r>
              <w:rPr>
                <w:rFonts w:ascii="Arial" w:cs="Arial" w:eastAsia="Arial" w:hAnsi="Arial"/>
                <w:i w:val="false"/>
                <w:iCs w:val="false"/>
                <w:color w:val="000000"/>
                <w:sz w:val="18"/>
                <w:szCs w:val="18"/>
              </w:rPr>
              <w:t xml:space="preserve"> The minimum period to execute a termination provision should be specified in the outsourcing agreement. Other provisions should also be put in place to ensure a smooth transition when the agreement is terminated or being amended. Such provisions may facilitate transferability of the outsourced services to a bridge-institution13 or a third party. Where the outsourcing agreement involves an intra-group entity, the agreement should be legally enforceable against the intra-group entity providing the outsourced service.</w:t>
            </w:r>
          </w:p>
          <w:p>
            <w:pPr>
              <w:spacing w:after="40" w:before="40"/>
            </w:pPr>
            <w:r>
              <w:rPr>
                <w:rFonts w:ascii="Arial" w:cs="Arial" w:eastAsia="Arial" w:hAnsi="Arial"/>
                <w:i w:val="false"/>
                <w:iCs w:val="false"/>
                <w:color w:val="595959"/>
                <w:sz w:val="14"/>
                <w:szCs w:val="14"/>
              </w:rPr>
              <w:t xml:space="preserve">13 – "bridge-institution" means an institution, whether incorporated in Singapore or outside Singapore, to temporarily take over and maintain certain assets, liabilities and operations of a distressed financial institution, as part of a resolution Authority's exercise of a resolution.</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Found in the closing text of FI ¶5.5.2(i), worded identically ("bridge-institution" defined identically at FI fn 13).</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3.4.5</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highlight w:val="yellow"/>
                <w:highlightCs w:val="yellow"/>
              </w:rPr>
              <w:t xml:space="preserve">For the purposes of paragraph 7.1(g) in the Notices, MAS will consider directing a Bank to terminate the contract, or to stop obtaining or receiving the MOORS15, when</w:t>
            </w:r>
            <w:r>
              <w:rPr>
                <w:rFonts w:ascii="Arial" w:cs="Arial" w:eastAsia="Arial" w:hAnsi="Arial"/>
                <w:i w:val="false"/>
                <w:iCs w:val="false"/>
                <w:color w:val="000000"/>
                <w:sz w:val="18"/>
                <w:szCs w:val="18"/>
              </w:rPr>
              <w:t xml:space="preserve"> (a) circumstances referred to in paragraph 10.3 of the Notices arise and the service provider is unwilling or unable to remediate the issues; (b) the service provider is unable or unwilling to remediate issues and the Bank did not elect to terminate the outsourcing agreement of its own accord; (c) a Bank fails or is unable to demonstrate a satisfactory level of understanding of the nature and extent of risk arising from the MOORS; (d) a Bank fails or is unable to implement adequate measures to address the risks arising from its ongoing outsourced relevant services in a satisfactory and timely manner; (e) adverse developments arise from the MOORS that could impact a Bank; (f) </w:t>
            </w:r>
            <w:r>
              <w:rPr>
                <w:rFonts w:ascii="Arial" w:cs="Arial" w:eastAsia="Arial" w:hAnsi="Arial"/>
                <w:i w:val="false"/>
                <w:iCs w:val="false"/>
                <w:color w:val="000000"/>
                <w:sz w:val="18"/>
                <w:szCs w:val="18"/>
                <w:highlight w:val="yellow"/>
                <w:highlightCs w:val="yellow"/>
              </w:rPr>
              <w:t xml:space="preserve">MAS or an auditor appointed by MAS, is prevented by the service provider from auditing the books, systems and premises of the service provider for any of the purposes mentioned in section 47A(10) of the Banking Act 1970 (the "Act")</w:t>
            </w:r>
            <w:r>
              <w:rPr>
                <w:rFonts w:ascii="Arial" w:cs="Arial" w:eastAsia="Arial" w:hAnsi="Arial"/>
                <w:i w:val="false"/>
                <w:iCs w:val="false"/>
                <w:color w:val="000000"/>
                <w:sz w:val="18"/>
                <w:szCs w:val="18"/>
              </w:rPr>
              <w:t xml:space="preserve">; (g) where the sub-contracting agreement provides for the matter mentioned in paragraph 3.5.3(b)(iv), the Bank or any auditor appointed by the Bank, is prevented by the sub-contractor from auditing the books, systems and premises of the sub-contractor for any of the purposes mentioned in paragraph 3.5.3(b)(iv); or (h) where the sub-contracting agreement provides for the matter mentioned in paragraph 3.5.3(b)(v), the Bank, or any person appointed by the Bank, is prevented by the sub-contractor from obtaining any record, document, report or information relating to the sub-contracting arrangement.</w:t>
            </w:r>
          </w:p>
          <w:p>
            <w:pPr>
              <w:spacing w:after="40" w:before="40"/>
            </w:pPr>
            <w:r>
              <w:rPr>
                <w:rFonts w:ascii="Arial" w:cs="Arial" w:eastAsia="Arial" w:hAnsi="Arial"/>
                <w:i w:val="false"/>
                <w:iCs w:val="false"/>
                <w:color w:val="595959"/>
                <w:sz w:val="14"/>
                <w:szCs w:val="14"/>
              </w:rPr>
              <w:t xml:space="preserve">15 – MAS will only direct Banks to terminate outsourcing agreements for MOORS as a last resort. Banks do not have to exercise the termination rights if they are able to work with the service provider to remediate the issues giving rise to the ground(s) for termination.</w:t>
            </w:r>
          </w:p>
        </w:tc>
        <w:tc>
          <w:tcPr>
            <w:tcW w:type="dxa" w:w="5300"/>
            <w:tcMar>
              <w:top w:type="dxa" w:w="60"/>
              <w:left w:type="dxa" w:w="100"/>
              <w:bottom w:type="dxa" w:w="60"/>
              <w:right w:type="dxa" w:w="100"/>
            </w:tcMar>
            <w:vAlign w:val="top"/>
          </w:tcPr>
          <w:p>
            <w:pPr>
              <w:spacing w:after="40" w:before="40"/>
            </w:pPr>
            <w:r>
              <w:rPr>
                <w:rFonts w:ascii="Arial" w:cs="Arial" w:eastAsia="Arial" w:hAnsi="Arial"/>
                <w:i/>
                <w:iCs/>
                <w:color w:val="595959"/>
                <w:sz w:val="18"/>
                <w:szCs w:val="18"/>
              </w:rPr>
              <w:t xml:space="preserve">No provision here under FI Guidelines.</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Bank-only in this form; the FI counterpart mechanism is ¶4.1.3 (MAS may require modification, alternative arrangements or re-integration) — see row [FI 4.1.3] above. Grounds (c), (d) and (e) here mirror FI ¶4.1.3(a)–(c); the remaining grounds (Notice ¶10.3 circumstances, audit obstruction under s 47A(10), sub-contractor obstruction) have no FI equivalent, and the FI provision lacks the last-resort footnote.</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3.4.6</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MAS will endeavour to provide the Bank reasonable notice of MAS' intent to direct the Bank to terminate its outsourcing arrangement(s).</w:t>
            </w:r>
          </w:p>
        </w:tc>
        <w:tc>
          <w:tcPr>
            <w:tcW w:type="dxa" w:w="5300"/>
            <w:tcMar>
              <w:top w:type="dxa" w:w="60"/>
              <w:left w:type="dxa" w:w="100"/>
              <w:bottom w:type="dxa" w:w="60"/>
              <w:right w:type="dxa" w:w="100"/>
            </w:tcMar>
            <w:vAlign w:val="top"/>
          </w:tcPr>
          <w:p>
            <w:pPr>
              <w:spacing w:after="40" w:before="40"/>
            </w:pPr>
            <w:r>
              <w:rPr>
                <w:rFonts w:ascii="Arial" w:cs="Arial" w:eastAsia="Arial" w:hAnsi="Arial"/>
                <w:i/>
                <w:iCs/>
                <w:color w:val="595959"/>
                <w:sz w:val="18"/>
                <w:szCs w:val="18"/>
              </w:rPr>
              <w:t xml:space="preserve">No provision here under FI Guidelines.</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Bank-only. No reasonable-notice commitment attaches to the FI ¶4.1.3 powers.</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3.4.7</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highlight w:val="yellow"/>
                <w:highlightCs w:val="yellow"/>
              </w:rPr>
              <w:t xml:space="preserve">To better protect its information, a Bank should endeavour for the requirement in paragraph 7.1(f) of the Notices on deleting, destroying or rendering unusable information upon termination to go beyond the minimally required customer information to also include non-customer information given to the service provider, except for situations where the Bank assesses that the service provider has legitimate reason(s) to retain non-customer information.</w:t>
            </w:r>
            <w:r>
              <w:rPr>
                <w:rFonts w:ascii="Arial" w:cs="Arial" w:eastAsia="Arial" w:hAnsi="Arial"/>
                <w:i w:val="false"/>
                <w:iCs w:val="false"/>
                <w:color w:val="000000"/>
                <w:sz w:val="18"/>
                <w:szCs w:val="18"/>
              </w:rPr>
              <w:t xml:space="preserve"> The Bank should also ensure the minimum period to execute a termination provision is specified in the outsourcing agreement.</w:t>
            </w:r>
          </w:p>
        </w:tc>
        <w:tc>
          <w:tcPr>
            <w:tcW w:type="dxa" w:w="5300"/>
            <w:tcMar>
              <w:top w:type="dxa" w:w="60"/>
              <w:left w:type="dxa" w:w="100"/>
              <w:bottom w:type="dxa" w:w="60"/>
              <w:right w:type="dxa" w:w="100"/>
            </w:tcMar>
            <w:vAlign w:val="top"/>
          </w:tcPr>
          <w:p>
            <w:pPr>
              <w:spacing w:after="40" w:before="40"/>
            </w:pPr>
            <w:r>
              <w:rPr>
                <w:rFonts w:ascii="Arial" w:cs="Arial" w:eastAsia="Arial" w:hAnsi="Arial"/>
                <w:i/>
                <w:iCs/>
                <w:color w:val="595959"/>
                <w:sz w:val="18"/>
                <w:szCs w:val="18"/>
              </w:rPr>
              <w:t xml:space="preserve">No provision here under FI Guidelines.</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Bank-only. The extension of the termination-deletion obligation to non-customer information (and the legitimate-reasons carve-out) has no FI counterpart; the only FI deletion provision is the shared BCM expectation at FI ¶5.7.2(c) (= Bank ¶3.7.2(c)).</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3.4.8</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Each agreement should be tailored to address issues arising from country risks and potential obstacles in exercising oversight and management of the outsourcing arrangements made with a service provider outside Singapore16.</w:t>
            </w:r>
          </w:p>
          <w:p>
            <w:pPr>
              <w:spacing w:after="40" w:before="40"/>
            </w:pPr>
            <w:r>
              <w:rPr>
                <w:rFonts w:ascii="Arial" w:cs="Arial" w:eastAsia="Arial" w:hAnsi="Arial"/>
                <w:i w:val="false"/>
                <w:iCs w:val="false"/>
                <w:color w:val="595959"/>
                <w:sz w:val="14"/>
                <w:szCs w:val="14"/>
              </w:rPr>
              <w:t xml:space="preserve">16 – Refer to paragraph 3.10.</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[¶5.5.3]</w:t>
            </w:r>
            <w:r>
              <w:rPr>
                <w:rFonts w:ascii="Arial" w:cs="Arial" w:eastAsia="Arial" w:hAnsi="Arial"/>
                <w:i w:val="false"/>
                <w:iCs w:val="false"/>
                <w:color w:val="000000"/>
                <w:sz w:val="18"/>
                <w:szCs w:val="18"/>
              </w:rPr>
              <w:t xml:space="preserve"> Each agreement should be tailored to address issues arising from country risks and potential obstacles in exercising oversight and management of the outsourcing arrangements made with a service provider outside Singapore14.</w:t>
            </w:r>
          </w:p>
          <w:p>
            <w:pPr>
              <w:spacing w:after="40" w:before="40"/>
            </w:pPr>
            <w:r>
              <w:rPr>
                <w:rFonts w:ascii="Arial" w:cs="Arial" w:eastAsia="Arial" w:hAnsi="Arial"/>
                <w:i w:val="false"/>
                <w:iCs w:val="false"/>
                <w:color w:val="595959"/>
                <w:sz w:val="14"/>
                <w:szCs w:val="14"/>
              </w:rPr>
              <w:t xml:space="preserve">14 – Refer to paragraph 5.10.</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Found at FI ¶5.5.3, worded identically (cross-reference renumbered).</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3.5</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Use of sub-contractor(s)</w:t>
            </w:r>
            <w:r>
              <w:rPr>
                <w:rFonts w:ascii="Arial" w:cs="Arial" w:eastAsia="Arial" w:hAnsi="Arial"/>
                <w:i w:val="false"/>
                <w:iCs w:val="false"/>
                <w:color w:val="000000"/>
                <w:sz w:val="18"/>
                <w:szCs w:val="18"/>
              </w:rPr>
              <w:t xml:space="preserve"> *(sub-section heading)*</w:t>
            </w:r>
          </w:p>
        </w:tc>
        <w:tc>
          <w:tcPr>
            <w:tcW w:type="dxa" w:w="5300"/>
            <w:tcMar>
              <w:top w:type="dxa" w:w="60"/>
              <w:left w:type="dxa" w:w="100"/>
              <w:bottom w:type="dxa" w:w="60"/>
              <w:right w:type="dxa" w:w="100"/>
            </w:tcMar>
            <w:vAlign w:val="top"/>
          </w:tcPr>
          <w:p>
            <w:pPr>
              <w:spacing w:after="40" w:before="40"/>
            </w:pPr>
            <w:r>
              <w:rPr>
                <w:rFonts w:ascii="Arial" w:cs="Arial" w:eastAsia="Arial" w:hAnsi="Arial"/>
                <w:i/>
                <w:iCs/>
                <w:color w:val="595959"/>
                <w:sz w:val="18"/>
                <w:szCs w:val="18"/>
              </w:rPr>
              <w:t xml:space="preserve">No dedicated sub-contracting section; the FI counterpart is item (j) of the outsourcing-agreement checklist at ¶5.5.2.</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Structural: a dedicated five-paragraph section for Banks vs a single agreement-checklist item for FIs.</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3.5.1</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A Bank should retain the ability to monitor and control the risks arising from its outsourcing arrangements when a service provider uses a sub-contractor. An outsourcing agreement should contain clauses setting out the rules and limitations on sub-contracting. A Bank should include clauses making the service provider contractually liable for the performance and risk management practices of its sub-contractor and for the sub-contractor's compliance with the provisions in its agreement with the service provider, including the prudent practices set out in these Guidelines. A Bank should ensure that the sub-contracting of any part of </w:t>
            </w:r>
            <w:r>
              <w:rPr>
                <w:rFonts w:ascii="Arial" w:cs="Arial" w:eastAsia="Arial" w:hAnsi="Arial"/>
                <w:i w:val="false"/>
                <w:iCs w:val="false"/>
                <w:color w:val="000000"/>
                <w:sz w:val="18"/>
                <w:szCs w:val="18"/>
                <w:highlight w:val="yellow"/>
                <w:highlightCs w:val="yellow"/>
              </w:rPr>
              <w:t xml:space="preserve">MOORS</w:t>
            </w:r>
            <w:r>
              <w:rPr>
                <w:rFonts w:ascii="Arial" w:cs="Arial" w:eastAsia="Arial" w:hAnsi="Arial"/>
                <w:i w:val="false"/>
                <w:iCs w:val="false"/>
                <w:color w:val="000000"/>
                <w:sz w:val="18"/>
                <w:szCs w:val="18"/>
              </w:rPr>
              <w:t xml:space="preserve"> is subject to the Bank's prior approval.</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[¶5.5.2(j) – sub-contracting]</w:t>
            </w:r>
            <w:r>
              <w:rPr>
                <w:rFonts w:ascii="Arial" w:cs="Arial" w:eastAsia="Arial" w:hAnsi="Arial"/>
                <w:i w:val="false"/>
                <w:iCs w:val="false"/>
                <w:color w:val="000000"/>
                <w:sz w:val="18"/>
                <w:szCs w:val="18"/>
              </w:rPr>
              <w:t xml:space="preserve"> An institution should retain the ability to monitor and control its outsourcing arrangements when a service provider uses a sub-contractor. An outsourcing agreement should contain clauses setting out the rules and limitations on sub-contracting. An institution should include clauses making the service provider contractually liable for the performance and risk management practices of its sub-contractor and for the sub-contractor's compliance with the provisions in its agreement with the service provider, including the prudent practices set out in these Guidelines. The institution should ensure that the sub-contracting of any part of </w:t>
            </w:r>
            <w:r>
              <w:rPr>
                <w:rFonts w:ascii="Arial" w:cs="Arial" w:eastAsia="Arial" w:hAnsi="Arial"/>
                <w:i w:val="false"/>
                <w:iCs w:val="false"/>
                <w:color w:val="000000"/>
                <w:sz w:val="18"/>
                <w:szCs w:val="18"/>
                <w:highlight w:val="yellow"/>
                <w:highlightCs w:val="yellow"/>
              </w:rPr>
              <w:t xml:space="preserve">material outsourcing arrangements</w:t>
            </w:r>
            <w:r>
              <w:rPr>
                <w:rFonts w:ascii="Arial" w:cs="Arial" w:eastAsia="Arial" w:hAnsi="Arial"/>
                <w:i w:val="false"/>
                <w:iCs w:val="false"/>
                <w:color w:val="000000"/>
                <w:sz w:val="18"/>
                <w:szCs w:val="18"/>
              </w:rPr>
              <w:t xml:space="preserve"> is subject to the institution's prior approval.</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Substantively identical; found at FI ¶5.5.2(j). Terminology: "MOORS" vs "material outsourcing arrangements".</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3.5.2</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highlight w:val="yellow"/>
                <w:highlightCs w:val="yellow"/>
              </w:rPr>
              <w:t xml:space="preserve">Before a Bank allows a MOORS that involves the disclosure of customer information to be sub-contracted, it must obtain the written consent of the customer for the Bank to disclose the customer information to the sub-contractor. Such consent need not name the service providers to whom customer information is to be disclosed, though the scope and purpose for the disclosure should be made known17.</w:t>
            </w:r>
          </w:p>
          <w:p>
            <w:pPr>
              <w:spacing w:after="40" w:before="40"/>
            </w:pPr>
            <w:r>
              <w:rPr>
                <w:rFonts w:ascii="Arial" w:cs="Arial" w:eastAsia="Arial" w:hAnsi="Arial"/>
                <w:i w:val="false"/>
                <w:iCs w:val="false"/>
                <w:color w:val="595959"/>
                <w:sz w:val="14"/>
                <w:szCs w:val="14"/>
              </w:rPr>
              <w:t xml:space="preserve">17 – For instance, the consent can be obtained via the terms and conditions at the point of onboarding but Banks should take reasonable steps to ensure customers are apprised that they are granting such consent to the Bank.</w:t>
            </w:r>
          </w:p>
        </w:tc>
        <w:tc>
          <w:tcPr>
            <w:tcW w:type="dxa" w:w="5300"/>
            <w:tcMar>
              <w:top w:type="dxa" w:w="60"/>
              <w:left w:type="dxa" w:w="100"/>
              <w:bottom w:type="dxa" w:w="60"/>
              <w:right w:type="dxa" w:w="100"/>
            </w:tcMar>
            <w:vAlign w:val="top"/>
          </w:tcPr>
          <w:p>
            <w:pPr>
              <w:spacing w:after="40" w:before="40"/>
            </w:pPr>
            <w:r>
              <w:rPr>
                <w:rFonts w:ascii="Arial" w:cs="Arial" w:eastAsia="Arial" w:hAnsi="Arial"/>
                <w:i/>
                <w:iCs/>
                <w:color w:val="595959"/>
                <w:sz w:val="18"/>
                <w:szCs w:val="18"/>
              </w:rPr>
              <w:t xml:space="preserve">No provision here under FI Guidelines.</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Bank-only (banking secrecy). The word "consent" does not appear anywhere in the FI Guidelines.</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3.5.3</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For MOORS, a Bank should take reasonable steps, on a risk proportionate and best effort basis, to ensure that sub-contractors are held to similar standards as service providers. This could be through inclusion of appropriate provisions in its outsourcing agreement with service providers. A Bank should endeavour to ensure the following: (a) where a sub-contracting arrangement involves the disclosure of customer information to a sub-contractor: (i) the sub-contractor is notified in writing of the Bank's obligations of confidentiality under the Act and common law; (ii) customer information is disclosed to, or accessed, collected, copied, modified, used, stored or processed by, a sub-contractor only to the extent that is necessary for the sub-contractor to perform its duties under a sub-contracting arrangement; and (iii) the sub-contractor and its employees do not disclose any customer information of the Bank to any third party unless compelled by law, in which case the sub-contractor must notify the Bank directly or through the service provider as soon as practicable to the extent permitted by law; (b) that a sub-contracting agreement includes the following provisions: (i) the sub-contractor protects the confidentiality and integrity of all information of the Bank in its custody, in relation to the provision of the MOORS under the sub-contracting arrangement; (ii) the sub-contractor ensures that it and its employees only access, collect, copy, modify, use, store, or process any customer information of the Bank to the extent that is necessary for it and its employees to provide the MOORS under the sub-contracting arrangement; (iii) the sub-contractor ensures that it and its employees do not disclose any customer information of the Bank to any third party unless compelled by law, in which case the sub-contractor must notify the Bank directly or through the service provider as soon as practicable to the extent permitted by law; (iv) </w:t>
            </w:r>
            <w:r>
              <w:rPr>
                <w:rFonts w:ascii="Arial" w:cs="Arial" w:eastAsia="Arial" w:hAnsi="Arial"/>
                <w:i w:val="false"/>
                <w:iCs w:val="false"/>
                <w:color w:val="000000"/>
                <w:sz w:val="18"/>
                <w:szCs w:val="18"/>
                <w:highlight w:val="yellow"/>
                <w:highlightCs w:val="yellow"/>
              </w:rPr>
              <w:t xml:space="preserve">MAS, or an auditor appointed by MAS, be allowed to audit the sub-contractor</w:t>
            </w:r>
            <w:r>
              <w:rPr>
                <w:rFonts w:ascii="Arial" w:cs="Arial" w:eastAsia="Arial" w:hAnsi="Arial"/>
                <w:i w:val="false"/>
                <w:iCs w:val="false"/>
                <w:color w:val="000000"/>
                <w:sz w:val="18"/>
                <w:szCs w:val="18"/>
              </w:rPr>
              <w:t xml:space="preserve"> for the purposes of determining whether the sub-contractor is properly providing the MOORS under the sub-contracting arrangement and assessing: (A) the ability of the sub-contractor to: (AA) ensure continuity of the MOORS under the sub-contracting arrangement; (BB) safeguard the confidentiality and integrity of all information in its custody, in relation to the provision of the MOORS under the sub-contracting arrangement; and (CC) manage its legal, reputational, technological and operational risks arising from the provision of the MOORS under the sub-contracting arrangement; and (B) the level of compliance of the sub-contractor with written laws related to the provision of the MOORS under the sub-contracting arrangement; (v) a provision that the sub-contractor, on a request by the Bank, directly or through the service provider, provides to the Bank or MAS, or any person appointed by the Bank or MAS, any record, document, report or information relating to the provision of the MOORS under the sub-contracting arrangement; and (vi) a provision that if the Bank stops obtaining or receiving the MOORS under the sub-contracting arrangement provided by the sub-contractor, the sub-contractor ensures that </w:t>
            </w:r>
            <w:r>
              <w:rPr>
                <w:rFonts w:ascii="Arial" w:cs="Arial" w:eastAsia="Arial" w:hAnsi="Arial"/>
                <w:i w:val="false"/>
                <w:iCs w:val="false"/>
                <w:color w:val="000000"/>
                <w:sz w:val="18"/>
                <w:szCs w:val="18"/>
                <w:highlight w:val="yellow"/>
                <w:highlightCs w:val="yellow"/>
              </w:rPr>
              <w:t xml:space="preserve">customer information18 given to the sub-contractor are deleted, destroyed or rendered unusable as soon as possible</w:t>
            </w:r>
            <w:r>
              <w:rPr>
                <w:rFonts w:ascii="Arial" w:cs="Arial" w:eastAsia="Arial" w:hAnsi="Arial"/>
                <w:i w:val="false"/>
                <w:iCs w:val="false"/>
                <w:color w:val="000000"/>
                <w:sz w:val="18"/>
                <w:szCs w:val="18"/>
              </w:rPr>
              <w:t xml:space="preserve"> except where: (A) the sub-contractor is prohibited from doing so by written law or foreign laws, in the case where the MOORS under the sub-contracting arrangement is obtained or received overseas; or (B) in the case where the sub-contractor is a branch or office, the record, document or information is stored in a system used by the Bank which upon the termination of the sub-contracting agreement, can only be accessed by the Bank.</w:t>
            </w:r>
          </w:p>
          <w:p>
            <w:pPr>
              <w:spacing w:after="40" w:before="40"/>
            </w:pPr>
            <w:r>
              <w:rPr>
                <w:rFonts w:ascii="Arial" w:cs="Arial" w:eastAsia="Arial" w:hAnsi="Arial"/>
                <w:i w:val="false"/>
                <w:iCs w:val="false"/>
                <w:color w:val="595959"/>
                <w:sz w:val="14"/>
                <w:szCs w:val="14"/>
              </w:rPr>
              <w:t xml:space="preserve">18 – Banks may provide flexibility to sub-contractors on the deletion of non-customer information.</w:t>
            </w:r>
          </w:p>
        </w:tc>
        <w:tc>
          <w:tcPr>
            <w:tcW w:type="dxa" w:w="5300"/>
            <w:tcMar>
              <w:top w:type="dxa" w:w="60"/>
              <w:left w:type="dxa" w:w="100"/>
              <w:bottom w:type="dxa" w:w="60"/>
              <w:right w:type="dxa" w:w="100"/>
            </w:tcMar>
            <w:vAlign w:val="top"/>
          </w:tcPr>
          <w:p>
            <w:pPr>
              <w:spacing w:after="40" w:before="40"/>
            </w:pPr>
            <w:r>
              <w:rPr>
                <w:rFonts w:ascii="Arial" w:cs="Arial" w:eastAsia="Arial" w:hAnsi="Arial"/>
                <w:i/>
                <w:iCs/>
                <w:color w:val="595959"/>
                <w:sz w:val="18"/>
                <w:szCs w:val="18"/>
              </w:rPr>
              <w:t xml:space="preserve">No provision here under FI Guidelines.</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Bank-only. The FI Guidelines never prescribe the contents of the sub-contract itself — sub-contractors are reached only through the service-provider-liability clause (¶5.5.2(j)) and the audit/access clauses (¶¶5.9.2–5.9.4).</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3.5.4</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highlight w:val="yellow"/>
                <w:highlightCs w:val="yellow"/>
              </w:rPr>
              <w:t xml:space="preserve">For the purposes of paragraph 6.3(a) of the Notices, MAS expects the notification19 to take place no later than 30 days.</w:t>
            </w:r>
            <w:r>
              <w:rPr>
                <w:rFonts w:ascii="Arial" w:cs="Arial" w:eastAsia="Arial" w:hAnsi="Arial"/>
                <w:i w:val="false"/>
                <w:iCs w:val="false"/>
                <w:color w:val="000000"/>
                <w:sz w:val="18"/>
                <w:szCs w:val="18"/>
              </w:rPr>
              <w:t xml:space="preserve"> Where a notification occurs after 30 days, Banks should assess if the service provider has good reasons to do so and work with the service provider to ensure notifications are provided more promptly in the future.</w:t>
            </w:r>
          </w:p>
          <w:p>
            <w:pPr>
              <w:spacing w:after="40" w:before="40"/>
            </w:pPr>
            <w:r>
              <w:rPr>
                <w:rFonts w:ascii="Arial" w:cs="Arial" w:eastAsia="Arial" w:hAnsi="Arial"/>
                <w:i w:val="false"/>
                <w:iCs w:val="false"/>
                <w:color w:val="595959"/>
                <w:sz w:val="14"/>
                <w:szCs w:val="14"/>
              </w:rPr>
              <w:t xml:space="preserve">19 – This refers to the service provider's notification to the Bank of its engagement of a sub-contractor.</w:t>
            </w:r>
          </w:p>
        </w:tc>
        <w:tc>
          <w:tcPr>
            <w:tcW w:type="dxa" w:w="5300"/>
            <w:tcMar>
              <w:top w:type="dxa" w:w="60"/>
              <w:left w:type="dxa" w:w="100"/>
              <w:bottom w:type="dxa" w:w="60"/>
              <w:right w:type="dxa" w:w="100"/>
            </w:tcMar>
            <w:vAlign w:val="top"/>
          </w:tcPr>
          <w:p>
            <w:pPr>
              <w:spacing w:after="40" w:before="40"/>
            </w:pPr>
            <w:r>
              <w:rPr>
                <w:rFonts w:ascii="Arial" w:cs="Arial" w:eastAsia="Arial" w:hAnsi="Arial"/>
                <w:i/>
                <w:iCs/>
                <w:color w:val="595959"/>
                <w:sz w:val="18"/>
                <w:szCs w:val="18"/>
              </w:rPr>
              <w:t xml:space="preserve">No provision here under FI Guidelines.</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Bank-only. No 30-day (or any) period for notification of sub-contractor engagement appears in the FI Guidelines.</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3.6</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Confidentiality and Security</w:t>
            </w:r>
            <w:r>
              <w:rPr>
                <w:rFonts w:ascii="Arial" w:cs="Arial" w:eastAsia="Arial" w:hAnsi="Arial"/>
                <w:i w:val="false"/>
                <w:iCs w:val="false"/>
                <w:color w:val="000000"/>
                <w:sz w:val="18"/>
                <w:szCs w:val="18"/>
              </w:rPr>
              <w:t xml:space="preserve"> *(sub-section heading)*</w:t>
            </w:r>
          </w:p>
        </w:tc>
        <w:tc>
          <w:tcPr>
            <w:tcW w:type="dxa" w:w="5300"/>
            <w:tcMar>
              <w:top w:type="dxa" w:w="60"/>
              <w:left w:type="dxa" w:w="100"/>
              <w:bottom w:type="dxa" w:w="60"/>
              <w:right w:type="dxa" w:w="100"/>
            </w:tcMar>
            <w:vAlign w:val="top"/>
          </w:tcPr>
          <w:p>
            <w:pPr>
              <w:spacing w:after="40" w:before="40"/>
            </w:pPr>
            <w:r>
              <w:rPr>
                <w:rFonts w:ascii="Arial" w:cs="Arial" w:eastAsia="Arial" w:hAnsi="Arial"/>
                <w:i/>
                <w:iCs/>
                <w:color w:val="595959"/>
                <w:sz w:val="18"/>
                <w:szCs w:val="18"/>
              </w:rPr>
              <w:t xml:space="preserve">Corresponds to FI sub-section 5.6 ("Confidentiality and Security").</w:t>
            </w:r>
          </w:p>
        </w:tc>
        <w:tc>
          <w:tcPr>
            <w:tcW w:type="dxa" w:w="30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None</w:t>
            </w:r>
            <w:r>
              <w:rPr>
                <w:rFonts w:ascii="Arial" w:cs="Arial" w:eastAsia="Arial" w:hAnsi="Arial"/>
                <w:i w:val="false"/>
                <w:iCs w:val="false"/>
                <w:color w:val="000000"/>
                <w:sz w:val="18"/>
                <w:szCs w:val="18"/>
              </w:rPr>
              <w:t xml:space="preserve"> (heading correspondence only).</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3.6.1</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As public confidence in financial institutions is a cornerstone in the stability and reputation of the financial industry, it is vital that a Bank satisfies itself that the service provider's security policies, procedures and controls will enable the Bank to protect the confidentiality and security of customer information.</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[¶5.6.1]</w:t>
            </w:r>
            <w:r>
              <w:rPr>
                <w:rFonts w:ascii="Arial" w:cs="Arial" w:eastAsia="Arial" w:hAnsi="Arial"/>
                <w:i w:val="false"/>
                <w:iCs w:val="false"/>
                <w:color w:val="000000"/>
                <w:sz w:val="18"/>
                <w:szCs w:val="18"/>
              </w:rPr>
              <w:t xml:space="preserve"> As public confidence in financial institutions is a cornerstone in the stability and reputation of the financial industry, it is vital that an institution satisfies itself that the service provider's security policies, procedures and controls will enable the institution to protect the confidentiality and security of customer information.</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Found at FI ¶5.6.1, worded identically.</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3.6.2</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A Bank should be proactive in identifying and specifying requirements for confidentiality and security for the outsourcing arrangement. A Bank should take the following steps to protect the confidentiality and security of customer information: (a) State the responsibilities of contracting parties in the outsourcing agreement to ensure the adequacy and effectiveness of security policies and practices, including the circumstances under which each party has the right to change security requirements. The outsourcing agreement should also address: (i) the issue of the party liable for losses in the event of a breach of security or confidentiality and the service provider's obligation to inform the Bank; and (ii) the issue of access to and disclosure of customer information by the service provider. Customer information should be used by the service provider and its staff strictly for the purpose of the contracted service; (b) Disclose customer information to the service provider only on a need-to-know basis; (c) Ensure the service provider is able to protect the confidentiality of customer information, documents, records, and assets, particularly where multi-tenancy20 arrangements are present at the service provider; and (d) Review and monitor the security practices and control processes of the service provider on a regular basis, including commissioning audits or obtaining periodic expert reports on confidentiality, security adequacy and compliance in respect of the operations of the service provider, and requiring the service provider to disclose to the Bank breaches of confidentiality in relation to customer information.</w:t>
            </w:r>
          </w:p>
          <w:p>
            <w:pPr>
              <w:spacing w:after="40" w:before="40"/>
            </w:pPr>
            <w:r>
              <w:rPr>
                <w:rFonts w:ascii="Arial" w:cs="Arial" w:eastAsia="Arial" w:hAnsi="Arial"/>
                <w:i w:val="false"/>
                <w:iCs w:val="false"/>
                <w:color w:val="595959"/>
                <w:sz w:val="14"/>
                <w:szCs w:val="14"/>
              </w:rPr>
              <w:t xml:space="preserve">20 – Multi-tenancy generally refers to a mode of operation adopted by service providers where a single computing infrastructure (e.g. servers, databases) is used to serve multiple customers (tenants).</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[¶5.6.2]</w:t>
            </w:r>
            <w:r>
              <w:rPr>
                <w:rFonts w:ascii="Arial" w:cs="Arial" w:eastAsia="Arial" w:hAnsi="Arial"/>
                <w:i w:val="false"/>
                <w:iCs w:val="false"/>
                <w:color w:val="000000"/>
                <w:sz w:val="18"/>
                <w:szCs w:val="18"/>
              </w:rPr>
              <w:t xml:space="preserve"> An institution should be proactive in identifying and specifying requirements for confidentiality and security in the outsourcing arrangement. An institution should take the following steps to protect the confidentiality and security of customer information: (a) State the responsibilities of contracting parties in the outsourcing agreement to ensure the adequacy and effectiveness of security policies and practices, including the circumstances under which each party has the right to change security requirements. The outsourcing agreement should also address: (i) the issue of the party liable for losses in the event of a breach of security or confidentiality and the service provider's obligation to inform the institution; and (ii) the issue of access to and disclosure of customer information by the service provider. Customer information should be used by the service provider and its staff strictly for the purpose of the contracted service; (b) Disclose customer information to the service provider only on a need-to-know basis; (c) Ensure the service provider is able to protect the confidentiality of customer information, documents, records, and assets, particularly where multi-tenancy15 arrangements are present at the service provider; and (d) Review and monitor the security practices and control processes of the service provider on a regular basis, including commissioning audits or obtaining periodic expert reports on confidentiality, security adequacy and compliance in respect of the operations of the service provider, and requiring the service provider to disclose to the institution breaches of confidentiality in relation to customer information.</w:t>
            </w:r>
          </w:p>
          <w:p>
            <w:pPr>
              <w:spacing w:after="40" w:before="40"/>
            </w:pPr>
            <w:r>
              <w:rPr>
                <w:rFonts w:ascii="Arial" w:cs="Arial" w:eastAsia="Arial" w:hAnsi="Arial"/>
                <w:i w:val="false"/>
                <w:iCs w:val="false"/>
                <w:color w:val="595959"/>
                <w:sz w:val="14"/>
                <w:szCs w:val="14"/>
              </w:rPr>
              <w:t xml:space="preserve">15 – Multi-tenancy generally refers to a mode of operation adopted by service providers where a single computing infrastructure (e.g. servers, databases) is used to serve multiple customers (tenants).</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Found at FI ¶5.6.2, worded identically. (Bank fn 9 additionally anchors MOORS agreement provisions to Notices ¶7.1(a)–(c); no FI equivalent.)</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3.7</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Business Continuity Management</w:t>
            </w:r>
            <w:r>
              <w:rPr>
                <w:rFonts w:ascii="Arial" w:cs="Arial" w:eastAsia="Arial" w:hAnsi="Arial"/>
                <w:i w:val="false"/>
                <w:iCs w:val="false"/>
                <w:color w:val="000000"/>
                <w:sz w:val="18"/>
                <w:szCs w:val="18"/>
              </w:rPr>
              <w:t xml:space="preserve"> *(sub-section heading — ¶¶3.7.1–3.7.4)*</w:t>
            </w:r>
          </w:p>
        </w:tc>
        <w:tc>
          <w:tcPr>
            <w:tcW w:type="dxa" w:w="5300"/>
            <w:tcMar>
              <w:top w:type="dxa" w:w="60"/>
              <w:left w:type="dxa" w:w="100"/>
              <w:bottom w:type="dxa" w:w="60"/>
              <w:right w:type="dxa" w:w="100"/>
            </w:tcMar>
            <w:vAlign w:val="top"/>
          </w:tcPr>
          <w:p>
            <w:pPr>
              <w:spacing w:after="40" w:before="40"/>
            </w:pPr>
            <w:r>
              <w:rPr>
                <w:rFonts w:ascii="Arial" w:cs="Arial" w:eastAsia="Arial" w:hAnsi="Arial"/>
                <w:i/>
                <w:iCs/>
                <w:color w:val="595959"/>
                <w:sz w:val="18"/>
                <w:szCs w:val="18"/>
              </w:rPr>
              <w:t xml:space="preserve">Corresponds to FI sub-section 5.7 (¶¶5.7.1–5.7.4).</w:t>
            </w:r>
          </w:p>
        </w:tc>
        <w:tc>
          <w:tcPr>
            <w:tcW w:type="dxa" w:w="30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None</w:t>
            </w:r>
            <w:r>
              <w:rPr>
                <w:rFonts w:ascii="Arial" w:cs="Arial" w:eastAsia="Arial" w:hAnsi="Arial"/>
                <w:i w:val="false"/>
                <w:iCs w:val="false"/>
                <w:color w:val="000000"/>
                <w:sz w:val="18"/>
                <w:szCs w:val="18"/>
              </w:rPr>
              <w:t xml:space="preserve"> (heading correspondence only).</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3.7.1</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A Bank should ensure that its business continuity is not compromised by outsourcing arrangements, in particular, the operation of its critical business services and functions as stipulated under the MAS Business Continuity Management (BCM) Guidelines and critical systems as stipulated under the MAS Notice on Technology Risk Management. A Bank should adopt the sound practices and standards contained in the BCM Guidelines, in evaluating the impact of outsourcing on its risk profile and for effective BCM.</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[¶5.7.1]</w:t>
            </w:r>
            <w:r>
              <w:rPr>
                <w:rFonts w:ascii="Arial" w:cs="Arial" w:eastAsia="Arial" w:hAnsi="Arial"/>
                <w:i w:val="false"/>
                <w:iCs w:val="false"/>
                <w:color w:val="000000"/>
                <w:sz w:val="18"/>
                <w:szCs w:val="18"/>
              </w:rPr>
              <w:t xml:space="preserve"> An institution should ensure that its business continuity is not compromised by outsourcing arrangements, in particular, the operation of its critical business services and functions as stipulated under the MAS Business Continuity Management (BCM) Guidelines and critical systems as stipulated under the MAS Notice on Technology Risk Management. An institution should adopt the sound practices and standards contained in the BCM Guidelines, in evaluating the impact of outsourcing on its risk profile and for effective BCM.</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Found at FI ¶5.7.1, worded identically.</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3.7.2</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In line with the BCM Guidelines, a Bank should take steps to evaluate and satisfy itself that the interdependency risk arising from the outsourcing arrangements can be adequately mitigated such that the Bank remains able to meet its business obligations in the event of a service disruption or failure, or unexpected termination of the outsourcing arrangement or liquidation of the service provider. These should include taking the following steps: (a) Incorporate the necessary contractual requirements and verify that the service provider has in place satisfactory business continuity plans (BCP) that are commensurate with the nature, scope and complexity of the outsourcing arrangement; (b) Proactively seek assurance on the state of BCP preparedness of the service provider. It should ensure the service provider regularly tests its BCP to ascertain that the recovery objectives can be met. The Bank should require the service provider to notify it of any test finding that may affect the service provider's performance. The Bank should also require the service provider to notify it of any substantial changes in the service provider's BCP and of any adverse development that could substantially impact the service provided to the Bank; and (c) Ensure that there are plans and procedures in place to address adverse conditions or termination of the outsourcing arrangement such that the Bank will be able to continue business operations and that all documents, records of transactions and information previously given to the service provider should be promptly removed from the possession of the service provider or deleted, destroyed or rendered unusable.</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[¶5.7.2]</w:t>
            </w:r>
            <w:r>
              <w:rPr>
                <w:rFonts w:ascii="Arial" w:cs="Arial" w:eastAsia="Arial" w:hAnsi="Arial"/>
                <w:i w:val="false"/>
                <w:iCs w:val="false"/>
                <w:color w:val="000000"/>
                <w:sz w:val="18"/>
                <w:szCs w:val="18"/>
              </w:rPr>
              <w:t xml:space="preserve"> In line with the BCM Guidelines, an institution should take steps to evaluate and satisfy itself that the interdependency risk arising from the outsourcing arrangement can be adequately mitigated such that the institution remains able to meet its business obligations in the event of a service disruption or failure, or unexpected termination of the outsourcing arrangement or liquidation of the service provider. These should include taking the following steps: (a) Incorporate the necessary contractual requirements and verify that the service provider has in place satisfactory business continuity plans (BCP) that are commensurate with the nature, scope and complexity of the outsourcing arrangement; (b) Proactively seek assurance on the state of BCP preparedness of the service provider. It should ensure the service provider regularly tests its BCP to ascertain that the recovery objectives can be met. The institution should require the service provider to notify it of any test finding that may affect the service provider's performance. The institution should also require the service provider to notify it of any substantial changes in the service provider's BCP and of any adverse development that could substantially impact the service provided to the institution; and (c) Ensure that there are plans and procedures in place to address adverse conditions or termination of the outsourcing arrangement such that the institution will be able to continue business operations and that all documents, records of transactions and information previously given to the service provider should be promptly removed from the possession of the service provider or deleted, destroyed or rendered unusable.</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Found at FI ¶5.7.2, worded identically.</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3.7.3</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A Bank should involve its service providers, where applicable, in the validation and testing of its BCPs to ensure that BCP testing is complete and meaningful, and to gain assurance on the functionality and effectiveness of its BCPs. Similarly, a Bank could take part in its service providers' business continuity and disaster recovery tests. Such tests would also serve to familiarise the Bank and the service provider with the recovery processes, as well as improve the coordination between the parties involved.</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[¶5.7.3]</w:t>
            </w:r>
            <w:r>
              <w:rPr>
                <w:rFonts w:ascii="Arial" w:cs="Arial" w:eastAsia="Arial" w:hAnsi="Arial"/>
                <w:i w:val="false"/>
                <w:iCs w:val="false"/>
                <w:color w:val="000000"/>
                <w:sz w:val="18"/>
                <w:szCs w:val="18"/>
              </w:rPr>
              <w:t xml:space="preserve"> An institution should involve its service providers, where applicable, in the validation and testing of its BCPs to ensure that BCP testing is complete and meaningful, and to gain assurance on the functionality and effectiveness of its BCPs. Similarly, an institution could take part in its service providers' business continuity and disaster recovery tests. Such tests would also serve to familiarise the institution and the service provider with the recovery processes, as well as improve the coordination between the parties involved.</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Found at FI ¶5.7.3, worded identically.</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3.7.4</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A Bank should consider worst case scenarios in developing its BCPs for its outsourcing arrangements. Some examples of these scenarios are unavailability of service provider due to unexpected termination of the outsourcing agreement, liquidation of the service provider and wide-area disruptions that result in collateral impact on both the Bank and the service provider. Where the interdependency on a Bank in the financial system is high, the Bank should maintain a higher state of business continuity preparedness. The identification of viable alternatives for resuming operations without incurring prohibitive costs is also essential to mitigate interdependency risk.</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[¶5.7.4]</w:t>
            </w:r>
            <w:r>
              <w:rPr>
                <w:rFonts w:ascii="Arial" w:cs="Arial" w:eastAsia="Arial" w:hAnsi="Arial"/>
                <w:i w:val="false"/>
                <w:iCs w:val="false"/>
                <w:color w:val="000000"/>
                <w:sz w:val="18"/>
                <w:szCs w:val="18"/>
              </w:rPr>
              <w:t xml:space="preserve"> An institution should consider worst case scenarios in developing its BCPs for its outsourcing arrangements. Some examples of these scenarios are unavailability of service provider due to unexpected termination of the outsourcing agreement, liquidation of the service provider and wide-area disruptions that result in collateral impact on both the institution and the service provider. Where the interdependency on an institution in the financial system is high, the institution should maintain a higher state of business continuity preparedness. The identification of viable alternatives for resuming operations without incurring prohibitive costs is also essential to mitigate interdependency risk.</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Found at FI ¶5.7.4, worded identically.</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3.8</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Monitoring and control of outsourcing arrangements</w:t>
            </w:r>
            <w:r>
              <w:rPr>
                <w:rFonts w:ascii="Arial" w:cs="Arial" w:eastAsia="Arial" w:hAnsi="Arial"/>
                <w:i w:val="false"/>
                <w:iCs w:val="false"/>
                <w:color w:val="000000"/>
                <w:sz w:val="18"/>
                <w:szCs w:val="18"/>
              </w:rPr>
              <w:t xml:space="preserve"> *(sub-section heading)*</w:t>
            </w:r>
          </w:p>
        </w:tc>
        <w:tc>
          <w:tcPr>
            <w:tcW w:type="dxa" w:w="5300"/>
            <w:tcMar>
              <w:top w:type="dxa" w:w="60"/>
              <w:left w:type="dxa" w:w="100"/>
              <w:bottom w:type="dxa" w:w="60"/>
              <w:right w:type="dxa" w:w="100"/>
            </w:tcMar>
            <w:vAlign w:val="top"/>
          </w:tcPr>
          <w:p>
            <w:pPr>
              <w:spacing w:after="40" w:before="40"/>
            </w:pPr>
            <w:r>
              <w:rPr>
                <w:rFonts w:ascii="Arial" w:cs="Arial" w:eastAsia="Arial" w:hAnsi="Arial"/>
                <w:i/>
                <w:iCs/>
                <w:color w:val="595959"/>
                <w:sz w:val="18"/>
                <w:szCs w:val="18"/>
              </w:rPr>
              <w:t xml:space="preserve">Corresponds to FI sub-section 5.8.</w:t>
            </w:r>
          </w:p>
        </w:tc>
        <w:tc>
          <w:tcPr>
            <w:tcW w:type="dxa" w:w="30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None</w:t>
            </w:r>
            <w:r>
              <w:rPr>
                <w:rFonts w:ascii="Arial" w:cs="Arial" w:eastAsia="Arial" w:hAnsi="Arial"/>
                <w:i w:val="false"/>
                <w:iCs w:val="false"/>
                <w:color w:val="000000"/>
                <w:sz w:val="18"/>
                <w:szCs w:val="18"/>
              </w:rPr>
              <w:t xml:space="preserve"> (heading correspondence only).</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3.8.1</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A Bank should establish a structure for the management and control of its outsourcing arrangements. Such a structure will vary depending on the nature and extent of risks in the outsourcing arrangements. As relationships and interdependencies in respect of outsourcing arrangements increase in materiality and complexity, a more rigorous risk management approach should be adopted. A Bank also has to be more proactive in its relationship with the service provider (e.g. having frequent meetings) to ensure that performance, operational, internal control and risk management standards are upheld. A Bank should ensure that outsourcing agreements with service providers contain clauses to address the Bank's monitoring and control of outsourcing arrangements.</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[¶5.8.1]</w:t>
            </w:r>
            <w:r>
              <w:rPr>
                <w:rFonts w:ascii="Arial" w:cs="Arial" w:eastAsia="Arial" w:hAnsi="Arial"/>
                <w:i w:val="false"/>
                <w:iCs w:val="false"/>
                <w:color w:val="000000"/>
                <w:sz w:val="18"/>
                <w:szCs w:val="18"/>
              </w:rPr>
              <w:t xml:space="preserve"> An institution should establish a structure for the management and control of its outsourcing arrangements. Such a structure will vary depending on the nature and extent of risks in the outsourcing arrangements. As relationships and interdependencies in respect of outsourcing arrangements increase in materiality and complexity, a more rigorous risk management approach should be adopted. An institution also has to be more proactive in its relationship with the service provider (e.g. having frequent meetings) to ensure that performance, operational, internal control and risk management standards are upheld. An institution should ensure that outsourcing agreements with service providers contain clauses to address the institution's monitoring and control of outsourcing arrangements.</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Found at FI ¶5.8.1, worded identically.</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3.8.2</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A Bank should put in place all the following measures for effective monitoring and control of any </w:t>
            </w:r>
            <w:r>
              <w:rPr>
                <w:rFonts w:ascii="Arial" w:cs="Arial" w:eastAsia="Arial" w:hAnsi="Arial"/>
                <w:i w:val="false"/>
                <w:iCs w:val="false"/>
                <w:color w:val="000000"/>
                <w:sz w:val="18"/>
                <w:szCs w:val="18"/>
                <w:highlight w:val="yellow"/>
                <w:highlightCs w:val="yellow"/>
              </w:rPr>
              <w:t xml:space="preserve">MOORS</w:t>
            </w:r>
            <w:r>
              <w:rPr>
                <w:rFonts w:ascii="Arial" w:cs="Arial" w:eastAsia="Arial" w:hAnsi="Arial"/>
                <w:i w:val="false"/>
                <w:iCs w:val="false"/>
                <w:color w:val="000000"/>
                <w:sz w:val="18"/>
                <w:szCs w:val="18"/>
              </w:rPr>
              <w:t xml:space="preserve">: (a) Maintain a register</w:t>
            </w:r>
            <w:r>
              <w:rPr>
                <w:rFonts w:ascii="Arial" w:cs="Arial" w:eastAsia="Arial" w:hAnsi="Arial"/>
                <w:i w:val="false"/>
                <w:iCs w:val="false"/>
                <w:color w:val="000000"/>
                <w:sz w:val="18"/>
                <w:szCs w:val="18"/>
                <w:highlight w:val="yellow"/>
                <w:highlightCs w:val="yellow"/>
              </w:rPr>
              <w:t xml:space="preserve">21</w:t>
            </w:r>
            <w:r>
              <w:rPr>
                <w:rFonts w:ascii="Arial" w:cs="Arial" w:eastAsia="Arial" w:hAnsi="Arial"/>
                <w:i w:val="false"/>
                <w:iCs w:val="false"/>
                <w:color w:val="000000"/>
                <w:sz w:val="18"/>
                <w:szCs w:val="18"/>
              </w:rPr>
              <w:t xml:space="preserve"> of outsourcing arrangements and ensure that the register is readily accessible for review by the board and senior management of the Bank. The register should be updated promptly and form part of the oversight and governance reviews undertaken by the board and senior management of the Bank, similar to those described in paragraph 3.1; (b) Establish multi-disciplinary outsourcing management groups with members from different risk and internal control functions including legal, compliance and finance, to ensure that all relevant technical issues and legal and regulatory requirements are met. The Bank should allocate sufficient resources, in terms of both time and skilled manpower, to the management groups to enable its staff to adequately plan and oversee the entire outsourcing lifecycle; (c) Establish outsourcing management control groups to monitor and control the outsourced relevant service on an ongoing basis. There should be policies and procedures to monitor service delivery and the confidentiality and security of customer information, for the purpose of gauging ongoing compliance with agreed service levels and the viability of the Bank's operations. Such monitoring should be regular and validated through the review of reports by auditors of the service provider or audits commissioned by the Bank; (d) Reporting policies and procedures — Reports on the monitoring and control activities of the Bank should be reviewed by its senior management22 and provided to the board for information. The Bank should ensure that monitoring metrics and performance data are not aggregated with those belonging to other customers of the service provider. The Bank should also ensure that any adverse development arising in any outsourcing arrangement is brought to the attention of the senior management of the Bank and service provider, or to the Bank's board, where warranted, on a timely basis. When an adverse development occurs, prompt actions should be taken by a Bank to review the outsourcing relationship for modification or termination of the agreement; and (e) Perform comprehensive pre- and post- implementation reviews of new outsourcing arrangements or when amendments are made to the outsourcing arrangements. If an outsourcing arrangement is materially amended, a comprehensive due diligence of the outsourcing arrangement should also be conducted.</w:t>
            </w:r>
          </w:p>
          <w:p>
            <w:pPr>
              <w:spacing w:after="40" w:before="40"/>
            </w:pPr>
            <w:r>
              <w:rPr>
                <w:rFonts w:ascii="Arial" w:cs="Arial" w:eastAsia="Arial" w:hAnsi="Arial"/>
                <w:i w:val="false"/>
                <w:iCs w:val="false"/>
                <w:color w:val="595959"/>
                <w:sz w:val="14"/>
                <w:szCs w:val="14"/>
              </w:rPr>
              <w:t xml:space="preserve">21 – Banks should submit their registers according to the template set out at this link.</w:t>
            </w:r>
          </w:p>
          <w:p>
            <w:pPr>
              <w:spacing w:after="40" w:before="40"/>
            </w:pPr>
            <w:r>
              <w:rPr>
                <w:rFonts w:ascii="Arial" w:cs="Arial" w:eastAsia="Arial" w:hAnsi="Arial"/>
                <w:i w:val="false"/>
                <w:iCs w:val="false"/>
                <w:color w:val="595959"/>
                <w:sz w:val="14"/>
                <w:szCs w:val="14"/>
              </w:rPr>
              <w:t xml:space="preserve">22 – Refer to paragraph 3.1.3.</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[¶5.8.2]</w:t>
            </w:r>
            <w:r>
              <w:rPr>
                <w:rFonts w:ascii="Arial" w:cs="Arial" w:eastAsia="Arial" w:hAnsi="Arial"/>
                <w:i w:val="false"/>
                <w:iCs w:val="false"/>
                <w:color w:val="000000"/>
                <w:sz w:val="18"/>
                <w:szCs w:val="18"/>
              </w:rPr>
              <w:t xml:space="preserve"> An institution should put in place all the following measures for effective monitoring and control of any </w:t>
            </w:r>
            <w:r>
              <w:rPr>
                <w:rFonts w:ascii="Arial" w:cs="Arial" w:eastAsia="Arial" w:hAnsi="Arial"/>
                <w:i w:val="false"/>
                <w:iCs w:val="false"/>
                <w:color w:val="000000"/>
                <w:sz w:val="18"/>
                <w:szCs w:val="18"/>
                <w:highlight w:val="yellow"/>
                <w:highlightCs w:val="yellow"/>
              </w:rPr>
              <w:t xml:space="preserve">material outsourcing arrangement</w:t>
            </w:r>
            <w:r>
              <w:rPr>
                <w:rFonts w:ascii="Arial" w:cs="Arial" w:eastAsia="Arial" w:hAnsi="Arial"/>
                <w:i w:val="false"/>
                <w:iCs w:val="false"/>
                <w:color w:val="000000"/>
                <w:sz w:val="18"/>
                <w:szCs w:val="18"/>
              </w:rPr>
              <w:t xml:space="preserve">: (a) Maintain a register of outsourcing arrangements and ensure that the register is readily accessible for review by the board and senior management of the institution. </w:t>
            </w:r>
            <w:r>
              <w:rPr>
                <w:rFonts w:ascii="Arial" w:cs="Arial" w:eastAsia="Arial" w:hAnsi="Arial"/>
                <w:i w:val="false"/>
                <w:iCs w:val="false"/>
                <w:color w:val="000000"/>
                <w:sz w:val="18"/>
                <w:szCs w:val="18"/>
                <w:highlight w:val="yellow"/>
                <w:highlightCs w:val="yellow"/>
              </w:rPr>
              <w:t xml:space="preserve">Information maintained in the register should include those set out in Annex 4.</w:t>
            </w:r>
            <w:r>
              <w:rPr>
                <w:rFonts w:ascii="Arial" w:cs="Arial" w:eastAsia="Arial" w:hAnsi="Arial"/>
                <w:i w:val="false"/>
                <w:iCs w:val="false"/>
                <w:color w:val="000000"/>
                <w:sz w:val="18"/>
                <w:szCs w:val="18"/>
              </w:rPr>
              <w:t xml:space="preserve"> The register should be updated promptly and form part of the oversight and governance reviews undertaken by the board and senior management of the institution, similar to those described in paragraph 5.2; (b) Establish multi-disciplinary outsourcing management groups with members from different risk and internal control functions including legal, compliance and finance, to ensure that all relevant technical issues and legal and regulatory requirements are met. The institution should allocate sufficient resources, in terms of both time and skilled manpower, to the management groups to enable its staff to adequately plan and oversee the entire outsourcing lifecycle; (c) Establish outsourcing management control groups to monitor and control the outsourced service on an ongoing basis. There should be policies and procedures to monitor service delivery and the confidentiality and security of customer information, for the purpose of gauging ongoing compliance with agreed service levels and the viability of the institution's operations. Such monitoring should be regular and validated through the review of reports by auditors of the service provider or audits commissioned by the institution; </w:t>
            </w:r>
            <w:r>
              <w:rPr>
                <w:rFonts w:ascii="Arial" w:cs="Arial" w:eastAsia="Arial" w:hAnsi="Arial"/>
                <w:i w:val="false"/>
                <w:iCs w:val="false"/>
                <w:color w:val="000000"/>
                <w:sz w:val="18"/>
                <w:szCs w:val="18"/>
                <w:highlight w:val="yellow"/>
                <w:highlightCs w:val="yellow"/>
              </w:rPr>
              <w:t xml:space="preserve">(d) Periodic reviews, at least on an annual basis, on all material outsourcing arrangements. This is to ensure that the institution's outsourcing risk management policies and procedures, and these Guidelines, are effectively implemented. Such reviews should ascertain the adequacy of internal risk management and management information systems established by the institution (e.g. assessing the effectiveness of processes and metrics used to evaluate the performance and security of the service provider) and highlight any deficiency in the institution's systems of control;</w:t>
            </w:r>
            <w:r>
              <w:rPr>
                <w:rFonts w:ascii="Arial" w:cs="Arial" w:eastAsia="Arial" w:hAnsi="Arial"/>
                <w:i w:val="false"/>
                <w:iCs w:val="false"/>
                <w:color w:val="000000"/>
                <w:sz w:val="18"/>
                <w:szCs w:val="18"/>
              </w:rPr>
              <w:t xml:space="preserve"> (e) Reporting policies and procedures — Reports on the monitoring and control activities of the institution should be reviewed by its senior management16 and provided to the board for information. The institution should ensure that monitoring metrics and performance data are not aggregated with those belonging to other customers of the service provider. The institution should also ensure that any adverse development arising in any outsourcing arrangement is brought to the attention of the senior management of the institution and service provider, or to the institution's board, where warranted, on a timely basis. When adverse development occurs, prompt actions should be taken by an institution to review the outsourcing relationship for modification or termination of the agreement; and (f) Perform comprehensive pre- and post- implementation reviews of new outsourcing arrangements or when amendments are made to the outsourcing arrangements. If an outsourcing arrangement is materially amended, a comprehensive due diligence of the outsourcing arrangement should also be conducted.</w:t>
            </w:r>
          </w:p>
          <w:p>
            <w:pPr>
              <w:spacing w:after="40" w:before="40"/>
            </w:pPr>
            <w:r>
              <w:rPr>
                <w:rFonts w:ascii="Arial" w:cs="Arial" w:eastAsia="Arial" w:hAnsi="Arial"/>
                <w:i w:val="false"/>
                <w:iCs w:val="false"/>
                <w:color w:val="595959"/>
                <w:sz w:val="14"/>
                <w:szCs w:val="14"/>
              </w:rPr>
              <w:t xml:space="preserve">16 – Refer to paragraph 5.2.3.</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FI ¶5.8.2 lists six measures to the Bank’s five: </w:t>
            </w:r>
            <w:r>
              <w:rPr>
                <w:rFonts w:ascii="Arial" w:cs="Arial" w:eastAsia="Arial" w:hAnsi="Arial"/>
                <w:i w:val="false"/>
                <w:iCs w:val="false"/>
                <w:color w:val="000000"/>
                <w:sz w:val="18"/>
                <w:szCs w:val="18"/>
                <w:highlight w:val="yellow"/>
                <w:highlightCs w:val="yellow"/>
              </w:rPr>
              <w:t xml:space="preserve">item (d) — periodic reviews of all material outsourcing arrangements at least annually</w:t>
            </w:r>
            <w:r>
              <w:rPr>
                <w:rFonts w:ascii="Arial" w:cs="Arial" w:eastAsia="Arial" w:hAnsi="Arial"/>
                <w:i w:val="false"/>
                <w:iCs w:val="false"/>
                <w:color w:val="000000"/>
                <w:sz w:val="18"/>
                <w:szCs w:val="18"/>
              </w:rPr>
              <w:t xml:space="preserve"> — has no Bank counterpart (banks’ periodic-review obligations arise under the Notices; cf. row 3.3.6).</w:t>
            </w:r>
          </w:p>
          <w:p>
            <w:pPr>
              <w:spacing w:after="40" w:before="40"/>
            </w:pPr>
            <w:r>
              <w:rPr>
                <w:rFonts w:ascii="Arial" w:cs="Arial" w:eastAsia="Arial" w:hAnsi="Arial"/>
                <w:i w:val="false"/>
                <w:iCs w:val="false"/>
                <w:color w:val="000000"/>
                <w:sz w:val="18"/>
                <w:szCs w:val="18"/>
              </w:rPr>
              <w:t xml:space="preserve">2.  Register mechanics differ: Bank fn 21 (template link, no frequency) vs FI Annex 4 register information with submission at least annually or upon request (¶4.1.1).</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3.9</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Audit and inspection</w:t>
            </w:r>
            <w:r>
              <w:rPr>
                <w:rFonts w:ascii="Arial" w:cs="Arial" w:eastAsia="Arial" w:hAnsi="Arial"/>
                <w:i w:val="false"/>
                <w:iCs w:val="false"/>
                <w:color w:val="000000"/>
                <w:sz w:val="18"/>
                <w:szCs w:val="18"/>
              </w:rPr>
              <w:t xml:space="preserve"> *(sub-section heading)*</w:t>
            </w:r>
          </w:p>
        </w:tc>
        <w:tc>
          <w:tcPr>
            <w:tcW w:type="dxa" w:w="5300"/>
            <w:tcMar>
              <w:top w:type="dxa" w:w="60"/>
              <w:left w:type="dxa" w:w="100"/>
              <w:bottom w:type="dxa" w:w="60"/>
              <w:right w:type="dxa" w:w="100"/>
            </w:tcMar>
            <w:vAlign w:val="top"/>
          </w:tcPr>
          <w:p>
            <w:pPr>
              <w:spacing w:after="40" w:before="40"/>
            </w:pPr>
            <w:r>
              <w:rPr>
                <w:rFonts w:ascii="Arial" w:cs="Arial" w:eastAsia="Arial" w:hAnsi="Arial"/>
                <w:i/>
                <w:iCs/>
                <w:color w:val="595959"/>
                <w:sz w:val="18"/>
                <w:szCs w:val="18"/>
              </w:rPr>
              <w:t xml:space="preserve">Corresponds to FI sub-section 5.9.</w:t>
            </w:r>
          </w:p>
        </w:tc>
        <w:tc>
          <w:tcPr>
            <w:tcW w:type="dxa" w:w="30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None</w:t>
            </w:r>
            <w:r>
              <w:rPr>
                <w:rFonts w:ascii="Arial" w:cs="Arial" w:eastAsia="Arial" w:hAnsi="Arial"/>
                <w:i w:val="false"/>
                <w:iCs w:val="false"/>
                <w:color w:val="000000"/>
                <w:sz w:val="18"/>
                <w:szCs w:val="18"/>
              </w:rPr>
              <w:t xml:space="preserve"> (heading correspondence only).</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3.9.1</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A Bank's outsourcing arrangements should not interfere with the ability of the Bank to effectively manage its business activities or impede MAS in carrying out its supervisory functions.</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[¶5.9.1]</w:t>
            </w:r>
            <w:r>
              <w:rPr>
                <w:rFonts w:ascii="Arial" w:cs="Arial" w:eastAsia="Arial" w:hAnsi="Arial"/>
                <w:i w:val="false"/>
                <w:iCs w:val="false"/>
                <w:color w:val="000000"/>
                <w:sz w:val="18"/>
                <w:szCs w:val="18"/>
              </w:rPr>
              <w:t xml:space="preserve"> An institution's outsourcing arrangements should not interfere with the ability of the institution to effectively manage its business activities or impede MAS in carrying out its supervisory functions.</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Found at FI ¶5.9.1, worded identically.</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3.9.2</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A Bank should include, in all its outsourcing agreements for MOORS, clauses that allow the Bank to conduct audits on the service provider and its sub-contractors, whether by its internal or external auditors, or by agents appointed by the Bank. The Bank should also obtain copies of any report and finding made on the service provider and its sub-contractors, whether produced by the service provider's or its sub-contractors' internal or external auditors, or by agents appointed by the service provider and its sub-contractor, in relation to the outsourcing arrangement.</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[¶5.9.2]</w:t>
            </w:r>
            <w:r>
              <w:rPr>
                <w:rFonts w:ascii="Arial" w:cs="Arial" w:eastAsia="Arial" w:hAnsi="Arial"/>
                <w:i w:val="false"/>
                <w:iCs w:val="false"/>
                <w:color w:val="000000"/>
                <w:sz w:val="18"/>
                <w:szCs w:val="18"/>
              </w:rPr>
              <w:t xml:space="preserve"> An institution should include, in all its outsourcing agreements for material outsourcing arrangements, clauses that: (a) allow the institution to conduct audits on the service provider and its sub-contractors, whether by its internal or external auditors, or by agents appointed by the institution; and to obtain copies of any report and finding made on the service provider and its sub-contractors, whether produced by the service provider's or its sub-contractors' internal or external auditors, or by agents appointed by the service provider and its sub-contractor, in relation to the outsourcing arrangement; </w:t>
            </w:r>
            <w:r>
              <w:rPr>
                <w:rFonts w:ascii="Arial" w:cs="Arial" w:eastAsia="Arial" w:hAnsi="Arial"/>
                <w:i w:val="false"/>
                <w:iCs w:val="false"/>
                <w:color w:val="000000"/>
                <w:sz w:val="18"/>
                <w:szCs w:val="18"/>
                <w:highlight w:val="yellow"/>
                <w:highlightCs w:val="yellow"/>
              </w:rPr>
              <w:t xml:space="preserve">(b) allow MAS, or any agent appointed by MAS, where necessary or expedient, to exercise the contractual rights of the institution to: (i) access and inspect the service provider and its sub-contractors, and obtain records and documents, of transactions, and information of the institution given to, stored at or processed by the service provider and its sub-contractors; and (ii) access any report and finding made on the service provider and its sub-contractors, whether produced by the service provider's and its sub-contractors' internal or external auditors, or by agents appointed by the service provider and its sub-contractors, in relation to the outsourcing arrangement.</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FI ¶5.9.2(b) — contractual clauses allowing MAS (or its agents) to exercise the institution’s access/inspection rights — is FI-only. For banks, MAS holds statutory inspection powers over service providers (s 47A(10) Banking Act, recited at Bank ¶3.4.5(f)) and Notices ¶7.1(d) prescribes the binding audit clauses, so no contractual MAS-access clause appears in the Bank Guidelines.</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[FI 5.9.3]</w:t>
            </w:r>
          </w:p>
        </w:tc>
        <w:tc>
          <w:tcPr>
            <w:tcW w:type="dxa" w:w="5300"/>
            <w:tcMar>
              <w:top w:type="dxa" w:w="60"/>
              <w:left w:type="dxa" w:w="100"/>
              <w:bottom w:type="dxa" w:w="60"/>
              <w:right w:type="dxa" w:w="100"/>
            </w:tcMar>
            <w:vAlign w:val="top"/>
          </w:tcPr>
          <w:p>
            <w:pPr>
              <w:spacing w:after="40" w:before="40"/>
            </w:pPr>
            <w:r>
              <w:rPr>
                <w:rFonts w:ascii="Arial" w:cs="Arial" w:eastAsia="Arial" w:hAnsi="Arial"/>
                <w:i/>
                <w:iCs/>
                <w:color w:val="595959"/>
                <w:sz w:val="18"/>
                <w:szCs w:val="18"/>
              </w:rPr>
              <w:t xml:space="preserve">No provision here under the Bank Guidelines (¶3.9.7 covers only the Bank's own submissions to MAS).</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[¶5.9.3]</w:t>
            </w:r>
            <w:r>
              <w:rPr>
                <w:rFonts w:ascii="Arial" w:cs="Arial" w:eastAsia="Arial" w:hAnsi="Arial"/>
                <w:i w:val="false"/>
                <w:iCs w:val="false"/>
                <w:color w:val="000000"/>
                <w:sz w:val="18"/>
                <w:szCs w:val="18"/>
              </w:rPr>
              <w:t xml:space="preserve"> </w:t>
            </w:r>
            <w:r>
              <w:rPr>
                <w:rFonts w:ascii="Arial" w:cs="Arial" w:eastAsia="Arial" w:hAnsi="Arial"/>
                <w:i w:val="false"/>
                <w:iCs w:val="false"/>
                <w:color w:val="000000"/>
                <w:sz w:val="18"/>
                <w:szCs w:val="18"/>
                <w:highlight w:val="yellow"/>
                <w:highlightCs w:val="yellow"/>
              </w:rPr>
              <w:t xml:space="preserve">Outsourcing agreements for material outsourcing arrangements should also include clauses that require the service provider to comply, as soon as possible, with any request from MAS or the institution, to the service provider or its sub-contractors, to submit any reports on the security and control environment of the service provider and its sub-contractors to MAS, in relation to the outsourcing arrangement.</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FI-only contractual clause requiring the service provider to submit security/control-environment reports to MAS on request.</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3.9.3</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A Bank should </w:t>
            </w:r>
            <w:r>
              <w:rPr>
                <w:rFonts w:ascii="Arial" w:cs="Arial" w:eastAsia="Arial" w:hAnsi="Arial"/>
                <w:i w:val="false"/>
                <w:iCs w:val="false"/>
                <w:color w:val="000000"/>
                <w:sz w:val="18"/>
                <w:szCs w:val="18"/>
                <w:highlight w:val="yellow"/>
                <w:highlightCs w:val="yellow"/>
              </w:rPr>
              <w:t xml:space="preserve">endeavour to subject</w:t>
            </w:r>
            <w:r>
              <w:rPr>
                <w:rFonts w:ascii="Arial" w:cs="Arial" w:eastAsia="Arial" w:hAnsi="Arial"/>
                <w:i w:val="false"/>
                <w:iCs w:val="false"/>
                <w:color w:val="000000"/>
                <w:sz w:val="18"/>
                <w:szCs w:val="18"/>
              </w:rPr>
              <w:t xml:space="preserve"> any sub-contractor, that a service provider (including any disaster recovery and backup service providers) may engage in the Bank's MOORS, to the audit requirements and expectations applied to the service provider. MAS will endeavour to provide the Bank reasonable notice of MAS' intent to exercise its inspection rights and share its findings with the Bank where appropriate.</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[¶5.9.4]</w:t>
            </w:r>
            <w:r>
              <w:rPr>
                <w:rFonts w:ascii="Arial" w:cs="Arial" w:eastAsia="Arial" w:hAnsi="Arial"/>
                <w:i w:val="false"/>
                <w:iCs w:val="false"/>
                <w:color w:val="000000"/>
                <w:sz w:val="18"/>
                <w:szCs w:val="18"/>
              </w:rPr>
              <w:t xml:space="preserve"> An institution should </w:t>
            </w:r>
            <w:r>
              <w:rPr>
                <w:rFonts w:ascii="Arial" w:cs="Arial" w:eastAsia="Arial" w:hAnsi="Arial"/>
                <w:i w:val="false"/>
                <w:iCs w:val="false"/>
                <w:color w:val="000000"/>
                <w:sz w:val="18"/>
                <w:szCs w:val="18"/>
                <w:highlight w:val="yellow"/>
                <w:highlightCs w:val="yellow"/>
              </w:rPr>
              <w:t xml:space="preserve">ensure that these expectations are met</w:t>
            </w:r>
            <w:r>
              <w:rPr>
                <w:rFonts w:ascii="Arial" w:cs="Arial" w:eastAsia="Arial" w:hAnsi="Arial"/>
                <w:i w:val="false"/>
                <w:iCs w:val="false"/>
                <w:color w:val="000000"/>
                <w:sz w:val="18"/>
                <w:szCs w:val="18"/>
              </w:rPr>
              <w:t xml:space="preserve"> in its outsourcing arrangements with the service provider as well as any sub-contractor that the service provider may engage in the outsourcing arrangement, including any disaster recovery and backup service providers. MAS will endeavour to provide the institution reasonable notice of MAS' intent to exercise its inspection rights and share its findings with the institution where appropriate.</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Two differences: (i) the verb — "endeavour to subject" (Bank) vs "ensure that these expectations are met" (FI), the FI formulation being stricter on its face; (ii) FI "these expectations" reaches back over both ¶5.9.2 (audit/access clauses) and ¶5.9.3 (reporting to MAS), so the FI obligation covers a broader set of expectations than the Bank’s audit-only ¶3.9.3.</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3.9.4</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A Bank should ensure that independent audits and/or expert assessments of its outsourcing arrangements are conducted. In determining the frequency of audit and expert assessment, the Bank should consider the nature and extent of risk and impact to the Bank from the outsourcing arrangements. The scope of the audits and expert assessments should include an assessment of the service providers' and its sub-contractors' security23 and control environment, incident management process (for material breaches, service disruptions or other material issues) and the Bank's observance of the expectations in these Guidelines in relation to the outsourcing arrangement.</w:t>
            </w:r>
          </w:p>
          <w:p>
            <w:pPr>
              <w:spacing w:after="40" w:before="40"/>
            </w:pPr>
            <w:r>
              <w:rPr>
                <w:rFonts w:ascii="Arial" w:cs="Arial" w:eastAsia="Arial" w:hAnsi="Arial"/>
                <w:i w:val="false"/>
                <w:iCs w:val="false"/>
                <w:color w:val="595959"/>
                <w:sz w:val="14"/>
                <w:szCs w:val="14"/>
              </w:rPr>
              <w:t xml:space="preserve">23 – The security environment refers to both the physical and IT security environments.</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[¶5.9.5]</w:t>
            </w:r>
            <w:r>
              <w:rPr>
                <w:rFonts w:ascii="Arial" w:cs="Arial" w:eastAsia="Arial" w:hAnsi="Arial"/>
                <w:i w:val="false"/>
                <w:iCs w:val="false"/>
                <w:color w:val="000000"/>
                <w:sz w:val="18"/>
                <w:szCs w:val="18"/>
              </w:rPr>
              <w:t xml:space="preserve"> An institution should ensure that independent audits and/or expert assessments of all its outsourcing arrangements are conducted. In determining the frequency of audit and expert assessment, the institution should consider the nature and extent of risk and impact to the institution from the outsourcing arrangements. The scope of the audits and expert assessments should include an assessment of the service providers' and its sub-contractors' security17 and control environment incident management process (for material breaches, service disruptions or other material issues) and the institution's observance of the expectations in these Guidelines in relation to the outsourcing arrangement.</w:t>
            </w:r>
          </w:p>
          <w:p>
            <w:pPr>
              <w:spacing w:after="40" w:before="40"/>
            </w:pPr>
            <w:r>
              <w:rPr>
                <w:rFonts w:ascii="Arial" w:cs="Arial" w:eastAsia="Arial" w:hAnsi="Arial"/>
                <w:i w:val="false"/>
                <w:iCs w:val="false"/>
                <w:color w:val="595959"/>
                <w:sz w:val="14"/>
                <w:szCs w:val="14"/>
              </w:rPr>
              <w:t xml:space="preserve">17 – The security environment refers to both the physical and IT security environments.</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Found at FI ¶5.9.5, worded identically save that the FI version says "of </w:t>
            </w:r>
            <w:r>
              <w:rPr>
                <w:rFonts w:ascii="Arial" w:cs="Arial" w:eastAsia="Arial" w:hAnsi="Arial"/>
                <w:i w:val="false"/>
                <w:iCs w:val="false"/>
                <w:color w:val="000000"/>
                <w:sz w:val="18"/>
                <w:szCs w:val="18"/>
                <w:highlight w:val="yellow"/>
                <w:highlightCs w:val="yellow"/>
              </w:rPr>
              <w:t xml:space="preserve">all</w:t>
            </w:r>
            <w:r>
              <w:rPr>
                <w:rFonts w:ascii="Arial" w:cs="Arial" w:eastAsia="Arial" w:hAnsi="Arial"/>
                <w:i w:val="false"/>
                <w:iCs w:val="false"/>
                <w:color w:val="000000"/>
                <w:sz w:val="18"/>
                <w:szCs w:val="18"/>
              </w:rPr>
              <w:t xml:space="preserve"> its outsourcing arrangements".</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3.9.5</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The independent audit and/or expert assessment on the service provider and its sub-contractors may be performed by the Bank's internal or external auditors, the service provider's external auditors24 or by agents appointed by the Bank </w:t>
            </w:r>
            <w:r>
              <w:rPr>
                <w:rFonts w:ascii="Arial" w:cs="Arial" w:eastAsia="Arial" w:hAnsi="Arial"/>
                <w:i w:val="false"/>
                <w:iCs w:val="false"/>
                <w:color w:val="000000"/>
                <w:sz w:val="18"/>
                <w:szCs w:val="18"/>
                <w:highlight w:val="yellow"/>
                <w:highlightCs w:val="yellow"/>
              </w:rPr>
              <w:t xml:space="preserve">(e.g. audits commissioned by multiple Banks using the same service provider)</w:t>
            </w:r>
            <w:r>
              <w:rPr>
                <w:rFonts w:ascii="Arial" w:cs="Arial" w:eastAsia="Arial" w:hAnsi="Arial"/>
                <w:i w:val="false"/>
                <w:iCs w:val="false"/>
                <w:color w:val="000000"/>
                <w:sz w:val="18"/>
                <w:szCs w:val="18"/>
              </w:rPr>
              <w:t xml:space="preserve">. The appointed persons should possess the requisite knowledge and skills to perform the audit, and be independent of the unit or function performing the outsourcing arrangement. Senior management should ensure that appropriate and timely remedial actions are taken to address the audit findings25. Banks and service providers should have adequate processes in place to ensure that remedial actions are satisfactorily completed. Actions taken by the service provider to address the audit findings should be appropriately validated by the Bank before closure. Where necessary, the relevant persons who possess the requisite knowledge and skills should be involved to validate the effectiveness of the security and control measures taken.</w:t>
            </w:r>
          </w:p>
          <w:p>
            <w:pPr>
              <w:spacing w:after="40" w:before="40"/>
            </w:pPr>
            <w:r>
              <w:rPr>
                <w:rFonts w:ascii="Arial" w:cs="Arial" w:eastAsia="Arial" w:hAnsi="Arial"/>
                <w:i w:val="false"/>
                <w:iCs w:val="false"/>
                <w:color w:val="595959"/>
                <w:sz w:val="14"/>
                <w:szCs w:val="14"/>
              </w:rPr>
              <w:t xml:space="preserve">24 – </w:t>
            </w:r>
            <w:r>
              <w:rPr>
                <w:rFonts w:ascii="Arial" w:cs="Arial" w:eastAsia="Arial" w:hAnsi="Arial"/>
                <w:i w:val="false"/>
                <w:iCs w:val="false"/>
                <w:color w:val="595959"/>
                <w:sz w:val="14"/>
                <w:szCs w:val="14"/>
                <w:highlight w:val="yellow"/>
                <w:highlightCs w:val="yellow"/>
              </w:rPr>
              <w:t xml:space="preserve">While audits need not be procured by banks</w:t>
            </w:r>
            <w:r>
              <w:rPr>
                <w:rFonts w:ascii="Arial" w:cs="Arial" w:eastAsia="Arial" w:hAnsi="Arial"/>
                <w:i w:val="false"/>
                <w:iCs w:val="false"/>
                <w:color w:val="595959"/>
                <w:sz w:val="14"/>
                <w:szCs w:val="14"/>
              </w:rPr>
              <w:t xml:space="preserve">, a bank should conduct its own audits to supplement the audits performed by the service provider's auditors, where necessary.</w:t>
            </w:r>
          </w:p>
          <w:p>
            <w:pPr>
              <w:spacing w:after="40" w:before="40"/>
            </w:pPr>
            <w:r>
              <w:rPr>
                <w:rFonts w:ascii="Arial" w:cs="Arial" w:eastAsia="Arial" w:hAnsi="Arial"/>
                <w:i w:val="false"/>
                <w:iCs w:val="false"/>
                <w:color w:val="595959"/>
                <w:sz w:val="14"/>
                <w:szCs w:val="14"/>
              </w:rPr>
              <w:t xml:space="preserve">25 – Please refer to paragraph 3.1 on Responsibilities of Board and Senior Management.</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[¶5.9.6]</w:t>
            </w:r>
            <w:r>
              <w:rPr>
                <w:rFonts w:ascii="Arial" w:cs="Arial" w:eastAsia="Arial" w:hAnsi="Arial"/>
                <w:i w:val="false"/>
                <w:iCs w:val="false"/>
                <w:color w:val="000000"/>
                <w:sz w:val="18"/>
                <w:szCs w:val="18"/>
              </w:rPr>
              <w:t xml:space="preserve"> The independent audit and/or expert assessment on the service provider and its sub-contractors may be performed by the institution's internal or external auditors, the service provider's external auditors18 or by agents appointed by the institution. The appointed persons should possess the requisite knowledge and skills to perform the audit, and be independent of the unit or function performing the outsourcing arrangement. Senior management should ensure that appropriate and timely remedial actions are taken to address the audit findings19. Institutions and the service providers should have adequate processes in place to ensure that remedial actions are satisfactorily completed. Actions taken by the service provider to address the audit findings should be appropriately validated by the institution before closure. Where necessary, the relevant persons who possess the requisite knowledge and skills should be involved to validate the effectiveness of the security and control measures taken.</w:t>
            </w:r>
          </w:p>
          <w:p>
            <w:pPr>
              <w:spacing w:after="40" w:before="40"/>
            </w:pPr>
            <w:r>
              <w:rPr>
                <w:rFonts w:ascii="Arial" w:cs="Arial" w:eastAsia="Arial" w:hAnsi="Arial"/>
                <w:i w:val="false"/>
                <w:iCs w:val="false"/>
                <w:color w:val="595959"/>
                <w:sz w:val="14"/>
                <w:szCs w:val="14"/>
              </w:rPr>
              <w:t xml:space="preserve">18 – An institution should conduct its own audits to supplement the audits performed by the service provider's auditors, where necessary.</w:t>
            </w:r>
          </w:p>
          <w:p>
            <w:pPr>
              <w:spacing w:after="40" w:before="40"/>
            </w:pPr>
            <w:r>
              <w:rPr>
                <w:rFonts w:ascii="Arial" w:cs="Arial" w:eastAsia="Arial" w:hAnsi="Arial"/>
                <w:i w:val="false"/>
                <w:iCs w:val="false"/>
                <w:color w:val="595959"/>
                <w:sz w:val="14"/>
                <w:szCs w:val="14"/>
              </w:rPr>
              <w:t xml:space="preserve">19 – Please refer to para 5.2 on Responsibilities of Board and Senior Management.</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Found at FI ¶5.9.6, worded identically except: (i) the pooled-audit example "(e.g. audits commissioned by multiple Banks using the same service provider)" is Bank-only; (ii) Bank fn 24 opens with the concession "While audits need not be procured by banks…" — FI fn 18 omits the concession and keeps only the supplement expectation.</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3.9.6</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Significant issues and concerns should be brought to the attention of the senior management of the Bank and service provider, or to the Bank's board, where warranted, on a timely basis. Actions should be taken by the Bank to review the outsourcing arrangement if the risk posed is no longer within the Bank's risk tolerance.</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[¶5.9.7]</w:t>
            </w:r>
            <w:r>
              <w:rPr>
                <w:rFonts w:ascii="Arial" w:cs="Arial" w:eastAsia="Arial" w:hAnsi="Arial"/>
                <w:i w:val="false"/>
                <w:iCs w:val="false"/>
                <w:color w:val="000000"/>
                <w:sz w:val="18"/>
                <w:szCs w:val="18"/>
              </w:rPr>
              <w:t xml:space="preserve"> Significant issues and concerns should be brought to the attention of the senior management of the institution and service provider, or to the institution's board, where warranted, on a timely basis. Actions should be taken by the institution to review the outsourcing arrangement if the risk posed is no longer within the institution's risk tolerance.</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Found at FI ¶5.9.7, worded identically.</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3.9.7</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Copies of audit reports should be submitted by the Bank to MAS </w:t>
            </w:r>
            <w:r>
              <w:rPr>
                <w:rFonts w:ascii="Arial" w:cs="Arial" w:eastAsia="Arial" w:hAnsi="Arial"/>
                <w:i w:val="false"/>
                <w:iCs w:val="false"/>
                <w:color w:val="000000"/>
                <w:sz w:val="18"/>
                <w:szCs w:val="18"/>
                <w:highlight w:val="yellow"/>
                <w:highlightCs w:val="yellow"/>
              </w:rPr>
              <w:t xml:space="preserve">upon request</w:t>
            </w:r>
            <w:r>
              <w:rPr>
                <w:rFonts w:ascii="Arial" w:cs="Arial" w:eastAsia="Arial" w:hAnsi="Arial"/>
                <w:i w:val="false"/>
                <w:iCs w:val="false"/>
                <w:color w:val="000000"/>
                <w:sz w:val="18"/>
                <w:szCs w:val="18"/>
              </w:rPr>
              <w:t xml:space="preserve">. A Bank should also, upon request, provide MAS with other reports or information on the Bank and service provider that is related to the outsourcing arrangement.</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[¶5.9.8]</w:t>
            </w:r>
            <w:r>
              <w:rPr>
                <w:rFonts w:ascii="Arial" w:cs="Arial" w:eastAsia="Arial" w:hAnsi="Arial"/>
                <w:i w:val="false"/>
                <w:iCs w:val="false"/>
                <w:color w:val="000000"/>
                <w:sz w:val="18"/>
                <w:szCs w:val="18"/>
              </w:rPr>
              <w:t xml:space="preserve"> Copies of audit reports should be submitted by the institution to MAS</w:t>
            </w:r>
            <w:r>
              <w:rPr>
                <w:rFonts w:ascii="Arial" w:cs="Arial" w:eastAsia="Arial" w:hAnsi="Arial"/>
                <w:i w:val="false"/>
                <w:iCs w:val="false"/>
                <w:color w:val="000000"/>
                <w:sz w:val="18"/>
                <w:szCs w:val="18"/>
                <w:highlight w:val="yellow"/>
                <w:highlightCs w:val="yellow"/>
              </w:rPr>
              <w:t xml:space="preserve">.</w:t>
            </w:r>
            <w:r>
              <w:rPr>
                <w:rFonts w:ascii="Arial" w:cs="Arial" w:eastAsia="Arial" w:hAnsi="Arial"/>
                <w:i w:val="false"/>
                <w:iCs w:val="false"/>
                <w:color w:val="000000"/>
                <w:sz w:val="18"/>
                <w:szCs w:val="18"/>
              </w:rPr>
              <w:t xml:space="preserve"> An institution should also, upon request, provide MAS with other reports or information on the institution and service provider that is related to the outsourcing arrangement.</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The FI first sentence omits "upon request" — on its face the FI expectation to submit audit reports is unconditional, while the Bank submission is on request. Both retain "upon request" for other reports and information.</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3.9.8</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highlight w:val="yellow"/>
                <w:highlightCs w:val="yellow"/>
              </w:rPr>
              <w:t xml:space="preserve">Audits and/or expert assessments performed as part of a certification process (but not self-attestations) may be relied on to meet requirements or expectations on audit</w:t>
            </w:r>
            <w:r>
              <w:rPr>
                <w:rFonts w:ascii="Arial" w:cs="Arial" w:eastAsia="Arial" w:hAnsi="Arial"/>
                <w:i w:val="false"/>
                <w:iCs w:val="false"/>
                <w:color w:val="000000"/>
                <w:sz w:val="18"/>
                <w:szCs w:val="18"/>
              </w:rPr>
              <w:t xml:space="preserve"> provided that such audit or assessments are performed by independent and competent auditors. A Bank must also satisfy itself that the audit's scope and methodology allow the Bank to determine the ability of the service provider to perform the outsourcing arrangement (e.g. design, implementation and effectiveness of controls) and the adequacy of the service provider's risk management framework and capabilities. Audit reports must fulfil requirements set out in the Notices. </w:t>
            </w:r>
            <w:r>
              <w:rPr>
                <w:rFonts w:ascii="Arial" w:cs="Arial" w:eastAsia="Arial" w:hAnsi="Arial"/>
                <w:i w:val="false"/>
                <w:iCs w:val="false"/>
                <w:color w:val="000000"/>
                <w:sz w:val="18"/>
                <w:szCs w:val="18"/>
                <w:highlight w:val="yellow"/>
                <w:highlightCs w:val="yellow"/>
              </w:rPr>
              <w:t xml:space="preserve">Banks may also rely on pooled audits or third-party certification (of their service providers) performed by independent parties.</w:t>
            </w:r>
          </w:p>
        </w:tc>
        <w:tc>
          <w:tcPr>
            <w:tcW w:type="dxa" w:w="5300"/>
            <w:tcMar>
              <w:top w:type="dxa" w:w="60"/>
              <w:left w:type="dxa" w:w="100"/>
              <w:bottom w:type="dxa" w:w="60"/>
              <w:right w:type="dxa" w:w="100"/>
            </w:tcMar>
            <w:vAlign w:val="top"/>
          </w:tcPr>
          <w:p>
            <w:pPr>
              <w:spacing w:after="40" w:before="40"/>
            </w:pPr>
            <w:r>
              <w:rPr>
                <w:rFonts w:ascii="Arial" w:cs="Arial" w:eastAsia="Arial" w:hAnsi="Arial"/>
                <w:i/>
                <w:iCs/>
                <w:color w:val="595959"/>
                <w:sz w:val="18"/>
                <w:szCs w:val="18"/>
              </w:rPr>
              <w:t xml:space="preserve">No provision here under FI Guidelines.</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Bank-only. The FI Guidelines contain no certification-reliance or pooled-audit provision.</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3.10</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Outsourcing outside Singapore</w:t>
            </w:r>
            <w:r>
              <w:rPr>
                <w:rFonts w:ascii="Arial" w:cs="Arial" w:eastAsia="Arial" w:hAnsi="Arial"/>
                <w:i w:val="false"/>
                <w:iCs w:val="false"/>
                <w:color w:val="000000"/>
                <w:sz w:val="18"/>
                <w:szCs w:val="18"/>
              </w:rPr>
              <w:t xml:space="preserve"> *(sub-section heading)*</w:t>
            </w:r>
          </w:p>
        </w:tc>
        <w:tc>
          <w:tcPr>
            <w:tcW w:type="dxa" w:w="5300"/>
            <w:tcMar>
              <w:top w:type="dxa" w:w="60"/>
              <w:left w:type="dxa" w:w="100"/>
              <w:bottom w:type="dxa" w:w="60"/>
              <w:right w:type="dxa" w:w="100"/>
            </w:tcMar>
            <w:vAlign w:val="top"/>
          </w:tcPr>
          <w:p>
            <w:pPr>
              <w:spacing w:after="40" w:before="40"/>
            </w:pPr>
            <w:r>
              <w:rPr>
                <w:rFonts w:ascii="Arial" w:cs="Arial" w:eastAsia="Arial" w:hAnsi="Arial"/>
                <w:i/>
                <w:iCs/>
                <w:color w:val="595959"/>
                <w:sz w:val="18"/>
                <w:szCs w:val="18"/>
              </w:rPr>
              <w:t xml:space="preserve">Corresponds to FI sub-section 5.10.</w:t>
            </w:r>
          </w:p>
        </w:tc>
        <w:tc>
          <w:tcPr>
            <w:tcW w:type="dxa" w:w="30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None</w:t>
            </w:r>
            <w:r>
              <w:rPr>
                <w:rFonts w:ascii="Arial" w:cs="Arial" w:eastAsia="Arial" w:hAnsi="Arial"/>
                <w:i w:val="false"/>
                <w:iCs w:val="false"/>
                <w:color w:val="000000"/>
                <w:sz w:val="18"/>
                <w:szCs w:val="18"/>
              </w:rPr>
              <w:t xml:space="preserve"> (heading correspondence only).</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3.10.1</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The engagement of a service provider in a foreign country, or an outsourcing arrangement whereby the outsourced function is performed in a foreign country may expose a Bank to country risk - economic, social and political conditions and events in a foreign country that may adversely affect the Bank. Such conditions and events could prevent the service provider from carrying out the terms of its agreement with the Bank. In its risk management of such outsourcing arrangements, a Bank should take into account, as part of its due diligence, and on a continuous basis: (a) government policies; (b) political, social, economic conditions; (c) legal and regulatory developments in the foreign country; and (d) the Bank's ability to effectively monitor the service provider, and execute its business continuity management plans and exit strategy. A Bank should also be aware of the disaster recovery arrangements and locations established by the service provider in relation to the outsourcing arrangement. As information and data could be moved to primary or backup sites located in foreign countries, the risks associated with the medium of transport, be it physical or electronic, should also be considered.</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[¶5.10.1]</w:t>
            </w:r>
            <w:r>
              <w:rPr>
                <w:rFonts w:ascii="Arial" w:cs="Arial" w:eastAsia="Arial" w:hAnsi="Arial"/>
                <w:i w:val="false"/>
                <w:iCs w:val="false"/>
                <w:color w:val="000000"/>
                <w:sz w:val="18"/>
                <w:szCs w:val="18"/>
              </w:rPr>
              <w:t xml:space="preserve"> The engagement of a service provider in a foreign country, or an outsourcing arrangement whereby the outsourced function is performed in a foreign country, may expose an institution to country risk - economic, social and political conditions and events in a foreign country that may adversely affect the institution. Such conditions and events could prevent the service provider from carrying out the terms of its agreement with the institution. In its risk management of such outsourcing arrangements, an institution should take into account, as part of its due diligence, and on a continuous basis: (a) government policies; (b) political, social, economic conditions; (c) legal and regulatory developments in the foreign country; and (d) the institution's ability to effectively monitor the service provider, and execute its business continuity management plans and exit strategy. An institution should also be aware of the disaster recovery arrangements and locations established by the service provider in relation to the outsourcing arrangement. As information and data could be moved to primary or backup sites located in foreign countries, the risks associated with the medium of transport, be it physical or electronic, should also be considered.</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Found at FI ¶5.10.1, worded identically.</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3.10.2</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MOORS with service providers located outside Singapore should be conducted in a manner so as not to hinder MAS' efforts to supervise the Singapore business activities of the Bank (i.e. from its books, accounts and documents) in a timely manner, in particular: (a) A Bank should, in principle, enter into outsourcing arrangements only with service providers operating in jurisdictions that generally uphold confidentiality clauses and agreements. (b) A Bank should not enter into outsourcing arrangements with service providers in jurisdictions where prompt access to information by MAS or agents appointed by MAS to act on its behalf, at the service provider, may be impeded by legal or administrative restrictions. A Bank must at least commit to retrieve information readily from the service provider should MAS request for such information.</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[¶5.10.2]</w:t>
            </w:r>
            <w:r>
              <w:rPr>
                <w:rFonts w:ascii="Arial" w:cs="Arial" w:eastAsia="Arial" w:hAnsi="Arial"/>
                <w:i w:val="false"/>
                <w:iCs w:val="false"/>
                <w:color w:val="000000"/>
                <w:sz w:val="18"/>
                <w:szCs w:val="18"/>
              </w:rPr>
              <w:t xml:space="preserve"> Material outsourcing arrangements with service providers located outside Singapore should be conducted in a manner so as not to hinder MAS' efforts to supervise the Singapore business activities of the institution (i.e., from its books, accounts and documents) in a timely manner, in particular: (a) An institution should, in principle, enter into outsourcing arrangements only with service providers operating in jurisdictions that generally uphold confidentiality clauses and agreements. (b) An institution should not enter into outsourcing arrangements with service providers in jurisdictions where prompt access to information by MAS or agents appointed by MAS to act on its behalf, at the service provider, may be impeded by legal or administrative restrictions. An institution must at least commit to retrieve information readily from the service provider should MAS request for such information. </w:t>
            </w:r>
            <w:r>
              <w:rPr>
                <w:rFonts w:ascii="Arial" w:cs="Arial" w:eastAsia="Arial" w:hAnsi="Arial"/>
                <w:i w:val="false"/>
                <w:iCs w:val="false"/>
                <w:color w:val="000000"/>
                <w:sz w:val="18"/>
                <w:szCs w:val="18"/>
                <w:highlight w:val="yellow"/>
                <w:highlightCs w:val="yellow"/>
              </w:rPr>
              <w:t xml:space="preserve">The institution should confirm in writing to MAS, that the institution has provided, in its outsourcing agreements, for MAS to have the rights of inspecting the service provider, as well as the rights of access to the institution and service provider's information, reports and findings related to the outsourcing arrangement, as set out in paragraph 5.9.</w:t>
            </w:r>
            <w:r>
              <w:rPr>
                <w:rFonts w:ascii="Arial" w:cs="Arial" w:eastAsia="Arial" w:hAnsi="Arial"/>
                <w:i w:val="false"/>
                <w:iCs w:val="false"/>
                <w:color w:val="000000"/>
                <w:sz w:val="18"/>
                <w:szCs w:val="18"/>
              </w:rPr>
              <w:t xml:space="preserve"> </w:t>
            </w:r>
            <w:r>
              <w:rPr>
                <w:rFonts w:ascii="Arial" w:cs="Arial" w:eastAsia="Arial" w:hAnsi="Arial"/>
                <w:i w:val="false"/>
                <w:iCs w:val="false"/>
                <w:color w:val="000000"/>
                <w:sz w:val="18"/>
                <w:szCs w:val="18"/>
                <w:highlight w:val="yellow"/>
                <w:highlightCs w:val="yellow"/>
              </w:rPr>
              <w:t xml:space="preserve">(c) An institution should notify MAS if any overseas authority were to seek access to its customer information or if a situation were to arise where the rights of access of the institution and MAS set out in paragraph 5.9, have been restricted or denied.</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Two FI-only additions: (i) the written confirmation to MAS that the agreements provide MAS the ¶5.9 inspection and access rights; (ii) item (c) — notification to MAS of overseas-authority access requests, or of restriction/denial of the institution’s and MAS’ access rights. Neither appears in the Bank Guidelines.</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3.11</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Outsourcing within a Group</w:t>
            </w:r>
            <w:r>
              <w:rPr>
                <w:rFonts w:ascii="Arial" w:cs="Arial" w:eastAsia="Arial" w:hAnsi="Arial"/>
                <w:i w:val="false"/>
                <w:iCs w:val="false"/>
                <w:color w:val="000000"/>
                <w:sz w:val="18"/>
                <w:szCs w:val="18"/>
              </w:rPr>
              <w:t xml:space="preserve"> *(sub-section heading)*</w:t>
            </w:r>
          </w:p>
        </w:tc>
        <w:tc>
          <w:tcPr>
            <w:tcW w:type="dxa" w:w="5300"/>
            <w:tcMar>
              <w:top w:type="dxa" w:w="60"/>
              <w:left w:type="dxa" w:w="100"/>
              <w:bottom w:type="dxa" w:w="60"/>
              <w:right w:type="dxa" w:w="100"/>
            </w:tcMar>
            <w:vAlign w:val="top"/>
          </w:tcPr>
          <w:p>
            <w:pPr>
              <w:spacing w:after="40" w:before="40"/>
            </w:pPr>
            <w:r>
              <w:rPr>
                <w:rFonts w:ascii="Arial" w:cs="Arial" w:eastAsia="Arial" w:hAnsi="Arial"/>
                <w:i/>
                <w:iCs/>
                <w:color w:val="595959"/>
                <w:sz w:val="18"/>
                <w:szCs w:val="18"/>
              </w:rPr>
              <w:t xml:space="preserve">Corresponds to FI sub-section 5.11.</w:t>
            </w:r>
          </w:p>
        </w:tc>
        <w:tc>
          <w:tcPr>
            <w:tcW w:type="dxa" w:w="30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None</w:t>
            </w:r>
            <w:r>
              <w:rPr>
                <w:rFonts w:ascii="Arial" w:cs="Arial" w:eastAsia="Arial" w:hAnsi="Arial"/>
                <w:i w:val="false"/>
                <w:iCs w:val="false"/>
                <w:color w:val="000000"/>
                <w:sz w:val="18"/>
                <w:szCs w:val="18"/>
              </w:rPr>
              <w:t xml:space="preserve"> (heading correspondence only).</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3.11.1</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These Guidelines are applicable to outsourcing arrangements with parties within a Bank's group, </w:t>
            </w:r>
            <w:r>
              <w:rPr>
                <w:rFonts w:ascii="Arial" w:cs="Arial" w:eastAsia="Arial" w:hAnsi="Arial"/>
                <w:i w:val="false"/>
                <w:iCs w:val="false"/>
                <w:color w:val="000000"/>
                <w:sz w:val="18"/>
                <w:szCs w:val="18"/>
                <w:highlight w:val="yellow"/>
                <w:highlightCs w:val="yellow"/>
              </w:rPr>
              <w:t xml:space="preserve">including subsidiaries of Singapore-incorporated banks</w:t>
            </w:r>
            <w:r>
              <w:rPr>
                <w:rFonts w:ascii="Arial" w:cs="Arial" w:eastAsia="Arial" w:hAnsi="Arial"/>
                <w:i w:val="false"/>
                <w:iCs w:val="false"/>
                <w:color w:val="000000"/>
                <w:sz w:val="18"/>
                <w:szCs w:val="18"/>
              </w:rPr>
              <w:t xml:space="preserve">. The expectations may be addressed within group-wide risk management policies and procedure. The Bank would be expected to provide, when requested, information demonstrating the structure and processes by which its board and senior management discharge their role in the oversight and management of outsourcing risks on a group-wide basis. For a Bank incorporated or established outside Singapore, the roles and responsibilities of the local management are set out in paragraph 3.1.5.</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[¶5.11.1]</w:t>
            </w:r>
            <w:r>
              <w:rPr>
                <w:rFonts w:ascii="Arial" w:cs="Arial" w:eastAsia="Arial" w:hAnsi="Arial"/>
                <w:i w:val="false"/>
                <w:iCs w:val="false"/>
                <w:color w:val="000000"/>
                <w:sz w:val="18"/>
                <w:szCs w:val="18"/>
              </w:rPr>
              <w:t xml:space="preserve"> These Guidelines are applicable to outsourcing arrangements with parties within an institution's group. The expectations may be addressed within group-wide risk management policies and procedures. The institution would be expected to provide, when requested, information demonstrating the structure and processes by which its board and senior management discharge their role in the oversight and management of outsourcing risks on a group-wide basis. For an institution incorporated or established outside Singapore, the roles and responsibilities of the local management are set out in paragraph 5.2.5.</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Found at FI ¶5.11.1, worded identically except the Bank phrase "including subsidiaries of Singapore-incorporated banks" (the FI equivalent group-observance duty is at FI ¶2.3; "service provider" is also defined in FI §3 to include group entities).</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3.11.2</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Due diligence on an intra-group service provider may take the form of evaluating qualitative aspects of the service provider's ability to address risks specific to the Bank, particularly those relating to business continuity management, monitoring and control, audit and inspection, including confirmation on the right of access to be provided to MAS, to retain effective supervision over the Bank, and compliance with local regulatory standards. The respective roles and responsibilities of each office in the outsourcing arrangement should be documented in writing in a service level agreement or an equivalent document.</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[¶5.11.2]</w:t>
            </w:r>
            <w:r>
              <w:rPr>
                <w:rFonts w:ascii="Arial" w:cs="Arial" w:eastAsia="Arial" w:hAnsi="Arial"/>
                <w:i w:val="false"/>
                <w:iCs w:val="false"/>
                <w:color w:val="000000"/>
                <w:sz w:val="18"/>
                <w:szCs w:val="18"/>
              </w:rPr>
              <w:t xml:space="preserve"> Due diligence on an intra-group service provider may take the form of evaluating qualitative aspects of the service provider's ability to address risks specific to the institution, particularly those relating to business continuity management, monitoring and control, audit and inspection, including confirmation on the right of access to be provided to MAS, to retain effective supervision over the institution, and compliance with local regulatory standards. The respective roles and responsibilities of each office in the outsourcing arrangement should be documented in writing in a service level agreement or an equivalent document.</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Found at FI ¶5.11.2, worded identically.</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3.12</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Outsourcing of Internal Audit to External Auditors</w:t>
            </w:r>
            <w:r>
              <w:rPr>
                <w:rFonts w:ascii="Arial" w:cs="Arial" w:eastAsia="Arial" w:hAnsi="Arial"/>
                <w:i w:val="false"/>
                <w:iCs w:val="false"/>
                <w:color w:val="000000"/>
                <w:sz w:val="18"/>
                <w:szCs w:val="18"/>
              </w:rPr>
              <w:t xml:space="preserve"> *(sub-section heading)*</w:t>
            </w:r>
          </w:p>
        </w:tc>
        <w:tc>
          <w:tcPr>
            <w:tcW w:type="dxa" w:w="5300"/>
            <w:tcMar>
              <w:top w:type="dxa" w:w="60"/>
              <w:left w:type="dxa" w:w="100"/>
              <w:bottom w:type="dxa" w:w="60"/>
              <w:right w:type="dxa" w:w="100"/>
            </w:tcMar>
            <w:vAlign w:val="top"/>
          </w:tcPr>
          <w:p>
            <w:pPr>
              <w:spacing w:after="40" w:before="40"/>
            </w:pPr>
            <w:r>
              <w:rPr>
                <w:rFonts w:ascii="Arial" w:cs="Arial" w:eastAsia="Arial" w:hAnsi="Arial"/>
                <w:i/>
                <w:iCs/>
                <w:color w:val="595959"/>
                <w:sz w:val="18"/>
                <w:szCs w:val="18"/>
              </w:rPr>
              <w:t xml:space="preserve">Corresponds to FI sub-section 5.12.</w:t>
            </w:r>
          </w:p>
        </w:tc>
        <w:tc>
          <w:tcPr>
            <w:tcW w:type="dxa" w:w="30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None</w:t>
            </w:r>
            <w:r>
              <w:rPr>
                <w:rFonts w:ascii="Arial" w:cs="Arial" w:eastAsia="Arial" w:hAnsi="Arial"/>
                <w:i w:val="false"/>
                <w:iCs w:val="false"/>
                <w:color w:val="000000"/>
                <w:sz w:val="18"/>
                <w:szCs w:val="18"/>
              </w:rPr>
              <w:t xml:space="preserve"> (heading correspondence only).</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3.12.1</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Where the outsourced service is the internal audit function of a Bank, there are additional issues that a Bank should deliberate upon. One of these is the lack of independence or the appearance of impaired independence, when a service provider is handling multiple engagements for a Bank, such as internal and external audits, and consulting work. There is doubt that the service provider, in its internal audit role, would criticise itself for the quality of the external audit or consultancy services provided to the Bank. In addition, as operations of a Bank could be complex and involve large transaction volumes and amounts, it should ensure service providers have the expertise to adequately complete the engagement. A Bank should address these and other relevant issues before outsourcing the internal audit function. In addition, as a sound practice, a Bank should not outsource its internal audit function to the Bank's external audit firm26.</w:t>
            </w:r>
          </w:p>
          <w:p>
            <w:pPr>
              <w:spacing w:after="40" w:before="40"/>
            </w:pPr>
            <w:r>
              <w:rPr>
                <w:rFonts w:ascii="Arial" w:cs="Arial" w:eastAsia="Arial" w:hAnsi="Arial"/>
                <w:i w:val="false"/>
                <w:iCs w:val="false"/>
                <w:color w:val="595959"/>
                <w:sz w:val="14"/>
                <w:szCs w:val="14"/>
              </w:rPr>
              <w:t xml:space="preserve">26 – Any departure from this best practice should remain within the bounds of the applicable ethical standards for the statutory or external auditor.</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[¶5.12.1]</w:t>
            </w:r>
            <w:r>
              <w:rPr>
                <w:rFonts w:ascii="Arial" w:cs="Arial" w:eastAsia="Arial" w:hAnsi="Arial"/>
                <w:i w:val="false"/>
                <w:iCs w:val="false"/>
                <w:color w:val="000000"/>
                <w:sz w:val="18"/>
                <w:szCs w:val="18"/>
              </w:rPr>
              <w:t xml:space="preserve"> Where the outsourced service is the internal audit function of an institution, there are additional issues that an institution should deliberate upon. One of these is the lack of independence or the appearance of impaired independence, when a service provider is handling multiple engagements for an institution, such as internal and external audits, and consulting work. There is doubt that the service provider, in its internal audit role, would criticise itself for the quality of the external audit or consultancy services provided to the institution. In addition, as operations of an institution could be complex and involve large transaction volumes and amounts, it should ensure service providers have the expertise to adequately complete the engagement. An institution should address these and other relevant issues before outsourcing the internal audit function. In addition, as a sound practice, institutions should not outsource their internal audit function to the institution's external audit firm20.</w:t>
            </w:r>
          </w:p>
          <w:p>
            <w:pPr>
              <w:spacing w:after="40" w:before="40"/>
            </w:pPr>
            <w:r>
              <w:rPr>
                <w:rFonts w:ascii="Arial" w:cs="Arial" w:eastAsia="Arial" w:hAnsi="Arial"/>
                <w:i w:val="false"/>
                <w:iCs w:val="false"/>
                <w:color w:val="595959"/>
                <w:sz w:val="14"/>
                <w:szCs w:val="14"/>
              </w:rPr>
              <w:t xml:space="preserve">20 – Any departure from this best practice should be </w:t>
            </w:r>
            <w:r>
              <w:rPr>
                <w:rFonts w:ascii="Arial" w:cs="Arial" w:eastAsia="Arial" w:hAnsi="Arial"/>
                <w:i w:val="false"/>
                <w:iCs w:val="false"/>
                <w:color w:val="595959"/>
                <w:sz w:val="14"/>
                <w:szCs w:val="14"/>
                <w:highlight w:val="yellow"/>
                <w:highlightCs w:val="yellow"/>
              </w:rPr>
              <w:t xml:space="preserve">limited to small institutions</w:t>
            </w:r>
            <w:r>
              <w:rPr>
                <w:rFonts w:ascii="Arial" w:cs="Arial" w:eastAsia="Arial" w:hAnsi="Arial"/>
                <w:i w:val="false"/>
                <w:iCs w:val="false"/>
                <w:color w:val="595959"/>
                <w:sz w:val="14"/>
                <w:szCs w:val="14"/>
              </w:rPr>
              <w:t xml:space="preserve"> and should remain within the bounds of the applicable ethical standards for the statutory or external auditor.</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Body identical (FI ¶5.12.1). The departure footnote differs: FI fn 20 confines departures from the no-own-external-auditor practice to small institutions; Bank fn 26 has no size limitation — on its face the Bank formulation is the more permissive, the FI the stricter.</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3.12.2</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Before outsourcing the internal audit function to external auditors, a Bank should satisfy itself that the external auditor would be in compliance with the relevant auditor independence standards of the Singapore accounting profession.</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[¶5.12.2]</w:t>
            </w:r>
            <w:r>
              <w:rPr>
                <w:rFonts w:ascii="Arial" w:cs="Arial" w:eastAsia="Arial" w:hAnsi="Arial"/>
                <w:i w:val="false"/>
                <w:iCs w:val="false"/>
                <w:color w:val="000000"/>
                <w:sz w:val="18"/>
                <w:szCs w:val="18"/>
              </w:rPr>
              <w:t xml:space="preserve"> Before outsourcing the internal audit function to external auditors, an institution should satisfy itself that the external auditor would be in compliance with the relevant auditor independence standards of the Singapore accounting profession.</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Found at FI ¶5.12.2, worded identically.</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3.12.3</w:t>
            </w:r>
          </w:p>
        </w:tc>
        <w:tc>
          <w:tcPr>
            <w:tcW w:type="dxa" w:w="53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A Bank should conduct periodic assessments to satisfy itself of the continuing ability of the service provider to perform the internal audit function satisfactorily. These may include assessments that are in line with the Quality Assurance and Improvement Program as per the International Standards for the Professional Practice of Internal Auditing.</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[¶5.12.3]</w:t>
            </w:r>
            <w:r>
              <w:rPr>
                <w:rFonts w:ascii="Arial" w:cs="Arial" w:eastAsia="Arial" w:hAnsi="Arial"/>
                <w:i w:val="false"/>
                <w:iCs w:val="false"/>
                <w:color w:val="000000"/>
                <w:sz w:val="18"/>
                <w:szCs w:val="18"/>
              </w:rPr>
              <w:t xml:space="preserve"> An institution should conduct periodic assessments to satisfy itself of the continuing ability of the service provider to perform the internal audit function satisfactorily. These may include assessments that are in line with the Quality Assurance and Improvement Program as per the International Standards for the Professional Practice of Internal Auditing.</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Found at FI ¶5.12.3, worded identically.</w:t>
            </w:r>
          </w:p>
        </w:tc>
      </w:tr>
      <w:tr>
        <w:tc>
          <w:tcPr>
            <w:tcW w:type="dxa" w:w="800"/>
            <w:shd w:fill="D9D9D9" w:val="clear"/>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Annexes</w:t>
            </w:r>
          </w:p>
        </w:tc>
        <w:tc>
          <w:tcPr>
            <w:tcW w:type="dxa" w:w="5300"/>
            <w:shd w:fill="D9D9D9" w:val="clear"/>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Annexes 1–3</w:t>
            </w:r>
          </w:p>
        </w:tc>
        <w:tc>
          <w:tcPr>
            <w:tcW w:type="dxa" w:w="5300"/>
            <w:shd w:fill="D9D9D9" w:val="clear"/>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Annexes 1–5</w:t>
            </w:r>
          </w:p>
        </w:tc>
        <w:tc>
          <w:tcPr>
            <w:tcW w:type="dxa" w:w="3000"/>
            <w:shd w:fill="D9D9D9" w:val="clear"/>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Mapping: Bank Annex 1 (Material Outsourcing) = FI Annex 3; Bank Annex 2 (Cloud Computing) = FI Annex 5; Bank Annex 3 (Applicability chart) is Bank-only; FI Annexes 1 (Exempted Services), 2 (Examples) and 4 (Register) are FI-only.</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Annex 1</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Material Outsourcing.</w:t>
            </w:r>
            <w:r>
              <w:rPr>
                <w:rFonts w:ascii="Arial" w:cs="Arial" w:eastAsia="Arial" w:hAnsi="Arial"/>
                <w:i w:val="false"/>
                <w:iCs w:val="false"/>
                <w:color w:val="000000"/>
                <w:sz w:val="18"/>
                <w:szCs w:val="18"/>
              </w:rPr>
              <w:t xml:space="preserve"> 1. A Bank should assess the materiality in an outsourcing arrangement. In assessing materiality, MAS recognises that qualitative judgment is involved and the circumstances faced by Banks may vary. Factors that a Bank should consider include: (a) importance of the business activity to be outsourced (e.g. in terms of contribution to income and profit); (b) potential impact of the outsourcing on earnings, solvency, liquidity, funding and capital, and risk profile; (c) impact on the Bank's reputation and brand value, and ability to achieve its business objectives, strategy and plans, should the service provider fail to perform the service or encounter a breach of confidentiality or security (e.g. compromise of customer information); (d) impact on the Bank's customers, should the service provider fail to perform the service or encounter a breach of confidentiality or security; (e) impact on the Bank's counterparties and the Singapore financial market, should the service provider fail to perform the service; (f) cost of the outsourcing as a proportion of total operating costs of the Bank; (g) cost of outsourcing failure, which will require the Bank to bring the outsourced activity in-house or seek similar service from another service provider, as a proportion of total operating costs of the Bank; (h) aggregate exposure to a particular service provider in cases where the Bank outsources various functions to the same service provider; and (i) ability to maintain appropriate internal controls and meet regulatory requirements, if the service provider faces operational problems. 2. Outsourcing of all or substantially all of its risk management or internal control functions, including compliance, internal audit, financial accounting and actuarial (other than performing certification activities) is to be considered a material outsourcing arrangement. 3. A Bank should undertake periodic reviews of its outsourcing arrangements to identify new outsourcing risks as they arise. An outsourcing arrangement that was previously not material may subsequently become material from incremental services outsourced to the same service provider or an increase in volume or change in nature of the service outsourced to the service provider. Outsourcing risks may also increase when the service provider sub-contracts the service or makes significant changes to its sub-contracting arrangements. 4. A Bank should consider materiality at both the Bank's level and as a group, i.e. together with the Bank's branches and corporations under its control.</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[Annex 1 – Exempted Outsourced Services]</w:t>
            </w:r>
            <w:r>
              <w:rPr>
                <w:rFonts w:ascii="Arial" w:cs="Arial" w:eastAsia="Arial" w:hAnsi="Arial"/>
                <w:i w:val="false"/>
                <w:iCs w:val="false"/>
                <w:color w:val="000000"/>
                <w:sz w:val="18"/>
                <w:szCs w:val="18"/>
              </w:rPr>
              <w:t xml:space="preserve"> </w:t>
            </w:r>
            <w:r>
              <w:rPr>
                <w:rFonts w:ascii="Arial" w:cs="Arial" w:eastAsia="Arial" w:hAnsi="Arial"/>
                <w:i w:val="false"/>
                <w:iCs w:val="false"/>
                <w:color w:val="000000"/>
                <w:sz w:val="18"/>
                <w:szCs w:val="18"/>
                <w:highlight w:val="yellow"/>
                <w:highlightCs w:val="yellow"/>
              </w:rPr>
              <w:t xml:space="preserve">1. Services wholly provided by Government Technology Agency (GovTech) or agents appointed by GovTech. The full list of services can be found at https://api.singpass.gov.sg/singpass-api-products. 2. Services that are not for the conduct of any financial business of the institution and where the service provider does not receive, handle or have access to the institution's confidential information or customer information. Examples of such services include cleaning, gardening and pantry services including the maintenance of vending machines.</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Bank Annex 1 is found at FI Annex 3, worded identically (institution for Bank).</w:t>
            </w:r>
          </w:p>
          <w:p>
            <w:pPr>
              <w:spacing w:after="40" w:before="40"/>
            </w:pPr>
            <w:r>
              <w:rPr>
                <w:rFonts w:ascii="Arial" w:cs="Arial" w:eastAsia="Arial" w:hAnsi="Arial"/>
                <w:i w:val="false"/>
                <w:iCs w:val="false"/>
                <w:color w:val="000000"/>
                <w:sz w:val="18"/>
                <w:szCs w:val="18"/>
              </w:rPr>
              <w:t xml:space="preserve">2.  FI Annex 1 (exempted services) has no Bank-Guidelines counterpart — the Bank exemption list is Annex D of the Notices.</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Annex 2</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Cloud Computing.</w:t>
            </w:r>
            <w:r>
              <w:rPr>
                <w:rFonts w:ascii="Arial" w:cs="Arial" w:eastAsia="Arial" w:hAnsi="Arial"/>
                <w:i w:val="false"/>
                <w:iCs w:val="false"/>
                <w:color w:val="000000"/>
                <w:sz w:val="18"/>
                <w:szCs w:val="18"/>
              </w:rPr>
              <w:t xml:space="preserve"> 1. Cloud services (CS) are a combination of a business and delivery model that enable on-demand access to a shared pool of resources such as applications, servers, storage and network security. The service is typically delivered in the form of Software as a Service (SaaS), Platform as a Service (PaaS) and Infrastructure as a Service (IaaS). 2. CS can potentially offer a number of advantages, which include economies of scale, cost-savings, access to quality system administration as well as operations that adhere to uniform security standards and best practices. CS may also be used to provide the flexibility and agility for Banks to scale up or pare down on computing resources quickly as usage requirements change, without major hardware and software outlay as well as lead-time. In addition, the distributed nature of CS may enhance system resilience during location-specific disasters or disruptions. 3. It has been noted that more and more Banks are adopting CS to fulfil their business and operational requirements. These CS deployments may be operated in-house or off-premises by service providers. While the latter can take the form of a private27 or public28 cloud, there is a growing trend for Banks to adopt a combination of private and public clouds to create a hybrid cloud. The different cloud models provide for distinct operational and security trade-offs. 4. In the recent years, cloud technology has evolved and matured considerably and CS providers have become aware of the technology and security requirements of Banks to protect sensitive customer data. In this regard, a number of CS providers have implemented strong authentication, access controls, tokenisation techniques and data encryption to bolster security to meet Banks' requirements. 5. MAS considers CS operated by service providers as a form of outsourcing and recognises that Banks may leverage on such a service to enhance their operations and service efficiency while reaping the benefits of CS' scalable, standardised and secured infrastructure. 6. The types of risks in CS that confront Banks are not distinct from that of other forms of outsourcing arrangements. Banks should perform the necessary due diligence and apply sound governance and risk management practices articulated in this set of Guidelines when subscribing to CS. 7. Banks should be aware of CS' typical characteristics such as multi-tenancy, data commingling and the higher propensity for processing to be carried out in multiple locations. Hence, Banks should take active steps to address the risks associated with data access, confidentiality, integrity, sovereignty, recoverability, regulatory compliance and auditing. In particular, Banks should ensure that the service provider possesses the ability to clearly identify and segregate customer data using strong physical or logical controls. The service provider should have in place robust access controls to protect customer information and such access controls should survive the tenure of the contract of the CS. 8. Banks are ultimately responsible and accountable for maintaining oversight of CS and managing the attendant risks of adopting CS, as in any other form of outsourcing arrangements. A risk-based approach should be taken by Banks to ensure that the level of oversight and controls are commensurate with the materiality of the risks posed by the CS.</w:t>
            </w:r>
          </w:p>
          <w:p>
            <w:pPr>
              <w:spacing w:after="40" w:before="40"/>
            </w:pPr>
            <w:r>
              <w:rPr>
                <w:rFonts w:ascii="Arial" w:cs="Arial" w:eastAsia="Arial" w:hAnsi="Arial"/>
                <w:i w:val="false"/>
                <w:iCs w:val="false"/>
                <w:color w:val="595959"/>
                <w:sz w:val="14"/>
                <w:szCs w:val="14"/>
              </w:rPr>
              <w:t xml:space="preserve">27 – A cloud infrastructure operated solely for an organisation.</w:t>
            </w:r>
          </w:p>
          <w:p>
            <w:pPr>
              <w:spacing w:after="40" w:before="40"/>
            </w:pPr>
            <w:r>
              <w:rPr>
                <w:rFonts w:ascii="Arial" w:cs="Arial" w:eastAsia="Arial" w:hAnsi="Arial"/>
                <w:i w:val="false"/>
                <w:iCs w:val="false"/>
                <w:color w:val="595959"/>
                <w:sz w:val="14"/>
                <w:szCs w:val="14"/>
              </w:rPr>
              <w:t xml:space="preserve">28 – A cloud infrastructure made available to the general public or an industry group, and is owned by a third-party service provider.</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[Annex 2 – Examples of Outsourcing Arrangements]</w:t>
            </w:r>
            <w:r>
              <w:rPr>
                <w:rFonts w:ascii="Arial" w:cs="Arial" w:eastAsia="Arial" w:hAnsi="Arial"/>
                <w:i w:val="false"/>
                <w:iCs w:val="false"/>
                <w:color w:val="000000"/>
                <w:sz w:val="18"/>
                <w:szCs w:val="18"/>
              </w:rPr>
              <w:t xml:space="preserve"> </w:t>
            </w:r>
            <w:r>
              <w:rPr>
                <w:rFonts w:ascii="Arial" w:cs="Arial" w:eastAsia="Arial" w:hAnsi="Arial"/>
                <w:i w:val="false"/>
                <w:iCs w:val="false"/>
                <w:color w:val="000000"/>
                <w:sz w:val="18"/>
                <w:szCs w:val="18"/>
                <w:highlight w:val="yellow"/>
                <w:highlightCs w:val="yellow"/>
              </w:rPr>
              <w:t xml:space="preserve">1. The following are examples of some services that, when performed by a third party, would be regarded as outsourcing arrangements for the purposes of these Guidelines although they are not exhaustive: (a) application processing (e.g. loan origination, credit cards); (b) white-labelling arrangements such as for trading and hedging facilities; (c) middle and back office operations (e.g. electronic funds transfer, payroll processing, custody operations, quality control, purchasing, maintaining the register of participants of a collective investment scheme (CIS) and sending of accounts and reports to CIS participants, order processing, trade settlement and risk management); (d) business continuity and disaster recovery functions and activities; (e) claims administration (e.g. loan negotiations, loan processing, collateral management, collection of bad loans); (f) document processing (e.g. cheques, credit card and bill payments, bank statements, other corporate payments, customer statement printing); (g) information systems hosting (e.g. software-as-a-service, platform-as-a-service, infrastructure-as-a-service); (h) information systems management and maintenance (e.g. data entry and processing, data centres, data centre facilities management, end-user support, local area networks management, help desks, information technology security operations); (i) investment management (e.g. discretionary portfolio management, cash management); (j) management of policy issuance and claims operations by managing agents; (k) manpower management (e.g. benefits and compensation administration, staff appointment, training and development); (l) marketing and research (e.g. product development, data warehousing and mining, media relations, call centres, telemarketing); (m) professional services related to the business activities of the institution (e.g. accounting, internal audit, actuarial, compliance); (n) support services related to archival, storage and destruction of data and records; and (o) calculation of financial benchmarks.</w:t>
            </w:r>
          </w:p>
          <w:p>
            <w:pPr>
              <w:spacing w:after="40" w:before="40"/>
            </w:pPr>
            <w:r>
              <w:rPr>
                <w:rFonts w:ascii="Arial" w:cs="Arial" w:eastAsia="Arial" w:hAnsi="Arial"/>
                <w:i w:val="false"/>
                <w:iCs w:val="false"/>
                <w:color w:val="000000"/>
                <w:sz w:val="18"/>
                <w:szCs w:val="18"/>
                <w:highlight w:val="yellow"/>
                <w:highlightCs w:val="yellow"/>
              </w:rPr>
              <w:t xml:space="preserve">2. The following arrangements would generally not be considered outsourcing arrangements: (a) Arrangements in which certain industry characteristics require the use of third-party providers — (i) maintenance of custody account with specified custodians as required under Regulation 27 of the Securities and Futures (Licensing and Conduct of Business) Regulations; (ii) telecommunication services and public utilities (e.g. electricity, SMS gateway services); (iii) postal services; (iv) market information services (e.g. Bloomberg, Moody's, Standard &amp; Poor's); (v) common network infrastructure (e.g. Visa, MasterCard, MEPS+); (vi) clearing and settlement arrangements between clearing houses and settlement institutions and their members, and similar arrangements between members and non-members; (vii) global financial messaging infrastructure which are subject to oversight by relevant regulators (e.g. SWIFT); and (viii) correspondent banking services. (b) Introducer arrangements and arrangements that pertain to principal-agent relationships — (i) sale of insurance policies by agents, and ancillary services relating to those sales; (ii) acceptance of business by underwriting agents; and (iii) introducer arrangements (where the institution does not have any contractual relationship with customers). (c) Arrangements that the institution is not legally or administratively able to provide — (i) statutory audit and independent audit assessments; (ii) discrete advisory services (e.g. legal opinions, independent appraisals, trustees in bankruptcy, loss adjuster); and independent consulting (e.g. consultancy services for areas which the institution does not have the internal expertise to conduct)</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Bank Annex 2 (Cloud Computing) is found at FI Annex 5, worded identically.</w:t>
            </w:r>
          </w:p>
          <w:p>
            <w:pPr>
              <w:spacing w:after="40" w:before="40"/>
            </w:pPr>
            <w:r>
              <w:rPr>
                <w:rFonts w:ascii="Arial" w:cs="Arial" w:eastAsia="Arial" w:hAnsi="Arial"/>
                <w:i w:val="false"/>
                <w:iCs w:val="false"/>
                <w:color w:val="000000"/>
                <w:sz w:val="18"/>
                <w:szCs w:val="18"/>
              </w:rPr>
              <w:t xml:space="preserve">2.  FI Annex 2 (examples) has no Bank-Guidelines counterpart; its content substantially reappears, in binding form, as Notice 658 Annexes A (integral services), B (excluded services) and C (deemed outsourced services) for banks.</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Annex 3</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Applicablity of Notices and Guidelines for Banks to Different Categories of Services</w:t>
            </w:r>
            <w:r>
              <w:rPr>
                <w:rFonts w:ascii="Arial" w:cs="Arial" w:eastAsia="Arial" w:hAnsi="Arial"/>
                <w:i w:val="false"/>
                <w:iCs w:val="false"/>
                <w:color w:val="000000"/>
                <w:sz w:val="18"/>
                <w:szCs w:val="18"/>
              </w:rPr>
              <w:t xml:space="preserve"> [sic, as in the original].</w:t>
            </w:r>
            <w:r>
              <w:rPr>
                <w:rFonts w:ascii="Arial" w:cs="Arial" w:eastAsia="Arial" w:hAnsi="Arial"/>
                <w:b/>
                <w:bCs/>
                <w:i w:val="false"/>
                <w:iCs w:val="false"/>
                <w:color w:val="000000"/>
                <w:sz w:val="18"/>
                <w:szCs w:val="18"/>
              </w:rPr>
              <w:t xml:space="preserve"> Decision framework over "Relevant Services" as defined in s 47A(12) of the Banking Act 1970 (means any service obtained or received by the bank, other than a service provided in the course of employment by an employee of the bank or a service provided by a director or an officer of the bank in the course of the director's or officer's appointment, and does not include any service specified by the Authority by written notice): </w:t>
            </w:r>
            <w:r>
              <w:rPr>
                <w:rFonts w:ascii="Arial" w:cs="Arial" w:eastAsia="Arial" w:hAnsi="Arial"/>
                <w:i w:val="false"/>
                <w:iCs w:val="false"/>
                <w:color w:val="000000"/>
                <w:sz w:val="18"/>
                <w:szCs w:val="18"/>
                <w:highlight w:val="yellow"/>
                <w:highlightCs w:val="yellow"/>
              </w:rPr>
              <w:t xml:space="preserve">1. Non-Outsourced Relevant Services — not subject to Notices and Guidelines; should still be subject to adequate risk management and sound internal controls. 2. Non-Ongoing ORS — not subject to Notices and Guidelines except where the ORS involves disclosure of customer information, in which case Section C of the Notices and the outsourcing-register requirement apply; still subject to adequate risk management and sound internal controls. 3. Non-material Ongoing ORS — subject to the register requirement in the Notices, and Section C where customer information is disclosed; the Bank should implement the Guidelines commensurate with the nature of risks. 4. Material Ongoing ORS (MOORS) — subject to the Notices and the Guidelines.</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[Annex 3 – Material Outsourcing]</w:t>
            </w:r>
            <w:r>
              <w:rPr>
                <w:rFonts w:ascii="Arial" w:cs="Arial" w:eastAsia="Arial" w:hAnsi="Arial"/>
                <w:i w:val="false"/>
                <w:iCs w:val="false"/>
                <w:color w:val="000000"/>
                <w:sz w:val="18"/>
                <w:szCs w:val="18"/>
              </w:rPr>
              <w:t xml:space="preserve"> 1. An institution should assess the materiality in an outsourcing arrangement. In assessing materiality, MAS recognises that qualitative judgment is involved and the circumstances faced by individual institutions may vary. Factors that an institution should consider include: (a) importance of the business activity to be outsourced (e.g. in terms of contribution to income and profit); (b) potential impact of the outsourcing on earnings, solvency, liquidity, funding and capital, and risk profile; (c) impact on the institution's reputation and brand value, and ability to achieve its business objectives, strategy and plans, should the service provider fail to perform the service or encounter a breach of confidentiality or security (e.g. compromise of customer information); (d) impact on the institution's customers, should the service provider fail to perform the service or encounter a breach of confidentiality or security; (e) impact on the institution's counterparties and the Singapore financial market, should the service provider fail to perform the service; (f) cost of the outsourcing as a proportion of total operating costs of the institution; (g) cost of outsourcing failure, which will require the institution to bring the outsourced activity in-house or seek similar service from another service provider, as a proportion of total operating costs of the institution; (h) aggregate exposure to a particular service provider in cases where the institution outsources various functions to the same service provider; and (i) ability to maintain appropriate internal controls and meet regulatory requirements, if the service provider faces operational problems. 2. Outsourcing of all or substantially all of its risk management or internal control functions, including compliance, internal audit, financial accounting and actuarial (other than performing certification activities) is to be considered a material outsourcing arrangement. 3. An institution should undertake periodic reviews of its outsourcing arrangements to identify new outsourcing risks as they arise. An outsourcing arrangement that was previously not material may subsequently become material from incremental services outsourced to the same service provider or an increase in volume or change in nature of the service outsourced to the service provider. Outsourcing risks may also increase when the service provider sub-contracts the service or makes significant changes to its sub-contracting arrangements. 4. An institution should consider materiality at both the institution's level and as a group, i.e., together with the institution's branches and corporations under its control.</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Bank Annex 3 (applicability chart) is Bank-only — the taxonomy exists only because of the Notices and s 47A.</w:t>
            </w:r>
          </w:p>
          <w:p>
            <w:pPr>
              <w:spacing w:after="40" w:before="40"/>
            </w:pPr>
            <w:r>
              <w:rPr>
                <w:rFonts w:ascii="Arial" w:cs="Arial" w:eastAsia="Arial" w:hAnsi="Arial"/>
                <w:i w:val="false"/>
                <w:iCs w:val="false"/>
                <w:color w:val="000000"/>
                <w:sz w:val="18"/>
                <w:szCs w:val="18"/>
              </w:rPr>
              <w:t xml:space="preserve">2.  FI Annex 3 = Bank Annex 1 (Material Outsourcing), worded identically.</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Annex 4</w:t>
            </w:r>
          </w:p>
        </w:tc>
        <w:tc>
          <w:tcPr>
            <w:tcW w:type="dxa" w:w="5300"/>
            <w:tcMar>
              <w:top w:type="dxa" w:w="60"/>
              <w:left w:type="dxa" w:w="100"/>
              <w:bottom w:type="dxa" w:w="60"/>
              <w:right w:type="dxa" w:w="100"/>
            </w:tcMar>
            <w:vAlign w:val="top"/>
          </w:tcPr>
          <w:p>
            <w:pPr>
              <w:spacing w:after="40" w:before="40"/>
            </w:pPr>
            <w:r>
              <w:rPr>
                <w:rFonts w:ascii="Arial" w:cs="Arial" w:eastAsia="Arial" w:hAnsi="Arial"/>
                <w:i/>
                <w:iCs/>
                <w:color w:val="595959"/>
                <w:sz w:val="18"/>
                <w:szCs w:val="18"/>
              </w:rPr>
              <w:t xml:space="preserve">No Annex 4 under the Bank Guidelines.</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[Annex 4 – Register of Outsourcing Arrangements]</w:t>
            </w:r>
            <w:r>
              <w:rPr>
                <w:rFonts w:ascii="Arial" w:cs="Arial" w:eastAsia="Arial" w:hAnsi="Arial"/>
                <w:i w:val="false"/>
                <w:iCs w:val="false"/>
                <w:color w:val="000000"/>
                <w:sz w:val="18"/>
                <w:szCs w:val="18"/>
              </w:rPr>
              <w:t xml:space="preserve"> </w:t>
            </w:r>
            <w:r>
              <w:rPr>
                <w:rFonts w:ascii="Arial" w:cs="Arial" w:eastAsia="Arial" w:hAnsi="Arial"/>
                <w:i w:val="false"/>
                <w:iCs w:val="false"/>
                <w:color w:val="000000"/>
                <w:sz w:val="18"/>
                <w:szCs w:val="18"/>
                <w:highlight w:val="yellow"/>
                <w:highlightCs w:val="yellow"/>
              </w:rPr>
              <w:t xml:space="preserve">1. An institution should maintain an updated register of all existing outsourcing arrangements in the format as per the template available from MAS website.</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FI-only annex; submission at least annually or upon request per FI ¶4.1.1. The Bank equivalent is the template link at fn 21, with register requirements otherwise in the Notices.</w:t>
            </w:r>
          </w:p>
        </w:tc>
      </w:tr>
      <w:tr>
        <w:tc>
          <w:tcPr>
            <w:tcW w:type="dxa" w:w="8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Annex 5</w:t>
            </w:r>
          </w:p>
        </w:tc>
        <w:tc>
          <w:tcPr>
            <w:tcW w:type="dxa" w:w="5300"/>
            <w:tcMar>
              <w:top w:type="dxa" w:w="60"/>
              <w:left w:type="dxa" w:w="100"/>
              <w:bottom w:type="dxa" w:w="60"/>
              <w:right w:type="dxa" w:w="100"/>
            </w:tcMar>
            <w:vAlign w:val="top"/>
          </w:tcPr>
          <w:p>
            <w:pPr>
              <w:spacing w:after="40" w:before="40"/>
            </w:pPr>
            <w:r>
              <w:rPr>
                <w:rFonts w:ascii="Arial" w:cs="Arial" w:eastAsia="Arial" w:hAnsi="Arial"/>
                <w:i/>
                <w:iCs/>
                <w:color w:val="595959"/>
                <w:sz w:val="18"/>
                <w:szCs w:val="18"/>
              </w:rPr>
              <w:t xml:space="preserve">No Annex 5 under the Bank Guidelines.</w:t>
            </w:r>
          </w:p>
        </w:tc>
        <w:tc>
          <w:tcPr>
            <w:tcW w:type="dxa" w:w="5300"/>
            <w:tcMar>
              <w:top w:type="dxa" w:w="60"/>
              <w:left w:type="dxa" w:w="100"/>
              <w:bottom w:type="dxa" w:w="60"/>
              <w:right w:type="dxa" w:w="100"/>
            </w:tcMar>
            <w:vAlign w:val="top"/>
          </w:tcPr>
          <w:p>
            <w:pPr>
              <w:spacing w:after="40" w:before="40"/>
            </w:pPr>
            <w:r>
              <w:rPr>
                <w:rFonts w:ascii="Arial" w:cs="Arial" w:eastAsia="Arial" w:hAnsi="Arial"/>
                <w:b/>
                <w:bCs/>
                <w:i w:val="false"/>
                <w:iCs w:val="false"/>
                <w:color w:val="000000"/>
                <w:sz w:val="18"/>
                <w:szCs w:val="18"/>
              </w:rPr>
              <w:t xml:space="preserve">[Annex 5 – Cloud Computing]</w:t>
            </w:r>
            <w:r>
              <w:rPr>
                <w:rFonts w:ascii="Arial" w:cs="Arial" w:eastAsia="Arial" w:hAnsi="Arial"/>
                <w:i w:val="false"/>
                <w:iCs w:val="false"/>
                <w:color w:val="000000"/>
                <w:sz w:val="18"/>
                <w:szCs w:val="18"/>
              </w:rPr>
              <w:t xml:space="preserve"> 1. Cloud services (CS) are a combination of a business and delivery model that enable on-demand access to a shared pool of resources such as applications, servers, storage and network security. The service is typically delivered in the form of Software as a Service (SaaS), Platform as a Service (PaaS) and Infrastructure as a Service (IaaS). 2. CS can potentially offer a number of advantages, which include economies of scale, cost-savings, access to quality system administration as well as operations that adhere to uniform security standards and best practices. CS may also be used to provide the flexibility and agility for institutions to scale up or pare down on computing resources quickly as usage requirements change, without major hardware and software outlay as well as lead-time. In addition, the distributed nature of CS may enhance system resilience during location-specific disasters or disruptions. 3. It has been noted that more and more institutions are adopting CS to fulfil their business and operational requirements. These CS deployments may be operated in-house or off-premises by service providers. While the latter can take the form of a private21 or public22 cloud, there is a growing trend for institutions to adopt a combination of private and public clouds to create a hybrid cloud. The different cloud models provide for distinct operational and security trade-offs. 4. In the recent years, cloud technology has evolved and matured considerably and CS providers have become aware of the technology and security requirements of institutions to protect sensitive customer data. In this regard, a number of CS providers have implemented strong authentication, access controls, tokenisation techniques and data encryption to bolster security to meet institutions' requirements. 5. MAS considers CS operated by service providers as a form of outsourcing and recognises that institutions may leverage on such a service to enhance their operations and service efficiency while reaping the benefits of CS' scalable, standardised and secured infrastructure. 6. The types of risks in CS that confront institutions are not distinct from that of other forms of outsourcing arrangements. Institutions should perform the necessary due diligence and apply sound governance and risk management practices articulated in this set of Guidelines when subscribing to CS. 7. Institutions should be aware of CS' typical characteristics such as multi-tenancy, data commingling and the higher propensity for processing to be carried out in multiple locations. Hence, institutions should take active steps to address the risks associated with data access, confidentiality, integrity, sovereignty, recoverability, regulatory compliance and auditing. In particular, institutions should ensure that the service provider possesses the ability to clearly identify and segregate customer data using strong physical or logical controls. The service provider should have in place robust access controls to protect customer information and such access controls should survive the tenure of the contract of the CS. 8. Institutions are ultimately responsible and accountable for maintaining oversight of CS and managing the attendant risks of adopting CS, as in any other form of outsourcing arrangements. A risk-based approach should be taken by institutions to ensure that the level of oversight and controls are commensurate with the materiality of the risks posed by the CS.</w:t>
            </w:r>
          </w:p>
          <w:p>
            <w:pPr>
              <w:spacing w:after="40" w:before="40"/>
            </w:pPr>
            <w:r>
              <w:rPr>
                <w:rFonts w:ascii="Arial" w:cs="Arial" w:eastAsia="Arial" w:hAnsi="Arial"/>
                <w:i w:val="false"/>
                <w:iCs w:val="false"/>
                <w:color w:val="595959"/>
                <w:sz w:val="14"/>
                <w:szCs w:val="14"/>
              </w:rPr>
              <w:t xml:space="preserve">21 – A cloud infrastructure operated solely for an organisation.</w:t>
            </w:r>
          </w:p>
          <w:p>
            <w:pPr>
              <w:spacing w:after="40" w:before="40"/>
            </w:pPr>
            <w:r>
              <w:rPr>
                <w:rFonts w:ascii="Arial" w:cs="Arial" w:eastAsia="Arial" w:hAnsi="Arial"/>
                <w:i w:val="false"/>
                <w:iCs w:val="false"/>
                <w:color w:val="595959"/>
                <w:sz w:val="14"/>
                <w:szCs w:val="14"/>
              </w:rPr>
              <w:t xml:space="preserve">22 – A cloud infrastructure made available to the general public or an industry group, and is owned by a third-party service provider.</w:t>
            </w:r>
          </w:p>
        </w:tc>
        <w:tc>
          <w:tcPr>
            <w:tcW w:type="dxa" w:w="3000"/>
            <w:tcMar>
              <w:top w:type="dxa" w:w="60"/>
              <w:left w:type="dxa" w:w="100"/>
              <w:bottom w:type="dxa" w:w="60"/>
              <w:right w:type="dxa" w:w="100"/>
            </w:tcMar>
            <w:vAlign w:val="top"/>
          </w:tcPr>
          <w:p>
            <w:pPr>
              <w:spacing w:after="40" w:before="40"/>
            </w:pPr>
            <w:r>
              <w:rPr>
                <w:rFonts w:ascii="Arial" w:cs="Arial" w:eastAsia="Arial" w:hAnsi="Arial"/>
                <w:i w:val="false"/>
                <w:iCs w:val="false"/>
                <w:color w:val="000000"/>
                <w:sz w:val="18"/>
                <w:szCs w:val="18"/>
              </w:rPr>
              <w:t xml:space="preserve">1.  FI Annex 5 = Bank Annex 2, worded identically.</w:t>
            </w:r>
          </w:p>
        </w:tc>
      </w:tr>
    </w:tbl>
    <w:p>
      <w:pPr>
        <w:spacing w:before="160"/>
      </w:pPr>
      <w:r>
        <w:rPr>
          <w:rFonts w:ascii="Arial" w:cs="Arial" w:eastAsia="Arial" w:hAnsi="Arial"/>
          <w:i/>
          <w:iCs/>
          <w:color w:val="595959"/>
          <w:sz w:val="16"/>
          <w:szCs w:val="16"/>
        </w:rPr>
        <w:t xml:space="preserve">Prepared from a full reading of both official MAS PDFs; comparisons verified against the source texts by three independent review passes, and the perimeter analysis (row 1.2) verified directly against MAS Notice 658 ¶2.1 and Annexes A–C. Provisions "missing" from the Bank Guidelines are frequently located in the binding MAS Notices 658/1121 or s 47A Banking Act 1970 rather than absent from the bank regime. This document is legal research, not legal advice.</w:t>
      </w:r>
    </w:p>
    <w:sectPr>
      <w:footerReference w:type="default" r:id="rId7"/>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2026-07-23T07:11:35.817Z</dcterms:created>
  <dcterms:modified xsi:type="dcterms:W3CDTF">2026-07-23T07:11:35.819Z</dcterms:modified>
</cp:coreProperties>
</file>

<file path=docProps/custom.xml><?xml version="1.0" encoding="utf-8"?>
<Properties xmlns="http://schemas.openxmlformats.org/officeDocument/2006/custom-properties" xmlns:vt="http://schemas.openxmlformats.org/officeDocument/2006/docPropsVTypes"/>
</file>