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24"/>
          <w:szCs w:val="24"/>
        </w:rPr>
        <w:t xml:space="preserve">Comparative Table of Differences between the two MAS Outsourcing Guidelines</w:t>
      </w:r>
    </w:p>
    <w:p>
      <w:pPr>
        <w:spacing w:after="120"/>
      </w:pPr>
      <w:r>
        <w:rPr>
          <w:rFonts w:ascii="Arial" w:cs="Arial" w:eastAsia="Arial" w:hAnsi="Arial"/>
          <w:i w:val="false"/>
          <w:iCs w:val="false"/>
          <w:color w:val="000000"/>
          <w:sz w:val="16"/>
          <w:szCs w:val="16"/>
        </w:rPr>
        <w:t xml:space="preserve">Guidelines on Outsourcing (Banks), 11 December 2023 (effective 11 December 2024) vs Guidelines on Outsourcing (Financial Institutions other than Banks), effective 11 December 2024, last revised 24 January 2025. Rows follow the Bank Guidelines paragraph numbering, with FI-only provisions inserted in sequence (numbers in square brackets). </w:t>
      </w:r>
      <w:r>
        <w:rPr>
          <w:rFonts w:ascii="Arial" w:cs="Arial" w:eastAsia="Arial" w:hAnsi="Arial"/>
          <w:i w:val="false"/>
          <w:iCs w:val="false"/>
          <w:color w:val="000000"/>
          <w:sz w:val="16"/>
          <w:szCs w:val="16"/>
          <w:highlight w:val="yellow"/>
          <w:highlightCs w:val="yellow"/>
        </w:rPr>
        <w:t xml:space="preserve">Yellow highlighting</w:t>
      </w:r>
      <w:r>
        <w:rPr>
          <w:rFonts w:ascii="Arial" w:cs="Arial" w:eastAsia="Arial" w:hAnsi="Arial"/>
          <w:i w:val="false"/>
          <w:iCs w:val="false"/>
          <w:color w:val="000000"/>
          <w:sz w:val="16"/>
          <w:szCs w:val="16"/>
        </w:rPr>
        <w:t xml:space="preserve"> marks wording that differs between the two instruments; small grey text reproduces footnotes; FI paragraph numbers are shown in bold brackets where they differ from the row number. Where provisions are worded identically, the FI text is reproduced with the mechanical substitutions "Bank"→"institution", "bank-wide"→"institution-wide" and "MOORS"→"material outsourcing arrangement(s)", with any residual drafting variances applied as they appear in the official FI text. Text in [square brackets] within quoted provisions is editorial abridgement; all other quoted text is verbatim from the official MAS PDFs.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5300"/>
        <w:gridCol w:w="3000"/>
      </w:tblGrid>
      <w:tr>
        <w:trPr>
          <w:tblHeader/>
        </w:trPr>
        <w:tc>
          <w:tcPr>
            <w:tcW w:type="dxa" w:w="8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No.</w:t>
            </w:r>
          </w:p>
        </w:tc>
        <w:tc>
          <w:tcPr>
            <w:tcW w:type="dxa" w:w="53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Outsourcing Guidelines (Banks)</w:t>
            </w:r>
          </w:p>
        </w:tc>
        <w:tc>
          <w:tcPr>
            <w:tcW w:type="dxa" w:w="53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Outsourcing Guidelines (Financial Institutions Other than Banks)</w:t>
            </w:r>
          </w:p>
        </w:tc>
        <w:tc>
          <w:tcPr>
            <w:tcW w:type="dxa" w:w="3000"/>
            <w:shd w:fill="808080" w:val="clear"/>
            <w:tcMar>
              <w:top w:type="dxa" w:w="60"/>
              <w:left w:type="dxa" w:w="100"/>
              <w:bottom w:type="dxa" w:w="60"/>
              <w:right w:type="dxa" w:w="100"/>
            </w:tcMar>
          </w:tcPr>
          <w:p>
            <w:pPr>
              <w:spacing w:after="50" w:before="50"/>
              <w:jc w:val="center"/>
            </w:pPr>
            <w:r>
              <w:rPr>
                <w:rFonts w:ascii="Arial" w:cs="Arial" w:eastAsia="Arial" w:hAnsi="Arial"/>
                <w:b/>
                <w:bCs/>
                <w:color w:val="FFFFFF"/>
                <w:sz w:val="19"/>
                <w:szCs w:val="19"/>
              </w:rPr>
              <w:t xml:space="preserve">Differences</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1.</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Introduction</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Introduction</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Section 1 of the Bank Guidelines roughly corresponds to Sections 1–2 of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on Outsourcing ("Guidelines") set out the Monetary Authority of Singapore's (MAS) expectations of a </w:t>
            </w:r>
            <w:r>
              <w:rPr>
                <w:rFonts w:ascii="Arial" w:cs="Arial" w:eastAsia="Arial" w:hAnsi="Arial"/>
                <w:i w:val="false"/>
                <w:iCs w:val="false"/>
                <w:color w:val="000000"/>
                <w:sz w:val="18"/>
                <w:szCs w:val="18"/>
                <w:highlight w:val="yellow"/>
                <w:highlightCs w:val="yellow"/>
              </w:rPr>
              <w:t xml:space="preserve">bank or merchant bank (hereafter collectively referred to as "Bank")</w:t>
            </w:r>
            <w:r>
              <w:rPr>
                <w:rFonts w:ascii="Arial" w:cs="Arial" w:eastAsia="Arial" w:hAnsi="Arial"/>
                <w:i w:val="false"/>
                <w:iCs w:val="false"/>
                <w:color w:val="000000"/>
                <w:sz w:val="18"/>
                <w:szCs w:val="18"/>
              </w:rPr>
              <w:t xml:space="preserve"> that has entered into or is planning to enter into, an arrangement for </w:t>
            </w:r>
            <w:r>
              <w:rPr>
                <w:rFonts w:ascii="Arial" w:cs="Arial" w:eastAsia="Arial" w:hAnsi="Arial"/>
                <w:i w:val="false"/>
                <w:iCs w:val="false"/>
                <w:color w:val="000000"/>
                <w:sz w:val="18"/>
                <w:szCs w:val="18"/>
                <w:highlight w:val="yellow"/>
                <w:highlightCs w:val="yellow"/>
              </w:rPr>
              <w:t xml:space="preserve">ongoing outsourced relevant services ("outsourcing arrangement")</w:t>
            </w:r>
            <w:r>
              <w:rPr>
                <w:rFonts w:ascii="Arial" w:cs="Arial" w:eastAsia="Arial" w:hAnsi="Arial"/>
                <w:i w:val="false"/>
                <w:iCs w:val="false"/>
                <w:color w:val="000000"/>
                <w:sz w:val="18"/>
                <w:szCs w:val="18"/>
              </w:rPr>
              <w:t xml:space="preserve">1, with the exception of exempted Outsourced Relevant Services in </w:t>
            </w:r>
            <w:r>
              <w:rPr>
                <w:rFonts w:ascii="Arial" w:cs="Arial" w:eastAsia="Arial" w:hAnsi="Arial"/>
                <w:i w:val="false"/>
                <w:iCs w:val="false"/>
                <w:color w:val="000000"/>
                <w:sz w:val="18"/>
                <w:szCs w:val="18"/>
                <w:highlight w:val="yellow"/>
                <w:highlightCs w:val="yellow"/>
              </w:rPr>
              <w:t xml:space="preserve">Annex D of MAS Notices 658 and 1121 ("Notices")</w:t>
            </w:r>
            <w:r>
              <w:rPr>
                <w:rFonts w:ascii="Arial" w:cs="Arial" w:eastAsia="Arial" w:hAnsi="Arial"/>
                <w:i w:val="false"/>
                <w:iCs w:val="false"/>
                <w:color w:val="000000"/>
                <w:sz w:val="18"/>
                <w:szCs w:val="18"/>
              </w:rPr>
              <w:t xml:space="preserve">. A Bank should conduct a self-assessment of all existing outsourcing arrangements against these Guidelines2.</w:t>
            </w:r>
          </w:p>
          <w:p>
            <w:pPr>
              <w:spacing w:after="40" w:before="40"/>
            </w:pPr>
            <w:r>
              <w:rPr>
                <w:rFonts w:ascii="Arial" w:cs="Arial" w:eastAsia="Arial" w:hAnsi="Arial"/>
                <w:i w:val="false"/>
                <w:iCs w:val="false"/>
                <w:color w:val="595959"/>
                <w:sz w:val="14"/>
                <w:szCs w:val="14"/>
              </w:rPr>
              <w:t xml:space="preserve">1 – Includes both material and non-material ongoing outsourcing arrangements.</w:t>
            </w:r>
          </w:p>
          <w:p>
            <w:pPr>
              <w:spacing w:after="40" w:before="40"/>
            </w:pPr>
            <w:r>
              <w:rPr>
                <w:rFonts w:ascii="Arial" w:cs="Arial" w:eastAsia="Arial" w:hAnsi="Arial"/>
                <w:i w:val="false"/>
                <w:iCs w:val="false"/>
                <w:color w:val="595959"/>
                <w:sz w:val="14"/>
                <w:szCs w:val="14"/>
              </w:rPr>
              <w:t xml:space="preserve">2 – This includes Banks which are bound by outsourcing arrangements as a result of an acquisition of the business of another institution.</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on Outsourcing ("Guidelines") set out the Monetary Authority of Singapore's (MAS) expectations of a </w:t>
            </w:r>
            <w:r>
              <w:rPr>
                <w:rFonts w:ascii="Arial" w:cs="Arial" w:eastAsia="Arial" w:hAnsi="Arial"/>
                <w:i w:val="false"/>
                <w:iCs w:val="false"/>
                <w:color w:val="000000"/>
                <w:sz w:val="18"/>
                <w:szCs w:val="18"/>
                <w:highlight w:val="yellow"/>
                <w:highlightCs w:val="yellow"/>
              </w:rPr>
              <w:t xml:space="preserve">financial institution (other than a bank or merchant bank)</w:t>
            </w:r>
            <w:r>
              <w:rPr>
                <w:rFonts w:ascii="Arial" w:cs="Arial" w:eastAsia="Arial" w:hAnsi="Arial"/>
                <w:i w:val="false"/>
                <w:iCs w:val="false"/>
                <w:color w:val="000000"/>
                <w:sz w:val="18"/>
                <w:szCs w:val="18"/>
              </w:rPr>
              <w:t xml:space="preserve"> that has entered into </w:t>
            </w:r>
            <w:r>
              <w:rPr>
                <w:rFonts w:ascii="Arial" w:cs="Arial" w:eastAsia="Arial" w:hAnsi="Arial"/>
                <w:i w:val="false"/>
                <w:iCs w:val="false"/>
                <w:color w:val="000000"/>
                <w:sz w:val="18"/>
                <w:szCs w:val="18"/>
                <w:highlight w:val="yellow"/>
                <w:highlightCs w:val="yellow"/>
              </w:rPr>
              <w:t xml:space="preserve">any outsourcing arrangement or is planning to outsource its business activities</w:t>
            </w:r>
            <w:r>
              <w:rPr>
                <w:rFonts w:ascii="Arial" w:cs="Arial" w:eastAsia="Arial" w:hAnsi="Arial"/>
                <w:i w:val="false"/>
                <w:iCs w:val="false"/>
                <w:color w:val="000000"/>
                <w:sz w:val="18"/>
                <w:szCs w:val="18"/>
              </w:rPr>
              <w:t xml:space="preserve">1 to a service provider, with the exception of exempted outsourced services in </w:t>
            </w:r>
            <w:r>
              <w:rPr>
                <w:rFonts w:ascii="Arial" w:cs="Arial" w:eastAsia="Arial" w:hAnsi="Arial"/>
                <w:i w:val="false"/>
                <w:iCs w:val="false"/>
                <w:color w:val="000000"/>
                <w:sz w:val="18"/>
                <w:szCs w:val="18"/>
                <w:highlight w:val="yellow"/>
                <w:highlightCs w:val="yellow"/>
              </w:rPr>
              <w:t xml:space="preserve">Annex 1</w:t>
            </w:r>
            <w:r>
              <w:rPr>
                <w:rFonts w:ascii="Arial" w:cs="Arial" w:eastAsia="Arial" w:hAnsi="Arial"/>
                <w:i w:val="false"/>
                <w:iCs w:val="false"/>
                <w:color w:val="000000"/>
                <w:sz w:val="18"/>
                <w:szCs w:val="18"/>
              </w:rPr>
              <w:t xml:space="preserve">. An institution should conduct a self-assessment of all existing outsourcing arrangements against these Guidelines2.</w:t>
            </w:r>
          </w:p>
          <w:p>
            <w:pPr>
              <w:spacing w:after="40" w:before="40"/>
            </w:pPr>
            <w:r>
              <w:rPr>
                <w:rFonts w:ascii="Arial" w:cs="Arial" w:eastAsia="Arial" w:hAnsi="Arial"/>
                <w:i w:val="false"/>
                <w:iCs w:val="false"/>
                <w:color w:val="595959"/>
                <w:sz w:val="14"/>
                <w:szCs w:val="14"/>
              </w:rPr>
              <w:t xml:space="preserve">1 – Any reference in these Guidelines to "business activities" of an institution is to be construed as a reference to the business and operational functions and processes of the institution.</w:t>
            </w:r>
          </w:p>
          <w:p>
            <w:pPr>
              <w:spacing w:after="40" w:before="40"/>
            </w:pPr>
            <w:r>
              <w:rPr>
                <w:rFonts w:ascii="Arial" w:cs="Arial" w:eastAsia="Arial" w:hAnsi="Arial"/>
                <w:i w:val="false"/>
                <w:iCs w:val="false"/>
                <w:color w:val="595959"/>
                <w:sz w:val="14"/>
                <w:szCs w:val="14"/>
              </w:rPr>
              <w:t xml:space="preserve">2 – This includes institutions which are bound by outsourcing arrangements as a result of an acquisition of the business of another institution.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Addressed to different institutions: banks and merchant banks vs all other FIs (FSMA s 2).</w:t>
            </w:r>
          </w:p>
          <w:p>
            <w:pPr>
              <w:spacing w:after="40" w:before="40"/>
            </w:pPr>
            <w:r>
              <w:rPr>
                <w:rFonts w:ascii="Arial" w:cs="Arial" w:eastAsia="Arial" w:hAnsi="Arial"/>
                <w:i w:val="false"/>
                <w:iCs w:val="false"/>
                <w:color w:val="000000"/>
                <w:sz w:val="18"/>
                <w:szCs w:val="18"/>
              </w:rPr>
              <w:t xml:space="preserve">2.  The Bank Guidelines import the concept of "ongoing outsourced relevant services" from Notices 658/1121; the FI Guidelines use their own defined term "outsourcing arrangement". Verified against Notice 658 ¶2.1, the two concepts are not co-extensive: the Notice test is disjunctive (ever performed by the bank OR integral to s 30(1) business/Annex A OR deemed by Annex C, e.g. public cloud) with a bright-line "ongoing" threshold of more than 12 months; the FI test is conjunctive (self-performable AND ongoing dependence AND integral to a financial service or provided in the institution’s name) with no duration threshold.</w:t>
            </w:r>
          </w:p>
          <w:p>
            <w:pPr>
              <w:spacing w:after="40" w:before="40"/>
            </w:pPr>
            <w:r>
              <w:rPr>
                <w:rFonts w:ascii="Arial" w:cs="Arial" w:eastAsia="Arial" w:hAnsi="Arial"/>
                <w:i w:val="false"/>
                <w:iCs w:val="false"/>
                <w:color w:val="000000"/>
                <w:sz w:val="18"/>
                <w:szCs w:val="18"/>
              </w:rPr>
              <w:t xml:space="preserve">3.  The exemption lists are found in different places: Annex D of Notices 658 and 1121 for the Bank Guidelines, and Annex 1 of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The relevant expectations for banks and merchant banks are set out in a separate set of guidelines for banks and merchant banks, as that set of guidelines makes reference to definitions in MAS Notices 658 and 1121 that apply only to banks and merchant banks</w:t>
            </w:r>
            <w:r>
              <w:rPr>
                <w:rFonts w:ascii="Arial" w:cs="Arial" w:eastAsia="Arial" w:hAnsi="Arial"/>
                <w:i w:val="false"/>
                <w:iCs w:val="false"/>
                <w:color w:val="000000"/>
                <w:sz w:val="18"/>
                <w:szCs w:val="18"/>
              </w:rPr>
              <w:t xml:space="preserve">3.</w:t>
            </w:r>
          </w:p>
          <w:p>
            <w:pPr>
              <w:spacing w:after="40" w:before="40"/>
            </w:pPr>
            <w:r>
              <w:rPr>
                <w:rFonts w:ascii="Arial" w:cs="Arial" w:eastAsia="Arial" w:hAnsi="Arial"/>
                <w:i w:val="false"/>
                <w:iCs w:val="false"/>
                <w:color w:val="595959"/>
                <w:sz w:val="14"/>
                <w:szCs w:val="14"/>
              </w:rPr>
              <w:t xml:space="preserve">3 – This refers to the "Guidelines on Outsourcing (Banks)" at this link.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¶1.3 is found in ¶2.1 of the FI Guidelines, with the only changes being the relevant institutions (FIs and banks).</w:t>
            </w:r>
          </w:p>
          <w:p>
            <w:pPr>
              <w:spacing w:after="40" w:before="40"/>
            </w:pPr>
            <w:r>
              <w:rPr>
                <w:rFonts w:ascii="Arial" w:cs="Arial" w:eastAsia="Arial" w:hAnsi="Arial"/>
                <w:i w:val="false"/>
                <w:iCs w:val="false"/>
                <w:color w:val="000000"/>
                <w:sz w:val="18"/>
                <w:szCs w:val="18"/>
              </w:rPr>
              <w:t xml:space="preserve">2.  FI ¶1.3 (cross-reference to the separate Bank Guidelines) has no Bank counterpart.</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Arial" w:cs="Arial" w:eastAsia="Arial" w:hAnsi="Arial"/>
                <w:i w:val="false"/>
                <w:iCs w:val="false"/>
                <w:color w:val="000000"/>
                <w:sz w:val="18"/>
                <w:szCs w:val="18"/>
                <w:highlight w:val="yellow"/>
                <w:highlightCs w:val="yellow"/>
              </w:rPr>
              <w:t xml:space="preserve">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take effect on 11 December 2024 </w:t>
            </w:r>
            <w:r>
              <w:rPr>
                <w:rFonts w:ascii="Arial" w:cs="Arial" w:eastAsia="Arial" w:hAnsi="Arial"/>
                <w:i w:val="false"/>
                <w:iCs w:val="false"/>
                <w:color w:val="000000"/>
                <w:sz w:val="18"/>
                <w:szCs w:val="18"/>
                <w:highlight w:val="yellow"/>
                <w:highlightCs w:val="yellow"/>
              </w:rPr>
              <w:t xml:space="preserve">and last revised on 24 January 2025</w:t>
            </w:r>
            <w:r>
              <w:rPr>
                <w:rFonts w:ascii="Arial" w:cs="Arial" w:eastAsia="Arial" w:hAnsi="Arial"/>
                <w:i w:val="false"/>
                <w:iCs w:val="false"/>
                <w:color w:val="000000"/>
                <w:sz w:val="18"/>
                <w:szCs w:val="18"/>
              </w:rPr>
              <w:t xml:space="preserv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¶1.4 is comparable to FI ¶2.2. The two prescribe different sources for which services are exempt: for the Bank Guidelines, Annexes 1, 2 and 3 (with definitions in the Notices); for the FI Guidelines, Annexes 1–5 (incl. the exempted-services list in Annex 1, examples in Annex 2 and the register template in Annex 4, to be submitted at least annually or upon request).</w:t>
            </w:r>
          </w:p>
          <w:p>
            <w:pPr>
              <w:spacing w:after="40" w:before="40"/>
            </w:pPr>
            <w:r>
              <w:rPr>
                <w:rFonts w:ascii="Arial" w:cs="Arial" w:eastAsia="Arial" w:hAnsi="Arial"/>
                <w:i w:val="false"/>
                <w:iCs w:val="false"/>
                <w:color w:val="000000"/>
                <w:sz w:val="18"/>
                <w:szCs w:val="18"/>
              </w:rPr>
              <w:t xml:space="preserve">2.  FI ¶1.4 corresponds to Bank ¶1.6. The phrase "and last revised on 24 January 2025" is added; the revision amended the "financial adviser" definition in FI §3.</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Arial" w:cs="Arial" w:eastAsia="Arial" w:hAnsi="Arial"/>
                <w:i w:val="false"/>
                <w:iCs w:val="false"/>
                <w:color w:val="000000"/>
                <w:sz w:val="18"/>
                <w:szCs w:val="18"/>
                <w:highlight w:val="yellow"/>
                <w:highlightCs w:val="yellow"/>
              </w:rPr>
              <w:t xml:space="preserve">3</w:t>
            </w:r>
            <w:r>
              <w:rPr>
                <w:rFonts w:ascii="Arial" w:cs="Arial" w:eastAsia="Arial" w:hAnsi="Arial"/>
                <w:i w:val="false"/>
                <w:iCs w:val="false"/>
                <w:color w:val="000000"/>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pPr>
              <w:spacing w:after="40" w:before="40"/>
            </w:pPr>
            <w:r>
              <w:rPr>
                <w:rFonts w:ascii="Arial" w:cs="Arial" w:eastAsia="Arial" w:hAnsi="Arial"/>
                <w:i w:val="false"/>
                <w:iCs w:val="false"/>
                <w:color w:val="595959"/>
                <w:sz w:val="14"/>
                <w:szCs w:val="14"/>
              </w:rPr>
              <w:t xml:space="preserve">3 – This includes MAS Information Paper on "Operational Risk Management – Third-Party Arrangements", which sets out good practices relating to third-party risk management that MAS expects to see in banks.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numbered 1.5 under the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in ¶2.4 of the FI Guidelines, worded identically but without footnote 3.</w:t>
            </w:r>
          </w:p>
          <w:p>
            <w:pPr>
              <w:spacing w:after="40" w:before="40"/>
            </w:pPr>
            <w:r>
              <w:rPr>
                <w:rFonts w:ascii="Arial" w:cs="Arial" w:eastAsia="Arial" w:hAnsi="Arial"/>
                <w:i w:val="false"/>
                <w:iCs w:val="false"/>
                <w:color w:val="000000"/>
                <w:sz w:val="18"/>
                <w:szCs w:val="18"/>
              </w:rPr>
              <w:t xml:space="preserve">2.  Footnote 3 (reference to the MAS Information Paper on "Operational Risk Management – Third-Party Arrangements") is Bank-only.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take effect on 11 December 2024.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in ¶1.4 for the FI Guidelines, worded identically, with the addition "and last revised on 24 January 2025".</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2.</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Engagement with MAS</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Application of Guidelines</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Section 2 of the Bank Guidelines ("Engagement with MAS") is found in Section 4 of the FI Guidelines. Section 2 of the FI Guidelines ("Application of Guidelines") corresponds to Bank ¶¶1.3–1.5.</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w:t>
            </w:r>
            <w:r>
              <w:rPr>
                <w:rFonts w:ascii="Arial" w:cs="Arial" w:eastAsia="Arial" w:hAnsi="Arial"/>
                <w:i w:val="false"/>
                <w:iCs w:val="false"/>
                <w:color w:val="000000"/>
                <w:sz w:val="18"/>
                <w:szCs w:val="18"/>
                <w:highlight w:val="yellow"/>
                <w:highlightCs w:val="yellow"/>
              </w:rPr>
              <w:t xml:space="preserve">material ongoing outsourced relevant services (MOORS)</w:t>
            </w:r>
            <w:r>
              <w:rPr>
                <w:rFonts w:ascii="Arial" w:cs="Arial" w:eastAsia="Arial" w:hAnsi="Arial"/>
                <w:i w:val="false"/>
                <w:iCs w:val="false"/>
                <w:color w:val="000000"/>
                <w:sz w:val="18"/>
                <w:szCs w:val="18"/>
              </w:rPr>
              <w:t xml:space="preserve">. MAS may also take non-observance into account in its assessment of the Bank, considering the potential impact of the outsourcing 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¶2.1 is found in ¶¶4.1.1–4.1.2 of the FI Guidelines, identically worded but split across two provisions — with one addition: FI ¶4.1.1 states that observance "should include </w:t>
            </w:r>
            <w:r>
              <w:rPr>
                <w:rFonts w:ascii="Arial" w:cs="Arial" w:eastAsia="Arial" w:hAnsi="Arial"/>
                <w:i w:val="false"/>
                <w:iCs w:val="false"/>
                <w:color w:val="000000"/>
                <w:sz w:val="18"/>
                <w:szCs w:val="18"/>
                <w:highlight w:val="yellow"/>
                <w:highlightCs w:val="yellow"/>
              </w:rPr>
              <w:t xml:space="preserve">submission of its outsourcing register</w:t>
            </w:r>
            <w:r>
              <w:rPr>
                <w:rFonts w:ascii="Arial" w:cs="Arial" w:eastAsia="Arial" w:hAnsi="Arial"/>
                <w:i w:val="false"/>
                <w:iCs w:val="false"/>
                <w:color w:val="000000"/>
                <w:sz w:val="18"/>
                <w:szCs w:val="18"/>
              </w:rPr>
              <w:t xml:space="preserve"> in the template set out in Annex 4 </w:t>
            </w:r>
            <w:r>
              <w:rPr>
                <w:rFonts w:ascii="Arial" w:cs="Arial" w:eastAsia="Arial" w:hAnsi="Arial"/>
                <w:i w:val="false"/>
                <w:iCs w:val="false"/>
                <w:color w:val="000000"/>
                <w:sz w:val="18"/>
                <w:szCs w:val="18"/>
                <w:highlight w:val="yellow"/>
                <w:highlightCs w:val="yellow"/>
              </w:rPr>
              <w:t xml:space="preserve">at least annually or upon request</w:t>
            </w:r>
            <w:r>
              <w:rPr>
                <w:rFonts w:ascii="Arial" w:cs="Arial" w:eastAsia="Arial" w:hAnsi="Arial"/>
                <w:i w:val="false"/>
                <w:iCs w:val="false"/>
                <w:color w:val="000000"/>
                <w:sz w:val="18"/>
                <w:szCs w:val="18"/>
              </w:rPr>
              <w:t xml:space="preserve">", which has no Bank counterpart (the Bank register template link at fn 21 states no submission frequency).</w:t>
            </w:r>
          </w:p>
          <w:p>
            <w:pPr>
              <w:spacing w:after="40" w:before="40"/>
            </w:pPr>
            <w:r>
              <w:rPr>
                <w:rFonts w:ascii="Arial" w:cs="Arial" w:eastAsia="Arial" w:hAnsi="Arial"/>
                <w:i w:val="false"/>
                <w:iCs w:val="false"/>
                <w:color w:val="000000"/>
                <w:sz w:val="18"/>
                <w:szCs w:val="18"/>
              </w:rPr>
              <w:t xml:space="preserve">2.  FI ¶2.1 is Bank ¶1.3,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p>
            <w:pPr>
              <w:spacing w:after="40" w:before="40"/>
            </w:pPr>
            <w:r>
              <w:rPr>
                <w:rFonts w:ascii="Arial" w:cs="Arial" w:eastAsia="Arial" w:hAnsi="Arial"/>
                <w:i w:val="false"/>
                <w:iCs w:val="false"/>
                <w:color w:val="595959"/>
                <w:sz w:val="14"/>
                <w:szCs w:val="14"/>
              </w:rPr>
              <w:t xml:space="preserve">4 – Customer information does not include information that is not referable to any customer or named group of customers. This includes information anonymised or encrypted in a secure manner such that the identities of the customers cannot be readily inferred. Customer information which had previously been made public or is otherwise public information would still be considered 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1 provides a list of exempted outsourced services, for which the Guidelines do not apply. </w:t>
            </w:r>
            <w:r>
              <w:rPr>
                <w:rFonts w:ascii="Arial" w:cs="Arial" w:eastAsia="Arial" w:hAnsi="Arial"/>
                <w:i w:val="false"/>
                <w:iCs w:val="false"/>
                <w:color w:val="000000"/>
                <w:sz w:val="18"/>
                <w:szCs w:val="18"/>
                <w:highlight w:val="yellow"/>
                <w:highlightCs w:val="yellow"/>
              </w:rPr>
              <w:t xml:space="preserve">Annex 2 provides a non-exhaustive list of examples of outsourcing arrangements</w:t>
            </w:r>
            <w:r>
              <w:rPr>
                <w:rFonts w:ascii="Arial" w:cs="Arial" w:eastAsia="Arial" w:hAnsi="Arial"/>
                <w:i w:val="false"/>
                <w:iCs w:val="false"/>
                <w:color w:val="000000"/>
                <w:sz w:val="18"/>
                <w:szCs w:val="18"/>
              </w:rPr>
              <w:t xml:space="preserve">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w:t>
            </w:r>
            <w:r>
              <w:rPr>
                <w:rFonts w:ascii="Arial" w:cs="Arial" w:eastAsia="Arial" w:hAnsi="Arial"/>
                <w:i w:val="false"/>
                <w:iCs w:val="false"/>
                <w:color w:val="000000"/>
                <w:sz w:val="18"/>
                <w:szCs w:val="18"/>
                <w:highlight w:val="yellow"/>
                <w:highlightCs w:val="yellow"/>
              </w:rPr>
              <w:t xml:space="preserve">Annex 4 provides a template for an institution to maintain a register of its outsourcing arrangements which is to be submitted to MAS, at least annually or upon request.</w:t>
            </w:r>
            <w:r>
              <w:rPr>
                <w:rFonts w:ascii="Arial" w:cs="Arial" w:eastAsia="Arial" w:hAnsi="Arial"/>
                <w:i w:val="false"/>
                <w:iCs w:val="false"/>
                <w:color w:val="000000"/>
                <w:sz w:val="18"/>
                <w:szCs w:val="18"/>
              </w:rPr>
              <w:t xml:space="preserve"> Annex 5 provides guidance on use of cloud services.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¶2.2 is found at FI ¶4.2.1, worded identically. Footnote 4’s carve-outs are folded into the FI §3 definition of "customer information" — but the Bank footnote’s express rider that previously-public information remains customer information has no FI equivalent (the FI definition simply excludes "public" information).</w:t>
            </w:r>
          </w:p>
          <w:p>
            <w:pPr>
              <w:spacing w:after="40" w:before="40"/>
            </w:pPr>
            <w:r>
              <w:rPr>
                <w:rFonts w:ascii="Arial" w:cs="Arial" w:eastAsia="Arial" w:hAnsi="Arial"/>
                <w:i w:val="false"/>
                <w:iCs w:val="false"/>
                <w:color w:val="000000"/>
                <w:sz w:val="18"/>
                <w:szCs w:val="18"/>
              </w:rPr>
              <w:t xml:space="preserve">2.  FI ¶2.2 corresponds to Bank ¶1.4; the annex roadmaps differ as noted at row 1.4.</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2.3</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numbered 2.3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 institution incorporated in Singapore should also consider the impact of outsourcing arrangements by its branches and any corporation under its control, including those located outside Singapore, on its consolidated operations. </w:t>
            </w:r>
            <w:r>
              <w:rPr>
                <w:rFonts w:ascii="Arial" w:cs="Arial" w:eastAsia="Arial" w:hAnsi="Arial"/>
                <w:i w:val="false"/>
                <w:iCs w:val="false"/>
                <w:color w:val="000000"/>
                <w:sz w:val="18"/>
                <w:szCs w:val="18"/>
                <w:highlight w:val="yellow"/>
                <w:highlightCs w:val="yellow"/>
              </w:rPr>
              <w:t xml:space="preserve">Institutions incorporated in Singapore should ensure that these Guidelines are observed by branches and corporations under their control by applying a group-wide outsourcing risk management framework that complies with the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The affirmative duty to ensure group-wide observance has no Bank counterpart — Bank ¶3.11.1 (application to intra-group arrangements) and Annex 1 ¶4 (group-level materiality) reach group arrangements but contain no "ensure observance" instruction.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2.4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numbered 2.4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pursuant to the relevant legislation and subsidiary legislation. The Guidelines do not affect and should not be regarded as a statement of the standard of care owed by institutions to their customers.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Identical to Bank ¶1.5, minus footnote 3 (the MAS Information Paper reference).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[FI 4.1.3]</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equivalent provision under the Bank Guidelines’ Engagement with MAS section.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[¶4.1.3]</w:t>
            </w:r>
            <w:r>
              <w:rPr>
                <w:rFonts w:ascii="Arial" w:cs="Arial" w:eastAsia="Arial" w:hAnsi="Arial"/>
                <w:i w:val="false"/>
                <w:iCs w:val="false"/>
                <w:color w:val="000000"/>
                <w:sz w:val="18"/>
                <w:szCs w:val="18"/>
              </w:rPr>
              <w:t xml:space="preserve"> MAS may require an institution to </w:t>
            </w:r>
            <w:r>
              <w:rPr>
                <w:rFonts w:ascii="Arial" w:cs="Arial" w:eastAsia="Arial" w:hAnsi="Arial"/>
                <w:i w:val="false"/>
                <w:iCs w:val="false"/>
                <w:color w:val="000000"/>
                <w:sz w:val="18"/>
                <w:szCs w:val="18"/>
                <w:highlight w:val="yellow"/>
                <w:highlightCs w:val="yellow"/>
              </w:rPr>
              <w:t xml:space="preserve">modify, make alternative arrangements or re-integrate an outsourced service into the institution</w:t>
            </w:r>
            <w:r>
              <w:rPr>
                <w:rFonts w:ascii="Arial" w:cs="Arial" w:eastAsia="Arial" w:hAnsi="Arial"/>
                <w:i w:val="false"/>
                <w:iCs w:val="false"/>
                <w:color w:val="000000"/>
                <w:sz w:val="18"/>
                <w:szCs w:val="18"/>
              </w:rPr>
              <w:t xml:space="preserve"> where one of the following circumstances arises: (a) An institution fails or is unable to demonstrate a satisfactory level of understanding of the nature and extent of risk arising from the outsourcing arrangement; (b) An institution fails or is unable to implement adequate measures to address the risks arising from its outsourcing arrangements in a satisfactory and timely manner; (c) Adverse developments arise from the outsourcing arrangement that could impact an institution; (d) </w:t>
            </w:r>
            <w:r>
              <w:rPr>
                <w:rFonts w:ascii="Arial" w:cs="Arial" w:eastAsia="Arial" w:hAnsi="Arial"/>
                <w:i w:val="false"/>
                <w:iCs w:val="false"/>
                <w:color w:val="000000"/>
                <w:sz w:val="18"/>
                <w:szCs w:val="18"/>
                <w:highlight w:val="yellow"/>
                <w:highlightCs w:val="yellow"/>
              </w:rPr>
              <w:t xml:space="preserve">MAS’ supervisory powers over the institution and ability to carry out MAS’ supervisory functions in respect of the institution’s services are hindered</w:t>
            </w:r>
            <w:r>
              <w:rPr>
                <w:rFonts w:ascii="Arial" w:cs="Arial" w:eastAsia="Arial" w:hAnsi="Arial"/>
                <w:i w:val="false"/>
                <w:iCs w:val="false"/>
                <w:color w:val="000000"/>
                <w:sz w:val="18"/>
                <w:szCs w:val="18"/>
              </w:rPr>
              <w:t xml:space="preserve">; or (e) </w:t>
            </w:r>
            <w:r>
              <w:rPr>
                <w:rFonts w:ascii="Arial" w:cs="Arial" w:eastAsia="Arial" w:hAnsi="Arial"/>
                <w:i w:val="false"/>
                <w:iCs w:val="false"/>
                <w:color w:val="000000"/>
                <w:sz w:val="18"/>
                <w:szCs w:val="18"/>
                <w:highlight w:val="yellow"/>
                <w:highlightCs w:val="yellow"/>
              </w:rPr>
              <w:t xml:space="preserve">The security and confidentiality of the institution’s customer information is lowered due to changes in the control environment of the service provider</w:t>
            </w:r>
            <w:r>
              <w:rPr>
                <w:rFonts w:ascii="Arial" w:cs="Arial" w:eastAsia="Arial" w:hAnsi="Arial"/>
                <w:i w:val="false"/>
                <w:iCs w:val="false"/>
                <w:color w:val="000000"/>
                <w:sz w:val="18"/>
                <w:szCs w:val="18"/>
              </w:rPr>
              <w:t xml:space="preserv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in this form. The Bank counterpart mechanism is ¶¶3.4.5–3.4.6: MAS directing termination of the contract or stopping the MOORS under Notices ¶7.1(g), on eight grounds (incl. audit obstruction under s 47A(10) Banking Act), expressed as a last resort with reasonable notice. Grounds (d) and (e) here have no Bank equivalent; the Bank audit-obstruction grounds have no FI equivalent.</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3.</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Risk Management Practices</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Definitions</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Section 3 of the Bank Guidelines corresponds to Section 5 of the FI Guidelines (offset: Bank 3.1→FI 5.2, 3.2→5.3, 3.3→5.4, 3.4→5.5, 3.5→folded into 5.5.2(j), 3.6→5.6, 3.7→5.7, 3.8→5.8, 3.9→5.9, 3.10→5.10, 3.11→5.11, 3.12→5.12). Section 3 of the FI Guidelines ("Definitions") has no Bank counterpart — Bank ¶1.4 defers to the Notices for definitions.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Responsibilities of the Board and Senior Management</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[¶3.1 – Definitions]</w:t>
            </w:r>
            <w:r>
              <w:rPr>
                <w:rFonts w:ascii="Arial" w:cs="Arial" w:eastAsia="Arial" w:hAnsi="Arial"/>
                <w:i w:val="false"/>
                <w:iCs w:val="false"/>
                <w:color w:val="000000"/>
                <w:sz w:val="18"/>
                <w:szCs w:val="18"/>
              </w:rPr>
              <w:t xml:space="preserve"> In these Guidelines on Outsourcing, unless the context otherwise requires: definitions are provided for </w:t>
            </w:r>
            <w:r>
              <w:rPr>
                <w:rFonts w:ascii="Arial" w:cs="Arial" w:eastAsia="Arial" w:hAnsi="Arial"/>
                <w:i w:val="false"/>
                <w:iCs w:val="false"/>
                <w:color w:val="000000"/>
                <w:sz w:val="18"/>
                <w:szCs w:val="18"/>
                <w:highlight w:val="yellow"/>
                <w:highlightCs w:val="yellow"/>
              </w:rPr>
              <w:t xml:space="preserve">"benchmark administrator"; "board" (for a foreign-incorporated institution, a management committee or body beyond local management charged with oversight of the Singapore operations); "bridge-institution"; "business relations" [sector-specific limbs for insurers, CMIs, financial advisers, card licensees and benchmark administrators]; "CMI"; "customer" [ten sector-specific limbs covering CIS trustees, exchanges, market operators, trade repositories, clearing houses, the central depository, licensed trust companies, insurers, insurance intermediaries, financial advisers, CMIs, card licensees, money-changers/remittance businesses and benchmark administrators]; "customer information" [SFA "user information"/"transaction information" for market infrastructure; otherwise customers’ accounts, particulars, transaction details and dealings, excluding public, anonymised or securely encrypted information]; "financial adviser" [Amended on 24 January 2025]; "institution" (any FSMA s 2 financial institution other than a licensed bank or merchant bank); "material outsourcing arrangement" (an arrangement which (a) on service failure or security breach has the potential to materially impact the institution’s business operations, reputation or profitability, or ability to manage risk and comply with applicable laws and regulations, or (b) involves customer information which, on unauthorised access or disclosure, loss or theft, may have a material impact on the institution’s customers); "legal arrangement"; "legal person"; "outsourcing agreement"; "outsourcing arrangement" (an arrangement in which a service provider provides the institution with a service that may currently or potentially be performed by the institution itself and which includes the following characteristics: (a) the institution is dependent on the service on an ongoing basis; and (b) the service is integral to the provision of a financial service by the institution or the service is provided to the market by the service provider in the name of the institution); "relevant business transaction"; "service provider" (any party providing a service to the institution, including any entity within the institution’s group); and "sub-contracting"</w:t>
            </w:r>
            <w:r>
              <w:rPr>
                <w:rFonts w:ascii="Arial" w:cs="Arial" w:eastAsia="Arial" w:hAnsi="Arial"/>
                <w:i w:val="false"/>
                <w:iCs w:val="false"/>
                <w:color w:val="000000"/>
                <w:sz w:val="18"/>
                <w:szCs w:val="18"/>
              </w:rPr>
              <w:t xml:space="preserve">. [Text in square brackets is editorial abridgement; all other text is verbatim.]</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The FI §3 glossary (17 defined terms) has no Bank counterpart; the Bank Guidelines define only "bridge-institution" (fn 14) and "multi-tenancy" (fn 20) in footnotes and delimit "customer information" at fn 4, deferring otherwise to the Notices.</w:t>
            </w:r>
          </w:p>
          <w:p>
            <w:pPr>
              <w:spacing w:after="40" w:before="40"/>
            </w:pPr>
            <w:r>
              <w:rPr>
                <w:rFonts w:ascii="Arial" w:cs="Arial" w:eastAsia="Arial" w:hAnsi="Arial"/>
                <w:i w:val="false"/>
                <w:iCs w:val="false"/>
                <w:color w:val="000000"/>
                <w:sz w:val="18"/>
                <w:szCs w:val="18"/>
              </w:rPr>
              <w:t xml:space="preserve">2.  Bank sub-section 3.1 ("Responsibilities of the Board and Senior Management") corresponds to FI sub-section 5.2.</w:t>
            </w:r>
          </w:p>
          <w:p>
            <w:pPr>
              <w:spacing w:after="40" w:before="40"/>
            </w:pPr>
            <w:r>
              <w:rPr>
                <w:rFonts w:ascii="Arial" w:cs="Arial" w:eastAsia="Arial" w:hAnsi="Arial"/>
                <w:i w:val="false"/>
                <w:iCs w:val="false"/>
                <w:color w:val="000000"/>
                <w:sz w:val="18"/>
                <w:szCs w:val="18"/>
              </w:rPr>
              <w:t xml:space="preserve">3.  "Material outsourcing arrangement" is defined in the FI instrument itself; the Bank equivalent (MOORS) is defined in the Notices.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[¶5.2.1]</w:t>
            </w:r>
            <w:r>
              <w:rPr>
                <w:rFonts w:ascii="Arial" w:cs="Arial" w:eastAsia="Arial" w:hAnsi="Arial"/>
                <w:i w:val="false"/>
                <w:iCs w:val="false"/>
                <w:color w:val="000000"/>
                <w:sz w:val="18"/>
                <w:szCs w:val="18"/>
              </w:rPr>
              <w:t xml:space="preserve"> The board and senior management of an institution play pivotal roles in ensuring a sound risk management culture and environment. While an institution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institution, its board and senior management. The board and senior management of an institution should ensure there are adequate processes to provide a comprehensive institution-wide view of the institution's risk exposures from outsourcing, and incorporate the assessment and mitigation of such risks into the institution's outsourcing risk management framework.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¶5.2.1, worded identically ("institution-wide" for "bank-wide").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Bank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bank-wide view of risk; and (f) undertaking regular reviews of strategies relating to outsourcing arrangements and outsourcing arrangements for their continued relevance, and safety and soundness.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[¶5.2.2]</w:t>
            </w:r>
            <w:r>
              <w:rPr>
                <w:rFonts w:ascii="Arial" w:cs="Arial" w:eastAsia="Arial" w:hAnsi="Arial"/>
                <w:i w:val="false"/>
                <w:iCs w:val="false"/>
                <w:color w:val="000000"/>
                <w:sz w:val="18"/>
                <w:szCs w:val="18"/>
              </w:rPr>
              <w:t xml:space="preserve"> 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institution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institution-wide view of risk; and (f) undertaking regular reviews of strategies relating to outsourcing and arrangements for their continued relevance, and safety and soundness.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¶5.2.2, worded identically (item (f) has trivial drafting variance in the officials’ own texts).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Bank's overall risk profile and risk environment; (d) monitoring and maintaining effective control of all risks from its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on a bank-wide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to the board in a timely manner.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[¶5.2.3]</w:t>
            </w:r>
            <w:r>
              <w:rPr>
                <w:rFonts w:ascii="Arial" w:cs="Arial" w:eastAsia="Arial" w:hAnsi="Arial"/>
                <w:i w:val="false"/>
                <w:iCs w:val="false"/>
                <w:color w:val="000000"/>
                <w:sz w:val="18"/>
                <w:szCs w:val="18"/>
              </w:rPr>
              <w:t xml:space="preserve"> 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institution's overall risk profile and risk environment; (d) monitoring and maintaining effective control of all risks from its material outsourcing arrangements on a institution-wide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material outsourcing arrangements to the board in a timely manner.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¶5.2.3, worded identically except items (d) and (h): "MOORS" (Bank) vs "material outsourcing arrangements" (FI).</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[¶5.2.4]</w:t>
            </w:r>
            <w:r>
              <w:rPr>
                <w:rFonts w:ascii="Arial" w:cs="Arial" w:eastAsia="Arial" w:hAnsi="Arial"/>
                <w:i w:val="false"/>
                <w:iCs w:val="false"/>
                <w:color w:val="000000"/>
                <w:sz w:val="18"/>
                <w:szCs w:val="18"/>
              </w:rPr>
              <w:t xml:space="preserve"> Where the board delegates its responsibility to a committee as described in paragraph 5.2.2,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paragraphs 5.2.3. Notwithstanding the delegation of responsibility to a committee, the board shall remain responsible for the performance of its responsibilities by that committee.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¶5.2.4, worded identically (cross-references renumbered).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[¶5.2.5]</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Arial" w:cs="Arial" w:eastAsia="Arial" w:hAnsi="Arial"/>
                <w:i w:val="false"/>
                <w:iCs w:val="false"/>
                <w:color w:val="000000"/>
                <w:sz w:val="18"/>
                <w:szCs w:val="18"/>
              </w:rPr>
              <w:t xml:space="preserve"> The functions of senior management in paragraph 5.2.3 lie with local management. Local management of an institution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institution in a prudent and professional manner.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¶5.2.5 adds an opening sentence expressly permitting delegation of board functions to a management committee or body beyond local management (e.g. a regional risk management committee) for foreign-incorporated institutions, dovetailing with the FI §3 "board" definition. The Bank provision addresses only the local-management limb.</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Evaluation of risks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5.3 ("Evaluation of risks").</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from outsourcing. The bank should establish a framework for risk evaluation that includes the following steps: (a) identifying the role of outsourcing in the overall business strategy and objectives of the Bank; (b) performing comprehensive due diligence on the nature, scope and complexity of the outsourcing arrangement to identify and mitigate key risks; (c) assessing5 the service provider's ability to employ a high standard of care in performing the </w:t>
            </w:r>
            <w:r>
              <w:rPr>
                <w:rFonts w:ascii="Arial" w:cs="Arial" w:eastAsia="Arial" w:hAnsi="Arial"/>
                <w:i w:val="false"/>
                <w:iCs w:val="false"/>
                <w:color w:val="000000"/>
                <w:sz w:val="18"/>
                <w:szCs w:val="18"/>
                <w:highlight w:val="yellow"/>
                <w:highlightCs w:val="yellow"/>
              </w:rPr>
              <w:t xml:space="preserve">outsourced relevant service</w:t>
            </w:r>
            <w:r>
              <w:rPr>
                <w:rFonts w:ascii="Arial" w:cs="Arial" w:eastAsia="Arial" w:hAnsi="Arial"/>
                <w:i w:val="false"/>
                <w:iCs w:val="false"/>
                <w:color w:val="000000"/>
                <w:sz w:val="18"/>
                <w:szCs w:val="18"/>
              </w:rPr>
              <w:t xml:space="preserve"> and meet regulatory standards as expected of the Bank, </w:t>
            </w:r>
            <w:r>
              <w:rPr>
                <w:rFonts w:ascii="Arial" w:cs="Arial" w:eastAsia="Arial" w:hAnsi="Arial"/>
                <w:i w:val="false"/>
                <w:iCs w:val="false"/>
                <w:color w:val="000000"/>
                <w:sz w:val="18"/>
                <w:szCs w:val="18"/>
                <w:highlight w:val="yellow"/>
                <w:highlightCs w:val="yellow"/>
              </w:rPr>
              <w:t xml:space="preserve">as if the service is performed by the Bank</w:t>
            </w:r>
            <w:r>
              <w:rPr>
                <w:rFonts w:ascii="Arial" w:cs="Arial" w:eastAsia="Arial" w:hAnsi="Arial"/>
                <w:i w:val="false"/>
                <w:iCs w:val="false"/>
                <w:color w:val="000000"/>
                <w:sz w:val="18"/>
                <w:szCs w:val="18"/>
              </w:rPr>
              <w:t xml:space="preserve">; (d) analysing the impact of the outsourcing arrangement on the overall risk profile of the Bank, and whether there are adequate internal expertise and resources to mitigate the risks identified; (e) analysing the Bank's as well as the Bank's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p>
            <w:pPr>
              <w:spacing w:after="40" w:before="40"/>
            </w:pPr>
            <w:r>
              <w:rPr>
                <w:rFonts w:ascii="Arial" w:cs="Arial" w:eastAsia="Arial" w:hAnsi="Arial"/>
                <w:i w:val="false"/>
                <w:iCs w:val="false"/>
                <w:color w:val="595959"/>
                <w:sz w:val="14"/>
                <w:szCs w:val="14"/>
              </w:rPr>
              <w:t xml:space="preserve">5 – Please see paragraph 3.3 on assessment of service providers.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[¶5.3.1]</w:t>
            </w:r>
            <w:r>
              <w:rPr>
                <w:rFonts w:ascii="Arial" w:cs="Arial" w:eastAsia="Arial" w:hAnsi="Arial"/>
                <w:i w:val="false"/>
                <w:iCs w:val="false"/>
                <w:color w:val="000000"/>
                <w:sz w:val="18"/>
                <w:szCs w:val="18"/>
              </w:rPr>
              <w:t xml:space="preserve"> In order to be satisfied that an outsourcing arrangement does not result in the risk management, internal control, business conduct or reputation of an institution being compromised or weakened, the board and senior management would need to fully appreciate the risks arising from outsourcing. The institution should establish a framework for risk evaluation that includes the following steps: (a) identifying the role of outsourcing in the overall business strategy and objectives of the institution; (b) performing comprehensive due diligence on the nature, scope and complexity of the outsourcing arrangement to identify and mitigate key risks; (c) assessing5 the service provider's ability to employ a high standard of care in performing the outsourced service and meet regulatory standards as expected of the institution, as if the outsourcing arrangement is performed by the institution; (d) analysing the impact of the outsourcing arrangement on the overall risk profile of the institution, and whether there are adequate internal expertise and resources to mitigate the risks identified; (e) analysing the institution's as well as the institution's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in the outsourcing arrangement, and whether for strategic and internal control reasons, the institution should not enter into the outsourcing arrangement.</w:t>
            </w:r>
          </w:p>
          <w:p>
            <w:pPr>
              <w:spacing w:after="40" w:before="40"/>
            </w:pPr>
            <w:r>
              <w:rPr>
                <w:rFonts w:ascii="Arial" w:cs="Arial" w:eastAsia="Arial" w:hAnsi="Arial"/>
                <w:i w:val="false"/>
                <w:iCs w:val="false"/>
                <w:color w:val="595959"/>
                <w:sz w:val="14"/>
                <w:szCs w:val="14"/>
              </w:rPr>
              <w:t xml:space="preserve">5 – Please see paragraph 5.4 on assessment of service providers.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¶5.3.1, worded identically in substance; sub-substantive drift only — Bank (c) "outsourced relevant service … as if the service is performed by the Bank" vs FI "outsourced service … as if the outsourcing arrangement is performed by the institution".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[¶5.3.2]</w:t>
            </w:r>
            <w:r>
              <w:rPr>
                <w:rFonts w:ascii="Arial" w:cs="Arial" w:eastAsia="Arial" w:hAnsi="Arial"/>
                <w:i w:val="false"/>
                <w:iCs w:val="false"/>
                <w:color w:val="000000"/>
                <w:sz w:val="18"/>
                <w:szCs w:val="18"/>
              </w:rPr>
              <w:t xml:space="preserve"> Such risk evaluations should be performed when an institution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institution.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¶5.3.2,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3.2.3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decision on obtaining legal advice and the frequency for obtaining such advice should be approved by the Bank's board, or a committee delegated by it, and whenever there are significant changes in the relevant law(s) overseas.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Banking-secrecy-driven provision on independent legal advice for overseas disclosure of customer information; no FI counterpart anywhere.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Assessment of service providers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5.4 ("Assessment of service providers").</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In considering, renegotiating or renewing an outsourcing arrangement, a Bank should subject the service provider to appropriate due diligence processes to assess the risks associated with the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[¶5.4.1]</w:t>
            </w:r>
            <w:r>
              <w:rPr>
                <w:rFonts w:ascii="Arial" w:cs="Arial" w:eastAsia="Arial" w:hAnsi="Arial"/>
                <w:i w:val="false"/>
                <w:iCs w:val="false"/>
                <w:color w:val="000000"/>
                <w:sz w:val="18"/>
                <w:szCs w:val="18"/>
              </w:rPr>
              <w:t xml:space="preserve"> In considering, renegotiating or renewing an outsourcing arrangement, an institution should subject the service provider to appropriate due diligence processes to assess the risks associated with the outsourcing arrangements.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Bank's assessment. Onsite visits should be conducted by persons who possess the requisite knowledge and skills to conduct the assessment.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[¶5.4.2]</w:t>
            </w:r>
            <w:r>
              <w:rPr>
                <w:rFonts w:ascii="Arial" w:cs="Arial" w:eastAsia="Arial" w:hAnsi="Arial"/>
                <w:i w:val="false"/>
                <w:iCs w:val="false"/>
                <w:color w:val="000000"/>
                <w:sz w:val="18"/>
                <w:szCs w:val="18"/>
              </w:rPr>
              <w:t xml:space="preserve"> An institution should assess all relevant aspects of the service provider, including its capability to employ a high standard of care in the performance of the outsourcing arrangement as if the service is performed by the institution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institution's assessment. Onsite visits should be conducted by persons who possess the requisite knowledge and skills to conduct the assessment.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spacing w:after="40" w:before="40"/>
            </w:pPr>
            <w:r>
              <w:rPr>
                <w:rFonts w:ascii="Arial" w:cs="Arial" w:eastAsia="Arial" w:hAnsi="Arial"/>
                <w:i w:val="false"/>
                <w:iCs w:val="false"/>
                <w:color w:val="595959"/>
                <w:sz w:val="14"/>
                <w:szCs w:val="14"/>
              </w:rPr>
              <w:t xml:space="preserve">6 – Standards should be commensurate with that expected of the institution as set out in MAS' Technology Risk Management Guidelines.</w:t>
            </w:r>
          </w:p>
          <w:p>
            <w:pPr>
              <w:spacing w:after="40" w:before="40"/>
            </w:pPr>
            <w:r>
              <w:rPr>
                <w:rFonts w:ascii="Arial" w:cs="Arial" w:eastAsia="Arial" w:hAnsi="Arial"/>
                <w:i w:val="false"/>
                <w:iCs w:val="false"/>
                <w:color w:val="595959"/>
                <w:sz w:val="14"/>
                <w:szCs w:val="14"/>
              </w:rPr>
              <w:t xml:space="preserve">7 – Standards should be commensurate with that expected of the institution as set out in MAS' Business Continuity Management Guidelines. Please also see paragraph 3.7 for more guidance.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[¶5.4.3]</w:t>
            </w:r>
            <w:r>
              <w:rPr>
                <w:rFonts w:ascii="Arial" w:cs="Arial" w:eastAsia="Arial" w:hAnsi="Arial"/>
                <w:i w:val="false"/>
                <w:iCs w:val="false"/>
                <w:color w:val="000000"/>
                <w:sz w:val="18"/>
                <w:szCs w:val="18"/>
              </w:rPr>
              <w:t xml:space="preserve"> 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spacing w:after="40" w:before="40"/>
            </w:pPr>
            <w:r>
              <w:rPr>
                <w:rFonts w:ascii="Arial" w:cs="Arial" w:eastAsia="Arial" w:hAnsi="Arial"/>
                <w:i w:val="false"/>
                <w:iCs w:val="false"/>
                <w:color w:val="595959"/>
                <w:sz w:val="14"/>
                <w:szCs w:val="14"/>
              </w:rPr>
              <w:t xml:space="preserve">6 – Standards should be commensurate with that expected of the institution as set out in MAS' Technology Risk Management Guidelines.</w:t>
            </w:r>
          </w:p>
          <w:p>
            <w:pPr>
              <w:spacing w:after="40" w:before="40"/>
            </w:pPr>
            <w:r>
              <w:rPr>
                <w:rFonts w:ascii="Arial" w:cs="Arial" w:eastAsia="Arial" w:hAnsi="Arial"/>
                <w:i w:val="false"/>
                <w:iCs w:val="false"/>
                <w:color w:val="595959"/>
                <w:sz w:val="14"/>
                <w:szCs w:val="14"/>
              </w:rPr>
              <w:t xml:space="preserve">7 – Standards should be commensurate with that expected of the institution as set out in MAS' Business Continuity Management Guidelines. Please also see paragraph 5.7 of the Guidelines on Outsourcing for more guidance.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¶5.4.3, worded identically (footnotes 6–7 identical, cross-reference renumbered).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[¶5.4.4]</w:t>
            </w:r>
            <w:r>
              <w:rPr>
                <w:rFonts w:ascii="Arial" w:cs="Arial" w:eastAsia="Arial" w:hAnsi="Arial"/>
                <w:i w:val="false"/>
                <w:iCs w:val="false"/>
                <w:color w:val="000000"/>
                <w:sz w:val="18"/>
                <w:szCs w:val="18"/>
              </w:rPr>
              <w:t xml:space="preserve"> An institution should ensure that the employees of the service provider undertaking any part of the outsourcing arrangement have been assessed to meet the institution's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¶5.4.4,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Arial" w:cs="Arial" w:eastAsia="Arial" w:hAnsi="Arial"/>
                <w:i w:val="false"/>
                <w:iCs w:val="false"/>
                <w:color w:val="000000"/>
                <w:sz w:val="18"/>
                <w:szCs w:val="18"/>
                <w:highlight w:val="yellow"/>
                <w:highlightCs w:val="yellow"/>
              </w:rPr>
              <w:t xml:space="preserve">service</w:t>
            </w:r>
            <w:r>
              <w:rPr>
                <w:rFonts w:ascii="Arial" w:cs="Arial" w:eastAsia="Arial" w:hAnsi="Arial"/>
                <w:i w:val="false"/>
                <w:iCs w:val="false"/>
                <w:color w:val="000000"/>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spacing w:after="40" w:before="40"/>
            </w:pPr>
            <w:r>
              <w:rPr>
                <w:rFonts w:ascii="Arial" w:cs="Arial" w:eastAsia="Arial" w:hAnsi="Arial"/>
                <w:i w:val="false"/>
                <w:iCs w:val="false"/>
                <w:color w:val="595959"/>
                <w:sz w:val="14"/>
                <w:szCs w:val="14"/>
              </w:rPr>
              <w:t xml:space="preserve">8 – Please see paragraph 3.11 on provision of outsourced relevant services within a group.</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[¶5.4.5]</w:t>
            </w:r>
            <w:r>
              <w:rPr>
                <w:rFonts w:ascii="Arial" w:cs="Arial" w:eastAsia="Arial" w:hAnsi="Arial"/>
                <w:i w:val="false"/>
                <w:iCs w:val="false"/>
                <w:color w:val="000000"/>
                <w:sz w:val="18"/>
                <w:szCs w:val="18"/>
              </w:rPr>
              <w:t xml:space="preserve"> 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arrangement and impact to the institution in the event of a disruption to service or breach of security and confidentiality (e.g. reduced due diligence may be sufficient where the outsourcing arrangements are made within the institution's group8). An institution should ensure that the information used for due diligence evaluation is sufficiently current. An institution should also consider the findings from the due diligence evaluation to determine the frequency and scope of audit on the service provider.</w:t>
            </w:r>
          </w:p>
          <w:p>
            <w:pPr>
              <w:spacing w:after="40" w:before="40"/>
            </w:pPr>
            <w:r>
              <w:rPr>
                <w:rFonts w:ascii="Arial" w:cs="Arial" w:eastAsia="Arial" w:hAnsi="Arial"/>
                <w:i w:val="false"/>
                <w:iCs w:val="false"/>
                <w:color w:val="595959"/>
                <w:sz w:val="14"/>
                <w:szCs w:val="14"/>
              </w:rPr>
              <w:t xml:space="preserve">8 – Please see paragraph 5.11 on arrangements relating to outsourcing within a group.</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¶5.4.5, worded identically ("service"→"arrangement"; footnote cross-reference reworded).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3.3.6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Interprets Notices ¶5.2(b); no Notice or counterpart exists for FIs. (The FI analogue in spirit is the annual periodic review at FI ¶5.8.2(d).)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agreement</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5.5 ("Outsourcing agreement").</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[¶5.5.1]</w:t>
            </w:r>
            <w:r>
              <w:rPr>
                <w:rFonts w:ascii="Arial" w:cs="Arial" w:eastAsia="Arial" w:hAnsi="Arial"/>
                <w:i w:val="false"/>
                <w:iCs w:val="false"/>
                <w:color w:val="000000"/>
                <w:sz w:val="18"/>
                <w:szCs w:val="18"/>
              </w:rPr>
              <w:t xml:space="preserve"> 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institutions' legal counsel) on their legality and enforceability.</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¶5.5.1,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w:t>
            </w:r>
            <w:r>
              <w:rPr>
                <w:rFonts w:ascii="Arial" w:cs="Arial" w:eastAsia="Arial" w:hAnsi="Arial"/>
                <w:i w:val="false"/>
                <w:iCs w:val="false"/>
                <w:color w:val="000000"/>
                <w:sz w:val="18"/>
                <w:szCs w:val="18"/>
                <w:highlight w:val="yellow"/>
                <w:highlightCs w:val="yellow"/>
              </w:rPr>
              <w:t xml:space="preserve">9</w:t>
            </w:r>
            <w:r>
              <w:rPr>
                <w:rFonts w:ascii="Arial" w:cs="Arial" w:eastAsia="Arial" w:hAnsi="Arial"/>
                <w:i w:val="false"/>
                <w:iCs w:val="false"/>
                <w:color w:val="000000"/>
                <w:sz w:val="18"/>
                <w:szCs w:val="18"/>
              </w:rPr>
              <w:t xml:space="preserve">; (d) business continuity management; (e) monitoring and control; (f) audit and inspection</w:t>
            </w:r>
            <w:r>
              <w:rPr>
                <w:rFonts w:ascii="Arial" w:cs="Arial" w:eastAsia="Arial" w:hAnsi="Arial"/>
                <w:i w:val="false"/>
                <w:iCs w:val="false"/>
                <w:color w:val="000000"/>
                <w:sz w:val="18"/>
                <w:szCs w:val="18"/>
                <w:highlight w:val="yellow"/>
                <w:highlightCs w:val="yellow"/>
              </w:rPr>
              <w:t xml:space="preserve">12</w:t>
            </w:r>
            <w:r>
              <w:rPr>
                <w:rFonts w:ascii="Arial" w:cs="Arial" w:eastAsia="Arial" w:hAnsi="Arial"/>
                <w:i w:val="false"/>
                <w:iCs w:val="false"/>
                <w:color w:val="000000"/>
                <w:sz w:val="18"/>
                <w:szCs w:val="18"/>
              </w:rPr>
              <w:t xml:space="preserve">;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 (j) applicable laws — Agreements should include choice-of-law provisions, agreement covenants and jurisdictional covenants that provide for adjudication of disputes between the parties under the laws of a specific jurisdiction.</w:t>
            </w:r>
          </w:p>
          <w:p>
            <w:pPr>
              <w:spacing w:after="40" w:before="40"/>
            </w:pPr>
            <w:r>
              <w:rPr>
                <w:rFonts w:ascii="Arial" w:cs="Arial" w:eastAsia="Arial" w:hAnsi="Arial"/>
                <w:i w:val="false"/>
                <w:iCs w:val="false"/>
                <w:color w:val="595959"/>
                <w:sz w:val="14"/>
                <w:szCs w:val="14"/>
              </w:rPr>
              <w:t xml:space="preserve">9 – The provisions of the outsourcing agreement for a MOORS that relate to confidentiality and security should include the requirements set out in paragraph 7.1(a) to (c) of the Notices. Refer also to paragraph 3.6.</w:t>
            </w:r>
          </w:p>
          <w:p>
            <w:pPr>
              <w:spacing w:after="40" w:before="40"/>
            </w:pPr>
            <w:r>
              <w:rPr>
                <w:rFonts w:ascii="Arial" w:cs="Arial" w:eastAsia="Arial" w:hAnsi="Arial"/>
                <w:i w:val="false"/>
                <w:iCs w:val="false"/>
                <w:color w:val="595959"/>
                <w:sz w:val="14"/>
                <w:szCs w:val="14"/>
              </w:rPr>
              <w:t xml:space="preserve">12 – The provisions of the outsourcing agreement for a MOORS that relate to audit and inspection should include the requirements set out in paragraph 7.1(d) of the Notices. Refer also to paragraph 3.9.</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w:t>
            </w:r>
            <w:r>
              <w:rPr>
                <w:rFonts w:ascii="Arial" w:cs="Arial" w:eastAsia="Arial" w:hAnsi="Arial"/>
                <w:i w:val="false"/>
                <w:iCs w:val="false"/>
                <w:color w:val="000000"/>
                <w:sz w:val="18"/>
                <w:szCs w:val="18"/>
              </w:rPr>
              <w:t xml:space="preserve"> 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 (d) business continuity management; (e) monitoring and control; (f) audit and inspection; (g) notification of adverse developments [as per the Bank text, addressee adjusted, cross-referring ¶4.2.1]; (h) dispute resolution [as per the Bank text, addressee adjusted]; (i) default termination and early exit [expanded inline — see row 3.4.3 below]; </w:t>
            </w:r>
            <w:r>
              <w:rPr>
                <w:rFonts w:ascii="Arial" w:cs="Arial" w:eastAsia="Arial" w:hAnsi="Arial"/>
                <w:i w:val="false"/>
                <w:iCs w:val="false"/>
                <w:color w:val="000000"/>
                <w:sz w:val="18"/>
                <w:szCs w:val="18"/>
                <w:highlight w:val="yellow"/>
                <w:highlightCs w:val="yellow"/>
              </w:rPr>
              <w:t xml:space="preserve">(j) sub-contracting</w:t>
            </w:r>
            <w:r>
              <w:rPr>
                <w:rFonts w:ascii="Arial" w:cs="Arial" w:eastAsia="Arial" w:hAnsi="Arial"/>
                <w:i w:val="false"/>
                <w:iCs w:val="false"/>
                <w:color w:val="000000"/>
                <w:sz w:val="18"/>
                <w:szCs w:val="18"/>
              </w:rPr>
              <w:t xml:space="preserve"> [see row 3.5.1 below]; (k) applicable laws [as per the Bank text].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Same core checklist, found at FI ¶5.5.2, with three differences: (i) the FI list adds </w:t>
            </w:r>
            <w:r>
              <w:rPr>
                <w:rFonts w:ascii="Arial" w:cs="Arial" w:eastAsia="Arial" w:hAnsi="Arial"/>
                <w:i w:val="false"/>
                <w:iCs w:val="false"/>
                <w:color w:val="000000"/>
                <w:sz w:val="18"/>
                <w:szCs w:val="18"/>
                <w:highlight w:val="yellow"/>
                <w:highlightCs w:val="yellow"/>
              </w:rPr>
              <w:t xml:space="preserve">item (j) sub-contracting</w:t>
            </w:r>
            <w:r>
              <w:rPr>
                <w:rFonts w:ascii="Arial" w:cs="Arial" w:eastAsia="Arial" w:hAnsi="Arial"/>
                <w:i w:val="false"/>
                <w:iCs w:val="false"/>
                <w:color w:val="000000"/>
                <w:sz w:val="18"/>
                <w:szCs w:val="18"/>
              </w:rPr>
              <w:t xml:space="preserve"> (the Bank Guidelines deal with sub-contracting in a dedicated §3.5); (ii) Bank footnotes 9 and 12 require MOORS agreements to include the binding requirements of Notices ¶7.1(a)–(c) and ¶7.1(d) — no FI equivalent; (iii) the FI version expands "default termination and early exit" inline (see next row).</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have the right to terminate the outsourcing agreement in the event of default, or under any of the following circumstances: </w:t>
            </w:r>
            <w:r>
              <w:rPr>
                <w:rFonts w:ascii="Arial" w:cs="Arial" w:eastAsia="Arial" w:hAnsi="Arial"/>
                <w:i w:val="false"/>
                <w:iCs w:val="false"/>
                <w:color w:val="000000"/>
                <w:sz w:val="18"/>
                <w:szCs w:val="18"/>
                <w:highlight w:val="yellow"/>
                <w:highlightCs w:val="yellow"/>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[¶5.5.2(i)]</w:t>
            </w:r>
            <w:r>
              <w:rPr>
                <w:rFonts w:ascii="Arial" w:cs="Arial" w:eastAsia="Arial" w:hAnsi="Arial"/>
                <w:i w:val="false"/>
                <w:iCs w:val="false"/>
                <w:color w:val="000000"/>
                <w:sz w:val="18"/>
                <w:szCs w:val="18"/>
              </w:rPr>
              <w:t xml:space="preserve"> An institution should, have the right to terminate the outsourcing agreement in the event of default, or under circumstances where: </w:t>
            </w:r>
            <w:r>
              <w:rPr>
                <w:rFonts w:ascii="Arial" w:cs="Arial" w:eastAsia="Arial" w:hAnsi="Arial"/>
                <w:i w:val="false"/>
                <w:iCs w:val="false"/>
                <w:color w:val="000000"/>
                <w:sz w:val="18"/>
                <w:szCs w:val="18"/>
                <w:highlight w:val="yellow"/>
                <w:highlightCs w:val="yellow"/>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Materially different trigger lists. The FI version keeps the traditional corporate-event triggers (change of ownership; insolvency/liquidation; receivership/judicial management) and a service-performance trigger; the Bank list is confidentiality-centred (extending expressly to sub-contractor failures) and adds a no-fault reasonable-notice right.</w:t>
            </w:r>
          </w:p>
          <w:p>
            <w:pPr>
              <w:spacing w:after="40" w:before="40"/>
            </w:pPr>
            <w:r>
              <w:rPr>
                <w:rFonts w:ascii="Arial" w:cs="Arial" w:eastAsia="Arial" w:hAnsi="Arial"/>
                <w:i w:val="false"/>
                <w:iCs w:val="false"/>
                <w:color w:val="000000"/>
                <w:sz w:val="18"/>
                <w:szCs w:val="18"/>
              </w:rPr>
              <w:t xml:space="preserve">2.  The Bank Guidelines recite no corporate-event triggers — banks’ binding contractual requirements are prescribed by Notices ¶7.1, whose full content the Guidelines do not reproduce. On the face of the two Guidelines, the FI list is the broader one.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spacing w:after="40" w:before="40"/>
            </w:pPr>
            <w:r>
              <w:rPr>
                <w:rFonts w:ascii="Arial" w:cs="Arial" w:eastAsia="Arial" w:hAnsi="Arial"/>
                <w:i w:val="false"/>
                <w:iCs w:val="false"/>
                <w:color w:val="595959"/>
                <w:sz w:val="14"/>
                <w:szCs w:val="14"/>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[¶5.5.2(i) (closing text)]</w:t>
            </w:r>
            <w:r>
              <w:rPr>
                <w:rFonts w:ascii="Arial" w:cs="Arial" w:eastAsia="Arial" w:hAnsi="Arial"/>
                <w:i w:val="false"/>
                <w:iCs w:val="false"/>
                <w:color w:val="000000"/>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spacing w:after="40" w:before="40"/>
            </w:pPr>
            <w:r>
              <w:rPr>
                <w:rFonts w:ascii="Arial" w:cs="Arial" w:eastAsia="Arial" w:hAnsi="Arial"/>
                <w:i w:val="false"/>
                <w:iCs w:val="false"/>
                <w:color w:val="595959"/>
                <w:sz w:val="14"/>
                <w:szCs w:val="14"/>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in the closing text of FI ¶5.5.2(i), worded identically ("bridge-institution" defined identically at FI fn 13).</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For the purposes of paragraph 7.1(g) in the Notices, MAS will consider directing a Bank to terminate the contract, or to stop obtaining or receiving the MOORS15, when</w:t>
            </w:r>
            <w:r>
              <w:rPr>
                <w:rFonts w:ascii="Arial" w:cs="Arial" w:eastAsia="Arial" w:hAnsi="Arial"/>
                <w:i w:val="false"/>
                <w:iCs w:val="false"/>
                <w:color w:val="000000"/>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Arial" w:cs="Arial" w:eastAsia="Arial" w:hAnsi="Arial"/>
                <w:i w:val="false"/>
                <w:iCs w:val="false"/>
                <w:color w:val="000000"/>
                <w:sz w:val="18"/>
                <w:szCs w:val="18"/>
                <w:highlight w:val="yellow"/>
                <w:highlightCs w:val="yellow"/>
              </w:rPr>
              <w:t xml:space="preserve">MAS or an auditor appointed by MAS, is prevented by the service provider from auditing the books, systems and premises of the service provider for any of the purposes mentioned in section 47A(10) of the Banking Act 1970 (the "Act")</w:t>
            </w:r>
            <w:r>
              <w:rPr>
                <w:rFonts w:ascii="Arial" w:cs="Arial" w:eastAsia="Arial" w:hAnsi="Arial"/>
                <w:i w:val="false"/>
                <w:iCs w:val="false"/>
                <w:color w:val="000000"/>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spacing w:after="40" w:before="40"/>
            </w:pPr>
            <w:r>
              <w:rPr>
                <w:rFonts w:ascii="Arial" w:cs="Arial" w:eastAsia="Arial" w:hAnsi="Arial"/>
                <w:i w:val="false"/>
                <w:iCs w:val="false"/>
                <w:color w:val="595959"/>
                <w:sz w:val="14"/>
                <w:szCs w:val="14"/>
              </w:rPr>
              <w:t xml:space="preserve">15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in this form; the FI counterpart mechanism is ¶4.1.3 (MAS may require modification, alternative arrangements or re-integration) — see row [FI 4.1.3] above. Grounds (c), (d) and (e) here mirror FI ¶4.1.3(a)–(c); the remaining grounds (Notice ¶10.3 circumstances, audit obstruction under s 47A(10), sub-contractor obstruction) have no FI equivalent, and the FI provision lacks the last-resort footnote.</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MAS will endeavour to provide the Bank reasonable notice of MAS' intent to direct the Bank to terminate its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No reasonable-notice commitment attaches to the FI ¶4.1.3 powers.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3.4.7</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Arial" w:cs="Arial" w:eastAsia="Arial" w:hAnsi="Arial"/>
                <w:i w:val="false"/>
                <w:iCs w:val="false"/>
                <w:color w:val="000000"/>
                <w:sz w:val="18"/>
                <w:szCs w:val="18"/>
              </w:rPr>
              <w:t xml:space="preserve"> The Bank should also ensure the minimum period to execute a termination provision is specified in the outsourcing agreement.</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The extension of the termination-deletion obligation to non-customer information (and the legitimate-reasons carve-out) has no FI counterpart; the only FI deletion provision is the shared BCM expectation at FI ¶5.7.2(c) (= Bank ¶3.7.2(c)).</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3.4.8</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spacing w:after="40" w:before="40"/>
            </w:pPr>
            <w:r>
              <w:rPr>
                <w:rFonts w:ascii="Arial" w:cs="Arial" w:eastAsia="Arial" w:hAnsi="Arial"/>
                <w:i w:val="false"/>
                <w:iCs w:val="false"/>
                <w:color w:val="595959"/>
                <w:sz w:val="14"/>
                <w:szCs w:val="14"/>
              </w:rPr>
              <w:t xml:space="preserve">16 – Refer to paragraph 3.10.</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[¶5.5.3]</w:t>
            </w:r>
            <w:r>
              <w:rPr>
                <w:rFonts w:ascii="Arial" w:cs="Arial" w:eastAsia="Arial" w:hAnsi="Arial"/>
                <w:i w:val="false"/>
                <w:iCs w:val="false"/>
                <w:color w:val="000000"/>
                <w:sz w:val="18"/>
                <w:szCs w:val="18"/>
              </w:rPr>
              <w:t xml:space="preserve"> Each agreement should be tailored to address issues arising from country risks and potential obstacles in exercising oversight and management of the outsourcing arrangements made with a service provider outside Singapore16.</w:t>
            </w:r>
          </w:p>
          <w:p>
            <w:pPr>
              <w:spacing w:after="40" w:before="40"/>
            </w:pPr>
            <w:r>
              <w:rPr>
                <w:rFonts w:ascii="Arial" w:cs="Arial" w:eastAsia="Arial" w:hAnsi="Arial"/>
                <w:i w:val="false"/>
                <w:iCs w:val="false"/>
                <w:color w:val="595959"/>
                <w:sz w:val="14"/>
                <w:szCs w:val="14"/>
              </w:rPr>
              <w:t xml:space="preserve">16 – Refer to paragraph 5.10.</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¶5.5.3, worded identically (cross-reference renumbered).</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Use of sub-contractor(s)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dedicated sub-contracting section; the FI counterpart is item (j) of the outsourcing-agreement checklist at ¶5.5.2.</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Structural: a dedicated five-paragraph section for Banks vs a single agreement-checklist item for FIs.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is subject to the Bank's prior approval.</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[¶5.5.2(j) – sub-contracting]</w:t>
            </w:r>
            <w:r>
              <w:rPr>
                <w:rFonts w:ascii="Arial" w:cs="Arial" w:eastAsia="Arial" w:hAnsi="Arial"/>
                <w:i w:val="false"/>
                <w:iCs w:val="false"/>
                <w:color w:val="000000"/>
                <w:sz w:val="18"/>
                <w:szCs w:val="18"/>
              </w:rPr>
              <w:t xml:space="preserve">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w:t>
            </w:r>
            <w:r>
              <w:rPr>
                <w:rFonts w:ascii="Arial" w:cs="Arial" w:eastAsia="Arial" w:hAnsi="Arial"/>
                <w:i w:val="false"/>
                <w:iCs w:val="false"/>
                <w:color w:val="000000"/>
                <w:sz w:val="18"/>
                <w:szCs w:val="18"/>
                <w:highlight w:val="yellow"/>
                <w:highlightCs w:val="yellow"/>
              </w:rPr>
              <w:t xml:space="preserve">material outsourcing arrangements</w:t>
            </w:r>
            <w:r>
              <w:rPr>
                <w:rFonts w:ascii="Arial" w:cs="Arial" w:eastAsia="Arial" w:hAnsi="Arial"/>
                <w:i w:val="false"/>
                <w:iCs w:val="false"/>
                <w:color w:val="000000"/>
                <w:sz w:val="18"/>
                <w:szCs w:val="18"/>
              </w:rPr>
              <w:t xml:space="preserve"> is subject to the institution's prior approval.</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Substantively identical; found at FI ¶5.5.2(j). Terminology: "MOORS" vs "material outsourcing arrangements".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spacing w:after="40" w:before="40"/>
            </w:pPr>
            <w:r>
              <w:rPr>
                <w:rFonts w:ascii="Arial" w:cs="Arial" w:eastAsia="Arial" w:hAnsi="Arial"/>
                <w:i w:val="false"/>
                <w:iCs w:val="false"/>
                <w:color w:val="595959"/>
                <w:sz w:val="14"/>
                <w:szCs w:val="14"/>
              </w:rPr>
              <w:t xml:space="preserve">17 – For instance, the consent can be obtained via the terms and conditions at the point of onboarding but Banks should take reasonable steps to ensure customers are apprised that they are granting such consent to the Bank.</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(banking secrecy). The word "consent" does not appear anywhere in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Arial" w:cs="Arial" w:eastAsia="Arial" w:hAnsi="Arial"/>
                <w:i w:val="false"/>
                <w:iCs w:val="false"/>
                <w:color w:val="000000"/>
                <w:sz w:val="18"/>
                <w:szCs w:val="18"/>
                <w:highlight w:val="yellow"/>
                <w:highlightCs w:val="yellow"/>
              </w:rPr>
              <w:t xml:space="preserve">MAS, or an auditor appointed by MAS, be allowed to audit the sub-contractor</w:t>
            </w:r>
            <w:r>
              <w:rPr>
                <w:rFonts w:ascii="Arial" w:cs="Arial" w:eastAsia="Arial" w:hAnsi="Arial"/>
                <w:i w:val="false"/>
                <w:iCs w:val="false"/>
                <w:color w:val="000000"/>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Arial" w:cs="Arial" w:eastAsia="Arial" w:hAnsi="Arial"/>
                <w:i w:val="false"/>
                <w:iCs w:val="false"/>
                <w:color w:val="000000"/>
                <w:sz w:val="18"/>
                <w:szCs w:val="18"/>
                <w:highlight w:val="yellow"/>
                <w:highlightCs w:val="yellow"/>
              </w:rPr>
              <w:t xml:space="preserve">customer information18 given to the sub-contractor are deleted, destroyed or rendered unusable as soon as possible</w:t>
            </w:r>
            <w:r>
              <w:rPr>
                <w:rFonts w:ascii="Arial" w:cs="Arial" w:eastAsia="Arial" w:hAnsi="Arial"/>
                <w:i w:val="false"/>
                <w:iCs w:val="false"/>
                <w:color w:val="000000"/>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spacing w:after="40" w:before="40"/>
            </w:pPr>
            <w:r>
              <w:rPr>
                <w:rFonts w:ascii="Arial" w:cs="Arial" w:eastAsia="Arial" w:hAnsi="Arial"/>
                <w:i w:val="false"/>
                <w:iCs w:val="false"/>
                <w:color w:val="595959"/>
                <w:sz w:val="14"/>
                <w:szCs w:val="14"/>
              </w:rPr>
              <w:t xml:space="preserve">18 – Banks may provide flexibility to sub-contractors on the deletion of non-customer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The FI Guidelines never prescribe the contents of the sub-contract itself — sub-contractors are reached only through the service-provider-liability clause (¶5.5.2(j)) and the audit/access clauses (¶¶5.9.2–5.9.4).</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3.5.4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For the purposes of paragraph 6.3(a) of the Notices, MAS expects the notification19 to take place no later than 30 days.</w:t>
            </w:r>
            <w:r>
              <w:rPr>
                <w:rFonts w:ascii="Arial" w:cs="Arial" w:eastAsia="Arial" w:hAnsi="Arial"/>
                <w:i w:val="false"/>
                <w:iCs w:val="false"/>
                <w:color w:val="000000"/>
                <w:sz w:val="18"/>
                <w:szCs w:val="18"/>
              </w:rPr>
              <w:t xml:space="preserve"> Where a notification occurs after 30 days, Banks should assess if the service provider has good reasons to do so and work with the service provider to ensure notifications are provided more promptly in the future.</w:t>
            </w:r>
          </w:p>
          <w:p>
            <w:pPr>
              <w:spacing w:after="40" w:before="40"/>
            </w:pPr>
            <w:r>
              <w:rPr>
                <w:rFonts w:ascii="Arial" w:cs="Arial" w:eastAsia="Arial" w:hAnsi="Arial"/>
                <w:i w:val="false"/>
                <w:iCs w:val="false"/>
                <w:color w:val="595959"/>
                <w:sz w:val="14"/>
                <w:szCs w:val="14"/>
              </w:rPr>
              <w:t xml:space="preserve">19 – This refers to the service provider's notification to the Bank of its engagement of a sub-contractor.</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No 30-day (or any) period for notification of sub-contractor engagement appears in the FI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3.6</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Confidentiality and Security</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5.6 ("Confidentiality and Security").</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3.6.1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[¶5.6.1]</w:t>
            </w:r>
            <w:r>
              <w:rPr>
                <w:rFonts w:ascii="Arial" w:cs="Arial" w:eastAsia="Arial" w:hAnsi="Arial"/>
                <w:i w:val="false"/>
                <w:iCs w:val="false"/>
                <w:color w:val="000000"/>
                <w:sz w:val="18"/>
                <w:szCs w:val="18"/>
              </w:rPr>
              <w:t xml:space="preserve"> As public confidence in financial institutions is a cornerstone in the stability and reputation of the financial industry, it is vital that an institution satisfies itself that the service provider's security policies, procedures and controls will enable the institution to protect the confidentiality and security of customer information.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¶5.6.1,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3.6.2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spacing w:after="40" w:before="40"/>
            </w:pPr>
            <w:r>
              <w:rPr>
                <w:rFonts w:ascii="Arial" w:cs="Arial" w:eastAsia="Arial" w:hAnsi="Arial"/>
                <w:i w:val="false"/>
                <w:iCs w:val="false"/>
                <w:color w:val="595959"/>
                <w:sz w:val="14"/>
                <w:szCs w:val="14"/>
              </w:rPr>
              <w:t xml:space="preserve">20 – Multi-tenancy generally refers to a mode of operation adopted by service providers where a single computing infrastructure (e.g. servers, databases) is used to serve multiple customers (tenants).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[¶5.6.2]</w:t>
            </w:r>
            <w:r>
              <w:rPr>
                <w:rFonts w:ascii="Arial" w:cs="Arial" w:eastAsia="Arial" w:hAnsi="Arial"/>
                <w:i w:val="false"/>
                <w:iCs w:val="false"/>
                <w:color w:val="000000"/>
                <w:sz w:val="18"/>
                <w:szCs w:val="18"/>
              </w:rPr>
              <w:t xml:space="preserve"> An institution should be proactive in identifying and specifying requirements for confidentiality and security in the outsourcing arrangement. An institution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institution;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institution breaches of confidentiality in relation to customer information.</w:t>
            </w:r>
          </w:p>
          <w:p>
            <w:pPr>
              <w:spacing w:after="40" w:before="40"/>
            </w:pPr>
            <w:r>
              <w:rPr>
                <w:rFonts w:ascii="Arial" w:cs="Arial" w:eastAsia="Arial" w:hAnsi="Arial"/>
                <w:i w:val="false"/>
                <w:iCs w:val="false"/>
                <w:color w:val="595959"/>
                <w:sz w:val="14"/>
                <w:szCs w:val="14"/>
              </w:rPr>
              <w:t xml:space="preserve">20 – Multi-tenancy generally refers to a mode of operation adopted by service providers where a single computing infrastructure (e.g. servers, databases) is used to serve multiple customers (tenants).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¶5.6.2, worded identically. (Bank fn 9 additionally anchors MOORS agreement provisions to Notices ¶7.1(a)–(c); no FI equivalent.)</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Business Continuity Management</w:t>
            </w:r>
            <w:r>
              <w:rPr>
                <w:rFonts w:ascii="Arial" w:cs="Arial" w:eastAsia="Arial" w:hAnsi="Arial"/>
                <w:i w:val="false"/>
                <w:iCs w:val="false"/>
                <w:color w:val="000000"/>
                <w:sz w:val="18"/>
                <w:szCs w:val="18"/>
              </w:rPr>
              <w:t xml:space="preserve"> *(sub-section heading — ¶¶3.7.1–3.7.4)*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5.7 (¶¶5.7.1–5.7.4).</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[¶5.7.1]</w:t>
            </w:r>
            <w:r>
              <w:rPr>
                <w:rFonts w:ascii="Arial" w:cs="Arial" w:eastAsia="Arial" w:hAnsi="Arial"/>
                <w:i w:val="false"/>
                <w:iCs w:val="false"/>
                <w:color w:val="000000"/>
                <w:sz w:val="18"/>
                <w:szCs w:val="18"/>
              </w:rPr>
              <w:t xml:space="preserve"> An institution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An institution should adopt the sound practices and standards contained in the BCM Guidelines, in evaluating the impact of outsourcing on its risk profile and for effective BCM.</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[¶5.7.2]</w:t>
            </w:r>
            <w:r>
              <w:rPr>
                <w:rFonts w:ascii="Arial" w:cs="Arial" w:eastAsia="Arial" w:hAnsi="Arial"/>
                <w:i w:val="false"/>
                <w:iCs w:val="false"/>
                <w:color w:val="000000"/>
                <w:sz w:val="18"/>
                <w:szCs w:val="18"/>
              </w:rPr>
              <w:t xml:space="preserve"> In line with the BCM Guidelines, an institution should take steps to evaluate and satisfy itself that the interdependency risk arising from the outsourcing arrangement can be adequately mitigated such that the institution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institution should require the service provider to notify it of any test finding that may affect the service provider's performance. The institution should also require the service provider to notify it of any substantial changes in the service provider's BCP and of any adverse development that could substantially impact the service provided to the institution; and (c) Ensure that there are plans and procedures in place to address adverse conditions or termination of the outsourcing arrangement such that the institution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[¶5.7.3]</w:t>
            </w:r>
            <w:r>
              <w:rPr>
                <w:rFonts w:ascii="Arial" w:cs="Arial" w:eastAsia="Arial" w:hAnsi="Arial"/>
                <w:i w:val="false"/>
                <w:iCs w:val="false"/>
                <w:color w:val="000000"/>
                <w:sz w:val="18"/>
                <w:szCs w:val="18"/>
              </w:rPr>
              <w:t xml:space="preserve"> An institution should involve its service providers, where applicable, in the validation and testing of its BCPs to ensure that BCP testing is complete and meaningful, and to gain assurance on the functionality and effectiveness of its BCPs. Similarly, an institution could take part in its service providers' business continuity and disaster recovery tests. Such tests would also serve to familiarise the institution and the service provider with the recovery processes, as well as improve the coordination between the parties involved.</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¶5.7.3,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3.7.4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[¶5.7.4]</w:t>
            </w:r>
            <w:r>
              <w:rPr>
                <w:rFonts w:ascii="Arial" w:cs="Arial" w:eastAsia="Arial" w:hAnsi="Arial"/>
                <w:i w:val="false"/>
                <w:iCs w:val="false"/>
                <w:color w:val="000000"/>
                <w:sz w:val="18"/>
                <w:szCs w:val="18"/>
              </w:rPr>
              <w:t xml:space="preserve"> An institution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institution and the service provider. Where the interdependency on an institution in the financial system is high, the institution should maintain a higher state of business continuity preparedness. The identification of viable alternatives for resuming operations without incurring prohibitive costs is also essential to mitigate interdependency risk.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¶5.7.4,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3.8</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Monitoring and control of outsourcing arrangements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5.8.</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3.8.1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[¶5.8.1]</w:t>
            </w:r>
            <w:r>
              <w:rPr>
                <w:rFonts w:ascii="Arial" w:cs="Arial" w:eastAsia="Arial" w:hAnsi="Arial"/>
                <w:i w:val="false"/>
                <w:iCs w:val="false"/>
                <w:color w:val="000000"/>
                <w:sz w:val="18"/>
                <w:szCs w:val="18"/>
              </w:rPr>
              <w:t xml:space="preserve"> An institution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An institution also has to be more proactive in its relationship with the service provider (e.g. having frequent meetings) to ensure that performance, operational, internal control and risk management standards are upheld. An institution should ensure that outsourcing agreements with service providers contain clauses to address the institution's monitoring and control of outsourcing arrangements.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¶5.8.1,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3.8.2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put in place all the following measures for effective monitoring and control of any </w:t>
            </w:r>
            <w:r>
              <w:rPr>
                <w:rFonts w:ascii="Arial" w:cs="Arial" w:eastAsia="Arial" w:hAnsi="Arial"/>
                <w:i w:val="false"/>
                <w:iCs w:val="false"/>
                <w:color w:val="000000"/>
                <w:sz w:val="18"/>
                <w:szCs w:val="18"/>
                <w:highlight w:val="yellow"/>
                <w:highlightCs w:val="yellow"/>
              </w:rPr>
              <w:t xml:space="preserve">MOORS</w:t>
            </w:r>
            <w:r>
              <w:rPr>
                <w:rFonts w:ascii="Arial" w:cs="Arial" w:eastAsia="Arial" w:hAnsi="Arial"/>
                <w:i w:val="false"/>
                <w:iCs w:val="false"/>
                <w:color w:val="000000"/>
                <w:sz w:val="18"/>
                <w:szCs w:val="18"/>
              </w:rPr>
              <w:t xml:space="preserve">: (a) Maintain a register</w:t>
            </w:r>
            <w:r>
              <w:rPr>
                <w:rFonts w:ascii="Arial" w:cs="Arial" w:eastAsia="Arial" w:hAnsi="Arial"/>
                <w:i w:val="false"/>
                <w:iCs w:val="false"/>
                <w:color w:val="000000"/>
                <w:sz w:val="18"/>
                <w:szCs w:val="18"/>
                <w:highlight w:val="yellow"/>
                <w:highlightCs w:val="yellow"/>
              </w:rPr>
              <w:t xml:space="preserve">21</w:t>
            </w:r>
            <w:r>
              <w:rPr>
                <w:rFonts w:ascii="Arial" w:cs="Arial" w:eastAsia="Arial" w:hAnsi="Arial"/>
                <w:i w:val="false"/>
                <w:iCs w:val="false"/>
                <w:color w:val="000000"/>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spacing w:after="40" w:before="40"/>
            </w:pPr>
            <w:r>
              <w:rPr>
                <w:rFonts w:ascii="Arial" w:cs="Arial" w:eastAsia="Arial" w:hAnsi="Arial"/>
                <w:i w:val="false"/>
                <w:iCs w:val="false"/>
                <w:color w:val="595959"/>
                <w:sz w:val="14"/>
                <w:szCs w:val="14"/>
              </w:rPr>
              <w:t xml:space="preserve">21 – Banks should submit their registers according to the template set out at this link.</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[¶5.8.2]</w:t>
            </w:r>
            <w:r>
              <w:rPr>
                <w:rFonts w:ascii="Arial" w:cs="Arial" w:eastAsia="Arial" w:hAnsi="Arial"/>
                <w:i w:val="false"/>
                <w:iCs w:val="false"/>
                <w:color w:val="000000"/>
                <w:sz w:val="18"/>
                <w:szCs w:val="18"/>
              </w:rPr>
              <w:t xml:space="preserve"> An institution should put in place all the following measures for effective monitoring and control of any </w:t>
            </w:r>
            <w:r>
              <w:rPr>
                <w:rFonts w:ascii="Arial" w:cs="Arial" w:eastAsia="Arial" w:hAnsi="Arial"/>
                <w:i w:val="false"/>
                <w:iCs w:val="false"/>
                <w:color w:val="000000"/>
                <w:sz w:val="18"/>
                <w:szCs w:val="18"/>
                <w:highlight w:val="yellow"/>
                <w:highlightCs w:val="yellow"/>
              </w:rPr>
              <w:t xml:space="preserve">material outsourcing arrangement</w:t>
            </w:r>
            <w:r>
              <w:rPr>
                <w:rFonts w:ascii="Arial" w:cs="Arial" w:eastAsia="Arial" w:hAnsi="Arial"/>
                <w:i w:val="false"/>
                <w:iCs w:val="false"/>
                <w:color w:val="000000"/>
                <w:sz w:val="18"/>
                <w:szCs w:val="18"/>
              </w:rPr>
              <w:t xml:space="preserve">: (a) Maintain a register of outsourcing arrangements … </w:t>
            </w:r>
            <w:r>
              <w:rPr>
                <w:rFonts w:ascii="Arial" w:cs="Arial" w:eastAsia="Arial" w:hAnsi="Arial"/>
                <w:i w:val="false"/>
                <w:iCs w:val="false"/>
                <w:color w:val="000000"/>
                <w:sz w:val="18"/>
                <w:szCs w:val="18"/>
                <w:highlight w:val="yellow"/>
                <w:highlightCs w:val="yellow"/>
              </w:rPr>
              <w:t xml:space="preserve">Information maintained in the register should include those set out in Annex 4.</w:t>
            </w:r>
            <w:r>
              <w:rPr>
                <w:rFonts w:ascii="Arial" w:cs="Arial" w:eastAsia="Arial" w:hAnsi="Arial"/>
                <w:i w:val="false"/>
                <w:iCs w:val="false"/>
                <w:color w:val="000000"/>
                <w:sz w:val="18"/>
                <w:szCs w:val="18"/>
              </w:rPr>
              <w:t xml:space="preserve"> [otherwise as per Bank item (a), cross-referring ¶5.2]; (b)–(c) [as per Bank items (b)–(c), addressee adjusted]; </w:t>
            </w:r>
            <w:r>
              <w:rPr>
                <w:rFonts w:ascii="Arial" w:cs="Arial" w:eastAsia="Arial" w:hAnsi="Arial"/>
                <w:i w:val="false"/>
                <w:iCs w:val="false"/>
                <w:color w:val="000000"/>
                <w:sz w:val="18"/>
                <w:szCs w:val="18"/>
                <w:highlight w:val="yellow"/>
                <w:highlightCs w:val="yellow"/>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Arial" w:cs="Arial" w:eastAsia="Arial" w:hAnsi="Arial"/>
                <w:i w:val="false"/>
                <w:iCs w:val="false"/>
                <w:color w:val="000000"/>
                <w:sz w:val="18"/>
                <w:szCs w:val="18"/>
              </w:rPr>
              <w:t xml:space="preserve"> (e) Reporting policies and procedures [as per Bank item (d)]; and (f) Perform comprehensive pre- and post- implementation reviews … [as per Bank item (e)].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¶5.8.2 lists six measures to the Bank’s five: </w:t>
            </w:r>
            <w:r>
              <w:rPr>
                <w:rFonts w:ascii="Arial" w:cs="Arial" w:eastAsia="Arial" w:hAnsi="Arial"/>
                <w:i w:val="false"/>
                <w:iCs w:val="false"/>
                <w:color w:val="000000"/>
                <w:sz w:val="18"/>
                <w:szCs w:val="18"/>
                <w:highlight w:val="yellow"/>
                <w:highlightCs w:val="yellow"/>
              </w:rPr>
              <w:t xml:space="preserve">item (d) — periodic reviews of all material outsourcing arrangements at least annually</w:t>
            </w:r>
            <w:r>
              <w:rPr>
                <w:rFonts w:ascii="Arial" w:cs="Arial" w:eastAsia="Arial" w:hAnsi="Arial"/>
                <w:i w:val="false"/>
                <w:iCs w:val="false"/>
                <w:color w:val="000000"/>
                <w:sz w:val="18"/>
                <w:szCs w:val="18"/>
              </w:rPr>
              <w:t xml:space="preserve"> — has no Bank counterpart (banks’ periodic-review obligations arise under the Notices; cf. row 3.3.6).</w:t>
            </w:r>
          </w:p>
          <w:p>
            <w:pPr>
              <w:spacing w:after="40" w:before="40"/>
            </w:pPr>
            <w:r>
              <w:rPr>
                <w:rFonts w:ascii="Arial" w:cs="Arial" w:eastAsia="Arial" w:hAnsi="Arial"/>
                <w:i w:val="false"/>
                <w:iCs w:val="false"/>
                <w:color w:val="000000"/>
                <w:sz w:val="18"/>
                <w:szCs w:val="18"/>
              </w:rPr>
              <w:t xml:space="preserve">2.  Register mechanics differ: Bank fn 21 (template link, no frequency) vs FI Annex 4 register information with submission at least annually or upon request (¶4.1.1).</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Audit and inspection</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5.9.</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Bank's outsourcing arrangements should not interfere with the ability of the Bank to effectively manage its business activities or impede MAS in carrying out its supervisory functions.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[¶5.9.1]</w:t>
            </w:r>
            <w:r>
              <w:rPr>
                <w:rFonts w:ascii="Arial" w:cs="Arial" w:eastAsia="Arial" w:hAnsi="Arial"/>
                <w:i w:val="false"/>
                <w:iCs w:val="false"/>
                <w:color w:val="000000"/>
                <w:sz w:val="18"/>
                <w:szCs w:val="18"/>
              </w:rPr>
              <w:t xml:space="preserve"> An institution's outsourcing arrangements should not interfere with the ability of the institution to effectively manage its business activities or impede MAS in carrying out its supervisory functions.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[¶5.9.2]</w:t>
            </w:r>
            <w:r>
              <w:rPr>
                <w:rFonts w:ascii="Arial" w:cs="Arial" w:eastAsia="Arial" w:hAnsi="Arial"/>
                <w:i w:val="false"/>
                <w:iCs w:val="false"/>
                <w:color w:val="000000"/>
                <w:sz w:val="18"/>
                <w:szCs w:val="18"/>
              </w:rPr>
              <w:t xml:space="preserve"> 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Arial" w:cs="Arial" w:eastAsia="Arial" w:hAnsi="Arial"/>
                <w:i w:val="false"/>
                <w:iCs w:val="false"/>
                <w:color w:val="000000"/>
                <w:sz w:val="18"/>
                <w:szCs w:val="18"/>
                <w:highlight w:val="yellow"/>
                <w:highlightCs w:val="yellow"/>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¶5.9.2(b) — contractual clauses allowing MAS (or its agents) to exercise the institution’s access/inspection rights — is FI-only. For banks, MAS holds statutory inspection powers over service providers (s 47A(10) Banking Act, recited at Bank ¶3.4.5(f)) and Notices ¶7.1(d) prescribes the binding audit clauses, so no contractual MAS-access clause appears in the Bank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[FI 5.9.3]</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the Bank Guidelines (¶3.9.7 covers only the Bank's own submissions to MAS).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[¶5.9.3]</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contractual clause requiring the service provider to submit security/control-environment reports to MAS on request.</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w:t>
            </w:r>
            <w:r>
              <w:rPr>
                <w:rFonts w:ascii="Arial" w:cs="Arial" w:eastAsia="Arial" w:hAnsi="Arial"/>
                <w:i w:val="false"/>
                <w:iCs w:val="false"/>
                <w:color w:val="000000"/>
                <w:sz w:val="18"/>
                <w:szCs w:val="18"/>
                <w:highlight w:val="yellow"/>
                <w:highlightCs w:val="yellow"/>
              </w:rPr>
              <w:t xml:space="preserve">endeavour to subject</w:t>
            </w:r>
            <w:r>
              <w:rPr>
                <w:rFonts w:ascii="Arial" w:cs="Arial" w:eastAsia="Arial" w:hAnsi="Arial"/>
                <w:i w:val="false"/>
                <w:iCs w:val="false"/>
                <w:color w:val="000000"/>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[¶5.9.4]</w:t>
            </w:r>
            <w:r>
              <w:rPr>
                <w:rFonts w:ascii="Arial" w:cs="Arial" w:eastAsia="Arial" w:hAnsi="Arial"/>
                <w:i w:val="false"/>
                <w:iCs w:val="false"/>
                <w:color w:val="000000"/>
                <w:sz w:val="18"/>
                <w:szCs w:val="18"/>
              </w:rPr>
              <w:t xml:space="preserve"> An institution should </w:t>
            </w:r>
            <w:r>
              <w:rPr>
                <w:rFonts w:ascii="Arial" w:cs="Arial" w:eastAsia="Arial" w:hAnsi="Arial"/>
                <w:i w:val="false"/>
                <w:iCs w:val="false"/>
                <w:color w:val="000000"/>
                <w:sz w:val="18"/>
                <w:szCs w:val="18"/>
                <w:highlight w:val="yellow"/>
                <w:highlightCs w:val="yellow"/>
              </w:rPr>
              <w:t xml:space="preserve">ensure that these expectations are met</w:t>
            </w:r>
            <w:r>
              <w:rPr>
                <w:rFonts w:ascii="Arial" w:cs="Arial" w:eastAsia="Arial" w:hAnsi="Arial"/>
                <w:i w:val="false"/>
                <w:iCs w:val="false"/>
                <w:color w:val="000000"/>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Two differences: (i) the verb — "endeavour to subject" (Bank) vs "ensure that these expectations are met" (FI), the FI formulation being stricter on its face; (ii) FI "these expectations" reaches back over both ¶5.9.2 (audit/access clauses) and ¶5.9.3 (reporting to MAS), so the FI obligation covers a broader set of expectations than the Bank’s audit-only ¶3.9.3.</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3.9.4</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Bank's observance of the expectations in these Guidelines in relation to the outsourcing arrangement.</w:t>
            </w:r>
          </w:p>
          <w:p>
            <w:pPr>
              <w:spacing w:after="40" w:before="40"/>
            </w:pPr>
            <w:r>
              <w:rPr>
                <w:rFonts w:ascii="Arial" w:cs="Arial" w:eastAsia="Arial" w:hAnsi="Arial"/>
                <w:i w:val="false"/>
                <w:iCs w:val="false"/>
                <w:color w:val="595959"/>
                <w:sz w:val="14"/>
                <w:szCs w:val="14"/>
              </w:rPr>
              <w:t xml:space="preserve">23 – The security environment refers to both the physical and IT security environments.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[¶5.9.5]</w:t>
            </w:r>
            <w:r>
              <w:rPr>
                <w:rFonts w:ascii="Arial" w:cs="Arial" w:eastAsia="Arial" w:hAnsi="Arial"/>
                <w:i w:val="false"/>
                <w:iCs w:val="false"/>
                <w:color w:val="000000"/>
                <w:sz w:val="18"/>
                <w:szCs w:val="18"/>
              </w:rPr>
              <w:t xml:space="preserve"> An institution should ensure that independent audits and/or expert assessments of all its outsourcing arrangements are conducted. In determining the frequency of audit and expert assessment, the institution should consider the nature and extent of risk and impact to the institution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institution's observance of the expectations in these Guidelines in relation to the outsourcing arrangement.</w:t>
            </w:r>
          </w:p>
          <w:p>
            <w:pPr>
              <w:spacing w:after="40" w:before="40"/>
            </w:pPr>
            <w:r>
              <w:rPr>
                <w:rFonts w:ascii="Arial" w:cs="Arial" w:eastAsia="Arial" w:hAnsi="Arial"/>
                <w:i w:val="false"/>
                <w:iCs w:val="false"/>
                <w:color w:val="595959"/>
                <w:sz w:val="14"/>
                <w:szCs w:val="14"/>
              </w:rPr>
              <w:t xml:space="preserve">23 – The security environment refers to both the physical and IT security environments.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¶5.9.5, worded identically save that the FI version says "of </w:t>
            </w:r>
            <w:r>
              <w:rPr>
                <w:rFonts w:ascii="Arial" w:cs="Arial" w:eastAsia="Arial" w:hAnsi="Arial"/>
                <w:i w:val="false"/>
                <w:iCs w:val="false"/>
                <w:color w:val="000000"/>
                <w:sz w:val="18"/>
                <w:szCs w:val="18"/>
                <w:highlight w:val="yellow"/>
                <w:highlightCs w:val="yellow"/>
              </w:rPr>
              <w:t xml:space="preserve">all</w:t>
            </w:r>
            <w:r>
              <w:rPr>
                <w:rFonts w:ascii="Arial" w:cs="Arial" w:eastAsia="Arial" w:hAnsi="Arial"/>
                <w:i w:val="false"/>
                <w:iCs w:val="false"/>
                <w:color w:val="000000"/>
                <w:sz w:val="18"/>
                <w:szCs w:val="18"/>
              </w:rPr>
              <w:t xml:space="preserve"> its outsourcing arrangements".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3.9.5</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independent audit and/or expert assessment on the service provider and its sub-contractors may be performed by the Bank's internal or external auditors, the service provider's external auditors24 or by agents appointed by the Bank </w:t>
            </w:r>
            <w:r>
              <w:rPr>
                <w:rFonts w:ascii="Arial" w:cs="Arial" w:eastAsia="Arial" w:hAnsi="Arial"/>
                <w:i w:val="false"/>
                <w:iCs w:val="false"/>
                <w:color w:val="000000"/>
                <w:sz w:val="18"/>
                <w:szCs w:val="18"/>
                <w:highlight w:val="yellow"/>
                <w:highlightCs w:val="yellow"/>
              </w:rPr>
              <w:t xml:space="preserve">(e.g. audits commissioned by multiple Banks using the same service provider)</w:t>
            </w:r>
            <w:r>
              <w:rPr>
                <w:rFonts w:ascii="Arial" w:cs="Arial" w:eastAsia="Arial" w:hAnsi="Arial"/>
                <w:i w:val="false"/>
                <w:iCs w:val="false"/>
                <w:color w:val="000000"/>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spacing w:after="40" w:before="40"/>
            </w:pPr>
            <w:r>
              <w:rPr>
                <w:rFonts w:ascii="Arial" w:cs="Arial" w:eastAsia="Arial" w:hAnsi="Arial"/>
                <w:i w:val="false"/>
                <w:iCs w:val="false"/>
                <w:color w:val="595959"/>
                <w:sz w:val="14"/>
                <w:szCs w:val="14"/>
              </w:rPr>
              <w:t xml:space="preserve">24 – </w:t>
            </w:r>
            <w:r>
              <w:rPr>
                <w:rFonts w:ascii="Arial" w:cs="Arial" w:eastAsia="Arial" w:hAnsi="Arial"/>
                <w:i w:val="false"/>
                <w:iCs w:val="false"/>
                <w:color w:val="595959"/>
                <w:sz w:val="14"/>
                <w:szCs w:val="14"/>
                <w:highlight w:val="yellow"/>
                <w:highlightCs w:val="yellow"/>
              </w:rPr>
              <w:t xml:space="preserve">While audits need not be procured by banks</w:t>
            </w:r>
            <w:r>
              <w:rPr>
                <w:rFonts w:ascii="Arial" w:cs="Arial" w:eastAsia="Arial" w:hAnsi="Arial"/>
                <w:i w:val="false"/>
                <w:iCs w:val="false"/>
                <w:color w:val="595959"/>
                <w:sz w:val="14"/>
                <w:szCs w:val="14"/>
              </w:rPr>
              <w:t xml:space="preserve">, a bank should conduct its own audits to supplement the audits performed by the service provider's auditors, where necessary.</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[¶5.9.6]</w:t>
            </w:r>
            <w:r>
              <w:rPr>
                <w:rFonts w:ascii="Arial" w:cs="Arial" w:eastAsia="Arial" w:hAnsi="Arial"/>
                <w:i w:val="false"/>
                <w:iCs w:val="false"/>
                <w:color w:val="000000"/>
                <w:sz w:val="18"/>
                <w:szCs w:val="18"/>
              </w:rPr>
              <w:t xml:space="preserve"> The independent audit and/or expert assessment on the service provider and its sub-contractors may be performed by the institution's internal or external auditors, the service provider's external auditors24 or by agents appointed by the institution.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 institutions and service providers should have adequate processes in place to ensure that remedial actions are satisfactorily completed. Actions taken by the service provider to address the audit findings should be appropriately validated by the institution before closure. Where necessary, the relevant persons who possess the requisite knowledge and skills should be involved to validate the effectiveness of the security and control measures taken.</w:t>
            </w:r>
          </w:p>
          <w:p>
            <w:pPr>
              <w:spacing w:after="40" w:before="40"/>
            </w:pPr>
            <w:r>
              <w:rPr>
                <w:rFonts w:ascii="Arial" w:cs="Arial" w:eastAsia="Arial" w:hAnsi="Arial"/>
                <w:i w:val="false"/>
                <w:iCs w:val="false"/>
                <w:color w:val="595959"/>
                <w:sz w:val="14"/>
                <w:szCs w:val="14"/>
              </w:rPr>
              <w:t xml:space="preserve">24 – An institution should conduct its own audits to supplement the audits performed by the service provider's auditors, where necessary.</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¶5.9.6, worded identically except: (i) the pooled-audit example "(e.g. audits commissioned by multiple Banks using the same service provider)" is Bank-only; (ii) Bank fn 24 opens with the concession "While audits need not be procured by banks…" — FI fn 18 omits the concession and keeps only the supplement expectation.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3.9.6</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[¶5.9.7]</w:t>
            </w:r>
            <w:r>
              <w:rPr>
                <w:rFonts w:ascii="Arial" w:cs="Arial" w:eastAsia="Arial" w:hAnsi="Arial"/>
                <w:i w:val="false"/>
                <w:iCs w:val="false"/>
                <w:color w:val="000000"/>
                <w:sz w:val="18"/>
                <w:szCs w:val="18"/>
              </w:rPr>
              <w:t xml:space="preserve"> Significant issues and concerns should be brought to the attention of the senior management of the institution and service provider, or to the institution's board, where warranted, on a timely basis. Actions should be taken by the institution to review the outsourcing arrangement if the risk posed is no longer within the institution's risk tolerance.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¶5.9.7,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3.9.7</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Copies of audit reports should be submitted by the Bank to MAS </w:t>
            </w:r>
            <w:r>
              <w:rPr>
                <w:rFonts w:ascii="Arial" w:cs="Arial" w:eastAsia="Arial" w:hAnsi="Arial"/>
                <w:i w:val="false"/>
                <w:iCs w:val="false"/>
                <w:color w:val="000000"/>
                <w:sz w:val="18"/>
                <w:szCs w:val="18"/>
                <w:highlight w:val="yellow"/>
                <w:highlightCs w:val="yellow"/>
              </w:rPr>
              <w:t xml:space="preserve">upon request</w:t>
            </w:r>
            <w:r>
              <w:rPr>
                <w:rFonts w:ascii="Arial" w:cs="Arial" w:eastAsia="Arial" w:hAnsi="Arial"/>
                <w:i w:val="false"/>
                <w:iCs w:val="false"/>
                <w:color w:val="000000"/>
                <w:sz w:val="18"/>
                <w:szCs w:val="18"/>
              </w:rPr>
              <w:t xml:space="preserve">. A Bank should also, upon request, provide MAS with other reports or information on the Bank and service provider that is related to the outsourcing arrangement.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[¶5.9.8]</w:t>
            </w:r>
            <w:r>
              <w:rPr>
                <w:rFonts w:ascii="Arial" w:cs="Arial" w:eastAsia="Arial" w:hAnsi="Arial"/>
                <w:i w:val="false"/>
                <w:iCs w:val="false"/>
                <w:color w:val="000000"/>
                <w:sz w:val="18"/>
                <w:szCs w:val="18"/>
              </w:rPr>
              <w:t xml:space="preserve"> Copies of audit reports should be submitted by the institution to MAS</w:t>
            </w:r>
            <w:r>
              <w:rPr>
                <w:rFonts w:ascii="Arial" w:cs="Arial" w:eastAsia="Arial" w:hAnsi="Arial"/>
                <w:i w:val="false"/>
                <w:iCs w:val="false"/>
                <w:color w:val="000000"/>
                <w:sz w:val="18"/>
                <w:szCs w:val="18"/>
                <w:highlight w:val="yellow"/>
                <w:highlightCs w:val="yellow"/>
              </w:rPr>
              <w:t xml:space="preserve">.</w:t>
            </w:r>
            <w:r>
              <w:rPr>
                <w:rFonts w:ascii="Arial" w:cs="Arial" w:eastAsia="Arial" w:hAnsi="Arial"/>
                <w:i w:val="false"/>
                <w:iCs w:val="false"/>
                <w:color w:val="000000"/>
                <w:sz w:val="18"/>
                <w:szCs w:val="18"/>
              </w:rPr>
              <w:t xml:space="preserve"> An institution should also, upon request, provide MAS with other reports or information on the institution and service provider that is related to the outsourcing arrangement.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The FI first sentence omits "upon request" — on its face the FI expectation to submit audit reports is unconditional, while the Bank submission is on request. Both retain "upon request" for other reports and information.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3.9.8</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highlight w:val="yellow"/>
                <w:highlightCs w:val="yellow"/>
              </w:rPr>
              <w:t xml:space="preserve">Audits and/or expert assessments performed as part of a certification process (but not self-attestations) may be relied on to meet requirements or expectations on audit</w:t>
            </w:r>
            <w:r>
              <w:rPr>
                <w:rFonts w:ascii="Arial" w:cs="Arial" w:eastAsia="Arial" w:hAnsi="Arial"/>
                <w:i w:val="false"/>
                <w:iCs w:val="false"/>
                <w:color w:val="000000"/>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Arial" w:cs="Arial" w:eastAsia="Arial" w:hAnsi="Arial"/>
                <w:i w:val="false"/>
                <w:iCs w:val="false"/>
                <w:color w:val="000000"/>
                <w:sz w:val="18"/>
                <w:szCs w:val="18"/>
                <w:highlight w:val="yellow"/>
                <w:highlightCs w:val="yellow"/>
              </w:rPr>
              <w:t xml:space="preserve">Banks may also rely on pooled audits or third-party certification (of their service providers) performed by independent parties.</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provision here under FI Guidelines.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Bank-only. The FI Guidelines contain no certification-reliance or pooled-audit provision.</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3.10</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outside Singapore</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5.10.</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3.10.1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[¶5.10.1]</w:t>
            </w:r>
            <w:r>
              <w:rPr>
                <w:rFonts w:ascii="Arial" w:cs="Arial" w:eastAsia="Arial" w:hAnsi="Arial"/>
                <w:i w:val="false"/>
                <w:iCs w:val="false"/>
                <w:color w:val="000000"/>
                <w:sz w:val="18"/>
                <w:szCs w:val="18"/>
              </w:rPr>
              <w:t xml:space="preserve"> The engagement of a service provider in a foreign country, or an outsourcing arrangement whereby the outsourced function is performed in a foreign country may expose an institution to country risk - economic, social and political conditions and events in a foreign country that may adversely affect the institution. Such conditions and events could prevent the service provider from carrying out the terms of its agreement with the institution. In its risk management of such outsourcing arrangements, an institution should take into account, as part of its due diligence, and on a continuous basis: (a) government policies; (b) political, social, economic conditions; (c) legal and regulatory developments in the foreign country; and (d) the institution's ability to effectively monitor the service provider, and execute its business continuity management plans and exit strategy. An institution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¶5.10.1,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3.10.2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[¶5.10.2]</w:t>
            </w:r>
            <w:r>
              <w:rPr>
                <w:rFonts w:ascii="Arial" w:cs="Arial" w:eastAsia="Arial" w:hAnsi="Arial"/>
                <w:i w:val="false"/>
                <w:iCs w:val="false"/>
                <w:color w:val="000000"/>
                <w:sz w:val="18"/>
                <w:szCs w:val="18"/>
              </w:rPr>
              <w:t xml:space="preserve"> 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[as per Bank item (a)]. (b) [as per Bank item (b), plus:] </w:t>
            </w:r>
            <w:r>
              <w:rPr>
                <w:rFonts w:ascii="Arial" w:cs="Arial" w:eastAsia="Arial" w:hAnsi="Arial"/>
                <w:i w:val="false"/>
                <w:iCs w:val="false"/>
                <w:color w:val="000000"/>
                <w:sz w:val="18"/>
                <w:szCs w:val="18"/>
                <w:highlight w:val="yellow"/>
                <w:highlightCs w:val="yellow"/>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Two FI-only additions: (i) the written confirmation to MAS that the agreements provide MAS the ¶5.9 inspection and access rights; (ii) item (c) — notification to MAS of overseas-authority access requests, or of restriction/denial of the institution’s and MAS’ access rights. Neither appears in the Bank Guidelines.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within a Group</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5.11.</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These Guidelines are applicable to outsourcing arrangements with parties within a Bank's group, </w:t>
            </w:r>
            <w:r>
              <w:rPr>
                <w:rFonts w:ascii="Arial" w:cs="Arial" w:eastAsia="Arial" w:hAnsi="Arial"/>
                <w:i w:val="false"/>
                <w:iCs w:val="false"/>
                <w:color w:val="000000"/>
                <w:sz w:val="18"/>
                <w:szCs w:val="18"/>
                <w:highlight w:val="yellow"/>
                <w:highlightCs w:val="yellow"/>
              </w:rPr>
              <w:t xml:space="preserve">including subsidiaries of Singapore-incorporated banks</w:t>
            </w:r>
            <w:r>
              <w:rPr>
                <w:rFonts w:ascii="Arial" w:cs="Arial" w:eastAsia="Arial" w:hAnsi="Arial"/>
                <w:i w:val="false"/>
                <w:iCs w:val="false"/>
                <w:color w:val="000000"/>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[¶5.11.1]</w:t>
            </w:r>
            <w:r>
              <w:rPr>
                <w:rFonts w:ascii="Arial" w:cs="Arial" w:eastAsia="Arial" w:hAnsi="Arial"/>
                <w:i w:val="false"/>
                <w:iCs w:val="false"/>
                <w:color w:val="000000"/>
                <w:sz w:val="18"/>
                <w:szCs w:val="18"/>
              </w:rPr>
              <w:t xml:space="preserve"> These Guidelines are applicable to outsourcing arrangements with parties within an institution's group. The expectations may be addressed within group-wide risk management policies and procedure. The institution would be expected to provide, when requested, information demonstrating the structure and processes by which its board and senior management discharge their role in the oversight and management of outsourcing risks on a group-wide basis. For an institution incorporated or established outside Singapore, the roles and responsibilities of the local management are set out in paragraph 5.2.5.</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¶5.11.1, worded identically except the Bank phrase "including subsidiaries of Singapore-incorporated banks" (the FI equivalent group-observance duty is at FI ¶2.3; "service provider" is also defined in FI §3 to include group entities).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3.11.2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[¶5.11.2]</w:t>
            </w:r>
            <w:r>
              <w:rPr>
                <w:rFonts w:ascii="Arial" w:cs="Arial" w:eastAsia="Arial" w:hAnsi="Arial"/>
                <w:i w:val="false"/>
                <w:iCs w:val="false"/>
                <w:color w:val="000000"/>
                <w:sz w:val="18"/>
                <w:szCs w:val="18"/>
              </w:rPr>
              <w:t xml:space="preserve"> Due diligence on an intra-group service provider may take the form of evaluating qualitative aspects of the service provider's ability to address risks specific to the institution, particularly those relating to business continuity management, monitoring and control, audit and inspection, including confirmation on the right of access to be provided to MAS, to retain effective supervision over the institution, and compliance with local regulatory standards. The respective roles and responsibilities of each office in the outsourcing arrangement should be documented in writing in a service level agreement or an equivalent document.</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¶5.11.2,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Outsourcing of Internal Audit to External Auditors</w:t>
            </w:r>
            <w:r>
              <w:rPr>
                <w:rFonts w:ascii="Arial" w:cs="Arial" w:eastAsia="Arial" w:hAnsi="Arial"/>
                <w:i w:val="false"/>
                <w:iCs w:val="false"/>
                <w:color w:val="000000"/>
                <w:sz w:val="18"/>
                <w:szCs w:val="18"/>
              </w:rPr>
              <w:t xml:space="preserve"> *(sub-section heading)*</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Corresponds to FI sub-section 5.12.</w:t>
            </w:r>
          </w:p>
        </w:tc>
        <w:tc>
          <w:tcPr>
            <w:tcW w:type="dxa" w:w="30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None</w:t>
            </w:r>
            <w:r>
              <w:rPr>
                <w:rFonts w:ascii="Arial" w:cs="Arial" w:eastAsia="Arial" w:hAnsi="Arial"/>
                <w:i w:val="false"/>
                <w:iCs w:val="false"/>
                <w:color w:val="000000"/>
                <w:sz w:val="18"/>
                <w:szCs w:val="18"/>
              </w:rPr>
              <w:t xml:space="preserve"> (heading correspondence 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3.12.1</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spacing w:after="40" w:before="40"/>
            </w:pPr>
            <w:r>
              <w:rPr>
                <w:rFonts w:ascii="Arial" w:cs="Arial" w:eastAsia="Arial" w:hAnsi="Arial"/>
                <w:i w:val="false"/>
                <w:iCs w:val="false"/>
                <w:color w:val="595959"/>
                <w:sz w:val="14"/>
                <w:szCs w:val="14"/>
              </w:rPr>
              <w:t xml:space="preserve">26 – Any departure from this best practice should remain within the bounds of the applicable ethical standards for the statutory or external auditor.</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[¶5.12.1]</w:t>
            </w:r>
            <w:r>
              <w:rPr>
                <w:rFonts w:ascii="Arial" w:cs="Arial" w:eastAsia="Arial" w:hAnsi="Arial"/>
                <w:i w:val="false"/>
                <w:iCs w:val="false"/>
                <w:color w:val="000000"/>
                <w:sz w:val="18"/>
                <w:szCs w:val="18"/>
              </w:rPr>
              <w:t xml:space="preserve"> [Body text identical to the Bank provision, addressee adjusted.] Footnote 20: "Any departure from this best practice should be </w:t>
            </w:r>
            <w:r>
              <w:rPr>
                <w:rFonts w:ascii="Arial" w:cs="Arial" w:eastAsia="Arial" w:hAnsi="Arial"/>
                <w:i w:val="false"/>
                <w:iCs w:val="false"/>
                <w:color w:val="000000"/>
                <w:sz w:val="18"/>
                <w:szCs w:val="18"/>
                <w:highlight w:val="yellow"/>
                <w:highlightCs w:val="yellow"/>
              </w:rPr>
              <w:t xml:space="preserve">limited to small institutions</w:t>
            </w:r>
            <w:r>
              <w:rPr>
                <w:rFonts w:ascii="Arial" w:cs="Arial" w:eastAsia="Arial" w:hAnsi="Arial"/>
                <w:i w:val="false"/>
                <w:iCs w:val="false"/>
                <w:color w:val="000000"/>
                <w:sz w:val="18"/>
                <w:szCs w:val="18"/>
              </w:rPr>
              <w:t xml:space="preserve"> and should remain within the bounds of the applicable ethical standards for the statutory or external auditor."</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Body identical (FI ¶5.12.1). The departure footnote differs: FI fn 20 confines departures from the no-own-external-auditor practice to small institutions; Bank fn 26 has no size limitation — on its face the Bank formulation is the more permissive, the FI the stricter.</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3.12.2</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[¶5.12.2]</w:t>
            </w:r>
            <w:r>
              <w:rPr>
                <w:rFonts w:ascii="Arial" w:cs="Arial" w:eastAsia="Arial" w:hAnsi="Arial"/>
                <w:i w:val="false"/>
                <w:iCs w:val="false"/>
                <w:color w:val="000000"/>
                <w:sz w:val="18"/>
                <w:szCs w:val="18"/>
              </w:rPr>
              <w:t xml:space="preserve"> Before outsourcing the internal audit function to external auditors, an institution should satisfy itself that the external auditor would be in compliance with the relevant auditor independence standards of the Singapore accounting profession.</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¶5.12.2,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3.12.3</w:t>
            </w:r>
          </w:p>
        </w:tc>
        <w:tc>
          <w:tcPr>
            <w:tcW w:type="dxa" w:w="53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[¶5.12.3]</w:t>
            </w:r>
            <w:r>
              <w:rPr>
                <w:rFonts w:ascii="Arial" w:cs="Arial" w:eastAsia="Arial" w:hAnsi="Arial"/>
                <w:i w:val="false"/>
                <w:iCs w:val="false"/>
                <w:color w:val="000000"/>
                <w:sz w:val="18"/>
                <w:szCs w:val="18"/>
              </w:rPr>
              <w:t xml:space="preserve"> An institution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Found at FI ¶5.12.3, worded identically.</w:t>
            </w:r>
          </w:p>
        </w:tc>
      </w:tr>
      <w:tr>
        <w:tc>
          <w:tcPr>
            <w:tcW w:type="dxa" w:w="8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Annexes</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Annexes 1–3</w:t>
            </w:r>
          </w:p>
        </w:tc>
        <w:tc>
          <w:tcPr>
            <w:tcW w:type="dxa" w:w="5300"/>
            <w:shd w:fill="D9D9D9" w:val="clear"/>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Annexes 1–5</w:t>
            </w:r>
          </w:p>
        </w:tc>
        <w:tc>
          <w:tcPr>
            <w:tcW w:type="dxa" w:w="3000"/>
            <w:shd w:fill="D9D9D9" w:val="clear"/>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Mapping: Bank Annex 1 (Material Outsourcing) = FI Annex 3; Bank Annex 2 (Cloud Computing) = FI Annex 5; Bank Annex 3 (Applicability chart) is Bank-only; FI Annexes 1 (Exempted Services), 2 (Examples) and 4 (Register) are FI-only.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1</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Material Outsourcing.</w:t>
            </w:r>
            <w:r>
              <w:rPr>
                <w:rFonts w:ascii="Arial" w:cs="Arial" w:eastAsia="Arial" w:hAnsi="Arial"/>
                <w:i w:val="false"/>
                <w:iCs w:val="false"/>
                <w:color w:val="000000"/>
                <w:sz w:val="18"/>
                <w:szCs w:val="18"/>
              </w:rPr>
              <w:t xml:space="preserve">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1 – Exempted Outsourced Services]</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Annex 1 is found at FI Annex 3, worded identically (institution for Bank).</w:t>
            </w:r>
          </w:p>
          <w:p>
            <w:pPr>
              <w:spacing w:after="40" w:before="40"/>
            </w:pPr>
            <w:r>
              <w:rPr>
                <w:rFonts w:ascii="Arial" w:cs="Arial" w:eastAsia="Arial" w:hAnsi="Arial"/>
                <w:i w:val="false"/>
                <w:iCs w:val="false"/>
                <w:color w:val="000000"/>
                <w:sz w:val="18"/>
                <w:szCs w:val="18"/>
              </w:rPr>
              <w:t xml:space="preserve">2.  FI Annex 1 (exempted services) has no Bank-Guidelines counterpart — the Bank exemption list is Annex D of the Notices.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2</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Cloud Computing</w:t>
            </w:r>
            <w:r>
              <w:rPr>
                <w:rFonts w:ascii="Arial" w:cs="Arial" w:eastAsia="Arial" w:hAnsi="Arial"/>
                <w:i w:val="false"/>
                <w:iCs w:val="false"/>
                <w:color w:val="000000"/>
                <w:sz w:val="18"/>
                <w:szCs w:val="18"/>
              </w:rPr>
              <w:t xml:space="preserve"> (¶¶1–8). Cloud services (CS) as a combination of business and delivery model (SaaS/PaaS/IaaS); advantages (economies of scale, cost savings, quality administration, uniform security standards, scalability, resilience); private/public/hybrid models with distinct trade-offs; maturing provider security (strong authentication, access controls, tokenisation, encryption); </w:t>
            </w:r>
            <w:r>
              <w:rPr>
                <w:rFonts w:ascii="Arial" w:cs="Arial" w:eastAsia="Arial" w:hAnsi="Arial"/>
                <w:i w:val="false"/>
                <w:iCs w:val="false"/>
                <w:color w:val="000000"/>
                <w:sz w:val="18"/>
                <w:szCs w:val="18"/>
                <w:highlight w:val="yellow"/>
                <w:highlightCs w:val="yellow"/>
              </w:rPr>
              <w:t xml:space="preserve">MAS considers CS operated by service providers as a form of outsourcing</w:t>
            </w:r>
            <w:r>
              <w:rPr>
                <w:rFonts w:ascii="Arial" w:cs="Arial" w:eastAsia="Arial" w:hAnsi="Arial"/>
                <w:i w:val="false"/>
                <w:iCs w:val="false"/>
                <w:color w:val="000000"/>
                <w:sz w:val="18"/>
                <w:szCs w:val="18"/>
              </w:rPr>
              <w:t xml:space="preserve">; CS risks are not distinct from other outsourcing — apply the Guidelines' due diligence and governance; be aware of multi-tenancy, data commingling and multi-location processing — address data access, confidentiality, integrity, sovereignty, recoverability, regulatory compliance and auditing; ensure the service provider can clearly identify and segregate customer data using strong physical or logical controls, with robust access controls that survive the tenure of the contract; Banks remain ultimately responsible and accountable, with risk-based oversight commensurate with materiality. [Abridged; the full text is reproduced identically in both instruments.]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2 – Examples of Outsourcing Arrangements]</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1. Examples of services that, when performed by a third party, would be regarded as outsourcing arrangements (non-exhaustive): (a) application processing (e.g. loan origination, credit cards); (b) white-labelling arrangements; (c) middle and back office operations; (d) business continuity and disaster recovery functions; (e) claims administration; (f) document processing; (g) information systems hosting (SaaS/PaaS/IaaS); (h) information systems management and maintenance; (i) investment management; (j) management of policy issuance and claims operations by managing agents; (k) manpower management; (l) marketing and research; (m) professional services related to the business activities of the institution (e.g. accounting, internal audit, actuarial, compliance); (n) support services related to archival, storage and destruction of data and records; and (o) calculation of financial benchmarks. 2. Arrangements generally NOT considered outsourcing: (a) industry-characteristic third-party services (custody with specified custodians under SF(LCB)R reg 27; telecommunications and public utilities; postal services; market information services (Bloomberg, Moody's, S&amp;P); common network infrastructure (Visa, MasterCard, MEPS+); clearing and settlement arrangements; regulator-overseen global financial messaging (SWIFT); correspondent banking); (b) introducer arrangements and principal-agent relationships (insurance agents, underwriting agents, introducers); (c) arrangements the institution is not legally or administratively able to provide (statutory audit and independent audit assessments; discrete advisory services; independent consulting).</w:t>
            </w:r>
            <w:r>
              <w:rPr>
                <w:rFonts w:ascii="Arial" w:cs="Arial" w:eastAsia="Arial" w:hAnsi="Arial"/>
                <w:i w:val="false"/>
                <w:iCs w:val="false"/>
                <w:color w:val="000000"/>
                <w:sz w:val="18"/>
                <w:szCs w:val="18"/>
              </w:rPr>
              <w:t xml:space="preserve"> [Abridged from the full lists.]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Annex 2 (Cloud Computing) is found at FI Annex 5, worded identically.</w:t>
            </w:r>
          </w:p>
          <w:p>
            <w:pPr>
              <w:spacing w:after="40" w:before="40"/>
            </w:pPr>
            <w:r>
              <w:rPr>
                <w:rFonts w:ascii="Arial" w:cs="Arial" w:eastAsia="Arial" w:hAnsi="Arial"/>
                <w:i w:val="false"/>
                <w:iCs w:val="false"/>
                <w:color w:val="000000"/>
                <w:sz w:val="18"/>
                <w:szCs w:val="18"/>
              </w:rPr>
              <w:t xml:space="preserve">2.  FI Annex 2 (examples) has no Bank-Guidelines counterpart; its content substantially reappears, in binding form, as Notice 658 Annexes A (integral services), B (excluded services) and C (deemed outsourced services) for banks.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3</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Applicability of Notices and Guidelines for Banks to Different Categories of Services.</w:t>
            </w:r>
            <w:r>
              <w:rPr>
                <w:rFonts w:ascii="Arial" w:cs="Arial" w:eastAsia="Arial" w:hAnsi="Arial"/>
                <w:i w:val="false"/>
                <w:iCs w:val="false"/>
                <w:color w:val="000000"/>
                <w:sz w:val="18"/>
                <w:szCs w:val="18"/>
              </w:rPr>
              <w:t xml:space="preserve"> Decision framework over "Relevant Services" as defined in s 47A(12) of the Banking Act 1970 (any service obtained or received by the bank, other than a service provided in the course of employment by an employee or by a director/officer in the course of appointment, and excluding any service specified by MAS by written notice): </w:t>
            </w:r>
            <w:r>
              <w:rPr>
                <w:rFonts w:ascii="Arial" w:cs="Arial" w:eastAsia="Arial" w:hAnsi="Arial"/>
                <w:i w:val="false"/>
                <w:iCs w:val="false"/>
                <w:color w:val="000000"/>
                <w:sz w:val="18"/>
                <w:szCs w:val="18"/>
                <w:highlight w:val="yellow"/>
                <w:highlightCs w:val="yellow"/>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3 – Material Outsourcing]</w:t>
            </w:r>
            <w:r>
              <w:rPr>
                <w:rFonts w:ascii="Arial" w:cs="Arial" w:eastAsia="Arial" w:hAnsi="Arial"/>
                <w:i w:val="false"/>
                <w:iCs w:val="false"/>
                <w:color w:val="000000"/>
                <w:sz w:val="18"/>
                <w:szCs w:val="18"/>
              </w:rPr>
              <w:t xml:space="preserve"> *Worded identically to Bank Guidelines Annex 1 ("institution" for "Bank").*</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Bank Annex 3 (applicability chart) is Bank-only — the taxonomy exists only because of the Notices and s 47A.</w:t>
            </w:r>
          </w:p>
          <w:p>
            <w:pPr>
              <w:spacing w:after="40" w:before="40"/>
            </w:pPr>
            <w:r>
              <w:rPr>
                <w:rFonts w:ascii="Arial" w:cs="Arial" w:eastAsia="Arial" w:hAnsi="Arial"/>
                <w:i w:val="false"/>
                <w:iCs w:val="false"/>
                <w:color w:val="000000"/>
                <w:sz w:val="18"/>
                <w:szCs w:val="18"/>
              </w:rPr>
              <w:t xml:space="preserve">2.  FI Annex 3 = Bank Annex 1 (Material Outsourcing), worded identically.</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4</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Annex 4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4 – Register of Outsourcing Arrangements]</w:t>
            </w:r>
            <w:r>
              <w:rPr>
                <w:rFonts w:ascii="Arial" w:cs="Arial" w:eastAsia="Arial" w:hAnsi="Arial"/>
                <w:i w:val="false"/>
                <w:iCs w:val="false"/>
                <w:color w:val="000000"/>
                <w:sz w:val="18"/>
                <w:szCs w:val="18"/>
              </w:rPr>
              <w:t xml:space="preserve"> </w:t>
            </w:r>
            <w:r>
              <w:rPr>
                <w:rFonts w:ascii="Arial" w:cs="Arial" w:eastAsia="Arial" w:hAnsi="Arial"/>
                <w:i w:val="false"/>
                <w:iCs w:val="false"/>
                <w:color w:val="000000"/>
                <w:sz w:val="18"/>
                <w:szCs w:val="18"/>
                <w:highlight w:val="yellow"/>
                <w:highlightCs w:val="yellow"/>
              </w:rPr>
              <w:t xml:space="preserve">1. An institution should maintain an updated register of all existing outsourcing arrangements in the format as per the template available from MAS website.</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FI-only annex; submission at least annually or upon request per FI ¶4.1.1. The Bank equivalent is the template link at fn 21, with register requirements otherwise in the Notices.</w:t>
            </w:r>
          </w:p>
        </w:tc>
      </w:tr>
      <w:tr>
        <w:tc>
          <w:tcPr>
            <w:tcW w:type="dxa" w:w="8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Annex 5</w:t>
            </w:r>
          </w:p>
        </w:tc>
        <w:tc>
          <w:tcPr>
            <w:tcW w:type="dxa" w:w="5300"/>
            <w:tcMar>
              <w:top w:type="dxa" w:w="60"/>
              <w:left w:type="dxa" w:w="100"/>
              <w:bottom w:type="dxa" w:w="60"/>
              <w:right w:type="dxa" w:w="100"/>
            </w:tcMar>
            <w:vAlign w:val="top"/>
          </w:tcPr>
          <w:p>
            <w:pPr>
              <w:spacing w:after="40" w:before="40"/>
            </w:pPr>
            <w:r>
              <w:rPr>
                <w:rFonts w:ascii="Arial" w:cs="Arial" w:eastAsia="Arial" w:hAnsi="Arial"/>
                <w:i/>
                <w:iCs/>
                <w:color w:val="595959"/>
                <w:sz w:val="18"/>
                <w:szCs w:val="18"/>
              </w:rPr>
              <w:t xml:space="preserve">No Annex 5 under the Bank Guidelines.</w:t>
            </w:r>
          </w:p>
        </w:tc>
        <w:tc>
          <w:tcPr>
            <w:tcW w:type="dxa" w:w="5300"/>
            <w:tcMar>
              <w:top w:type="dxa" w:w="60"/>
              <w:left w:type="dxa" w:w="100"/>
              <w:bottom w:type="dxa" w:w="60"/>
              <w:right w:type="dxa" w:w="100"/>
            </w:tcMar>
            <w:vAlign w:val="top"/>
          </w:tcPr>
          <w:p>
            <w:pPr>
              <w:spacing w:after="40" w:before="40"/>
            </w:pPr>
            <w:r>
              <w:rPr>
                <w:rFonts w:ascii="Arial" w:cs="Arial" w:eastAsia="Arial" w:hAnsi="Arial"/>
                <w:b/>
                <w:bCs/>
                <w:i w:val="false"/>
                <w:iCs w:val="false"/>
                <w:color w:val="000000"/>
                <w:sz w:val="18"/>
                <w:szCs w:val="18"/>
              </w:rPr>
              <w:t xml:space="preserve">[Annex 5 – Cloud Computing]</w:t>
            </w:r>
            <w:r>
              <w:rPr>
                <w:rFonts w:ascii="Arial" w:cs="Arial" w:eastAsia="Arial" w:hAnsi="Arial"/>
                <w:i w:val="false"/>
                <w:iCs w:val="false"/>
                <w:color w:val="000000"/>
                <w:sz w:val="18"/>
                <w:szCs w:val="18"/>
              </w:rPr>
              <w:t xml:space="preserve"> *Worded identically to Bank Guidelines Annex 2 ("institutions" for "Banks").*</w:t>
            </w:r>
          </w:p>
        </w:tc>
        <w:tc>
          <w:tcPr>
            <w:tcW w:type="dxa" w:w="3000"/>
            <w:tcMar>
              <w:top w:type="dxa" w:w="60"/>
              <w:left w:type="dxa" w:w="100"/>
              <w:bottom w:type="dxa" w:w="60"/>
              <w:right w:type="dxa" w:w="100"/>
            </w:tcMar>
            <w:vAlign w:val="top"/>
          </w:tcPr>
          <w:p>
            <w:pPr>
              <w:spacing w:after="40" w:before="40"/>
            </w:pPr>
            <w:r>
              <w:rPr>
                <w:rFonts w:ascii="Arial" w:cs="Arial" w:eastAsia="Arial" w:hAnsi="Arial"/>
                <w:i w:val="false"/>
                <w:iCs w:val="false"/>
                <w:color w:val="000000"/>
                <w:sz w:val="18"/>
                <w:szCs w:val="18"/>
              </w:rPr>
              <w:t xml:space="preserve">1.  FI Annex 5 = Bank Annex 2, worded identically.</w:t>
            </w:r>
          </w:p>
        </w:tc>
      </w:tr>
    </w:tbl>
    <w:p>
      <w:pPr>
        <w:spacing w:before="160"/>
      </w:pPr>
      <w:r>
        <w:rPr>
          <w:rFonts w:ascii="Arial" w:cs="Arial" w:eastAsia="Arial" w:hAnsi="Arial"/>
          <w:i/>
          <w:iCs/>
          <w:color w:val="595959"/>
          <w:sz w:val="16"/>
          <w:szCs w:val="16"/>
        </w:rPr>
        <w:t xml:space="preserve">Prepared from a full reading of both official MAS PDFs; comparisons verified against the source texts by three independent review passes, and the perimeter analysis (row 1.2) verified directly against MAS Notice 658 ¶2.1 and Annexes A–C. Provisions "missing" from the Bank Guidelines are frequently located in the binding MAS Notices 658/1121 or s 47A Banking Act 1970 rather than absent from the bank regime. This document is legal research, not legal advice.</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2026-07-23T06:34:25.589Z</dcterms:created>
  <dcterms:modified xsi:type="dcterms:W3CDTF">2026-07-23T06:34:25.605Z</dcterms:modified>
</cp:coreProperties>
</file>

<file path=docProps/custom.xml><?xml version="1.0" encoding="utf-8"?>
<Properties xmlns="http://schemas.openxmlformats.org/officeDocument/2006/custom-properties" xmlns:vt="http://schemas.openxmlformats.org/officeDocument/2006/docPropsVTypes"/>
</file>