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Calibri" w:cs="Calibri" w:eastAsia="Calibri" w:hAnsi="Calibri"/>
          <w:b/>
          <w:bCs/>
          <w:color w:val="1F3864"/>
          <w:sz w:val="32"/>
          <w:szCs w:val="32"/>
        </w:rPr>
        <w:t xml:space="preserve">MAS Guidelines on Outsourcing: Banks vs Financial Institutions other than Banks</w:t>
      </w:r>
    </w:p>
    <w:p>
      <w:pPr>
        <w:spacing w:after="120" w:before="40"/>
      </w:pPr>
      <w:r>
        <w:rPr>
          <w:rFonts w:ascii="Calibri" w:cs="Calibri" w:eastAsia="Calibri" w:hAnsi="Calibri"/>
          <w:color w:val="000000"/>
          <w:sz w:val="20"/>
          <w:szCs w:val="20"/>
        </w:rPr>
        <w:t xml:space="preserve"/>
      </w:r>
      <w:r>
        <w:rPr>
          <w:rFonts w:ascii="Calibri" w:cs="Calibri" w:eastAsia="Calibri" w:hAnsi="Calibri"/>
          <w:b/>
          <w:bCs/>
          <w:color w:val="000000"/>
          <w:sz w:val="20"/>
          <w:szCs w:val="20"/>
        </w:rPr>
        <w:t xml:space="preserve">Comprehensive table of differences</w:t>
      </w:r>
      <w:r>
        <w:rPr>
          <w:rFonts w:ascii="Calibri" w:cs="Calibri" w:eastAsia="Calibri" w:hAnsi="Calibri"/>
          <w:color w:val="000000"/>
          <w:sz w:val="20"/>
          <w:szCs w:val="20"/>
        </w:rPr>
        <w:t xml:space="preserve"> — Guidelines on Outsourcing (Banks), 11 December 2023, effective 11 December 2024 ("Bank Guidelines"), against Guidelines on Outsourcing (Financial Institutions other than Banks), effective 11 December 2024, last revised 24 January 2025 ("FI Guidelines"). Prepared from a full reading of both official MAS PDFs; every comparison verified against the source texts by three independent review passes, with the perimeter comparison in row 1 additionally verified against MAS Notice 658 ¶2.1 and its Annexes A–C.</w:t>
      </w:r>
    </w:p>
    <w:p>
      <w:pPr>
        <w:spacing w:after="160" w:before="40"/>
      </w:pPr>
      <w:r>
        <w:rPr>
          <w:rFonts w:ascii="Calibri" w:cs="Calibri" w:eastAsia="Calibri" w:hAnsi="Calibri"/>
          <w:color w:val="000000"/>
          <w:sz w:val="20"/>
          <w:szCs w:val="20"/>
        </w:rPr>
        <w:t xml:space="preserve"/>
      </w:r>
      <w:r>
        <w:rPr>
          <w:rFonts w:ascii="Calibri" w:cs="Calibri" w:eastAsia="Calibri" w:hAnsi="Calibri"/>
          <w:b/>
          <w:bCs/>
          <w:color w:val="000000"/>
          <w:sz w:val="20"/>
          <w:szCs w:val="20"/>
        </w:rPr>
        <w:t xml:space="preserve">Nature key:</w:t>
      </w:r>
      <w:r>
        <w:rPr>
          <w:rFonts w:ascii="Calibri" w:cs="Calibri" w:eastAsia="Calibri" w:hAnsi="Calibri"/>
          <w:color w:val="000000"/>
          <w:sz w:val="20"/>
          <w:szCs w:val="20"/>
        </w:rPr>
        <w:t xml:space="preserve">  Bank-only = provision exists only in the Bank Guidelines · FI-only = provision exists only in the FI Guidelines · Substantive = both address the topic but with materially different requirements · Drafting = wording/location differences without material effect.</w:t>
      </w:r>
    </w:p>
    <w:p>
      <w:pPr>
        <w:pStyle w:val="Heading2"/>
      </w:pPr>
      <w:r>
        <w:rPr>
          <w:rFonts w:ascii="Calibri" w:cs="Calibri" w:eastAsia="Calibri" w:hAnsi="Calibri"/>
          <w:b/>
          <w:bCs/>
          <w:color w:val="1F3864"/>
          <w:sz w:val="26"/>
          <w:szCs w:val="26"/>
        </w:rPr>
        <w:t xml:space="preserve">Table of Differences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560"/>
        <w:gridCol w:w="1900"/>
        <w:gridCol w:w="4100"/>
        <w:gridCol w:w="4100"/>
        <w:gridCol w:w="3740"/>
      </w:tblGrid>
      <w:tr>
        <w:trPr>
          <w:tblHeader/>
        </w:trPr>
        <w:tc>
          <w:tcPr>
            <w:tcW w:type="dxa" w:w="560"/>
            <w:shd w:fill="1F3864" w:val="clear"/>
            <w:tcMar>
              <w:top w:type="dxa" w:w="60"/>
              <w:left w:type="dxa" w:w="100"/>
              <w:bottom w:type="dxa" w:w="60"/>
              <w:right w:type="dxa" w:w="100"/>
            </w:tcMar>
          </w:tcPr>
          <w:p>
            <w:pPr>
              <w:spacing w:after="40" w:before="40"/>
            </w:pPr>
            <w:r>
              <w:rPr>
                <w:rFonts w:ascii="Calibri" w:cs="Calibri" w:eastAsia="Calibri" w:hAnsi="Calibri"/>
                <w:b/>
                <w:bCs/>
                <w:color w:val="FFFFFF"/>
                <w:sz w:val="18"/>
                <w:szCs w:val="18"/>
              </w:rPr>
              <w:t xml:space="preserve">#</w:t>
            </w:r>
          </w:p>
        </w:tc>
        <w:tc>
          <w:tcPr>
            <w:tcW w:type="dxa" w:w="1900"/>
            <w:shd w:fill="1F3864" w:val="clear"/>
            <w:tcMar>
              <w:top w:type="dxa" w:w="60"/>
              <w:left w:type="dxa" w:w="100"/>
              <w:bottom w:type="dxa" w:w="60"/>
              <w:right w:type="dxa" w:w="100"/>
            </w:tcMar>
          </w:tcPr>
          <w:p>
            <w:pPr>
              <w:spacing w:after="40" w:before="40"/>
            </w:pPr>
            <w:r>
              <w:rPr>
                <w:rFonts w:ascii="Calibri" w:cs="Calibri" w:eastAsia="Calibri" w:hAnsi="Calibri"/>
                <w:b/>
                <w:bCs/>
                <w:color w:val="FFFFFF"/>
                <w:sz w:val="18"/>
                <w:szCs w:val="18"/>
              </w:rPr>
              <w:t xml:space="preserve">Topic</w:t>
            </w:r>
          </w:p>
        </w:tc>
        <w:tc>
          <w:tcPr>
            <w:tcW w:type="dxa" w:w="4100"/>
            <w:shd w:fill="1F3864" w:val="clear"/>
            <w:tcMar>
              <w:top w:type="dxa" w:w="60"/>
              <w:left w:type="dxa" w:w="100"/>
              <w:bottom w:type="dxa" w:w="60"/>
              <w:right w:type="dxa" w:w="100"/>
            </w:tcMar>
          </w:tcPr>
          <w:p>
            <w:pPr>
              <w:spacing w:after="40" w:before="40"/>
            </w:pPr>
            <w:r>
              <w:rPr>
                <w:rFonts w:ascii="Calibri" w:cs="Calibri" w:eastAsia="Calibri" w:hAnsi="Calibri"/>
                <w:b/>
                <w:bCs/>
                <w:color w:val="FFFFFF"/>
                <w:sz w:val="18"/>
                <w:szCs w:val="18"/>
              </w:rPr>
              <w:t xml:space="preserve">Bank Guidelines</w:t>
            </w:r>
          </w:p>
        </w:tc>
        <w:tc>
          <w:tcPr>
            <w:tcW w:type="dxa" w:w="4100"/>
            <w:shd w:fill="1F3864" w:val="clear"/>
            <w:tcMar>
              <w:top w:type="dxa" w:w="60"/>
              <w:left w:type="dxa" w:w="100"/>
              <w:bottom w:type="dxa" w:w="60"/>
              <w:right w:type="dxa" w:w="100"/>
            </w:tcMar>
          </w:tcPr>
          <w:p>
            <w:pPr>
              <w:spacing w:after="40" w:before="40"/>
            </w:pPr>
            <w:r>
              <w:rPr>
                <w:rFonts w:ascii="Calibri" w:cs="Calibri" w:eastAsia="Calibri" w:hAnsi="Calibri"/>
                <w:b/>
                <w:bCs/>
                <w:color w:val="FFFFFF"/>
                <w:sz w:val="18"/>
                <w:szCs w:val="18"/>
              </w:rPr>
              <w:t xml:space="preserve">FI Guidelines</w:t>
            </w:r>
          </w:p>
        </w:tc>
        <w:tc>
          <w:tcPr>
            <w:tcW w:type="dxa" w:w="3740"/>
            <w:shd w:fill="1F3864" w:val="clear"/>
            <w:tcMar>
              <w:top w:type="dxa" w:w="60"/>
              <w:left w:type="dxa" w:w="100"/>
              <w:bottom w:type="dxa" w:w="60"/>
              <w:right w:type="dxa" w:w="100"/>
            </w:tcMar>
          </w:tcPr>
          <w:p>
            <w:pPr>
              <w:spacing w:after="40" w:before="40"/>
            </w:pPr>
            <w:r>
              <w:rPr>
                <w:rFonts w:ascii="Calibri" w:cs="Calibri" w:eastAsia="Calibri" w:hAnsi="Calibri"/>
                <w:b/>
                <w:bCs/>
                <w:color w:val="FFFFFF"/>
                <w:sz w:val="18"/>
                <w:szCs w:val="18"/>
              </w:rPr>
              <w:t xml:space="preserve">Nature &amp; specific difference</w:t>
            </w:r>
          </w:p>
        </w:tc>
      </w:tr>
      <w:tr>
        <w:tc>
          <w:tcPr>
            <w:tcW w:type="dxa" w:w="56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1</w:t>
            </w:r>
          </w:p>
        </w:tc>
        <w:tc>
          <w:tcPr>
            <w:tcW w:type="dxa" w:w="19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Perimeter: what counts as an "outsourcing arrangement"</w:t>
            </w:r>
            <w:r>
              <w:rPr>
                <w:rFonts w:ascii="Calibri" w:cs="Calibri" w:eastAsia="Calibri" w:hAnsi="Calibri"/>
                <w:color w:val="000000"/>
                <w:sz w:val="18"/>
                <w:szCs w:val="18"/>
              </w:rPr>
              <w:t xml:space="preserve"/>
            </w:r>
          </w:p>
        </w:tc>
        <w:tc>
          <w:tcPr>
            <w:tcW w:type="dxa" w:w="41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¶¶1.2, 1.4: ongoing "outsourced relevant services" (ORS) per Notices 658/1121 and s 47A(12) Banking Act; exempted ORS listed in Annex D of the Notices. Notice 658 ¶2.1 (verified): ORS = a relevant service (other than Annex B exclusions) that (a) is or was ever performed by the bank itself, OR (b) is integral to any s 30(1) business (incl. Annex A list), OR (c) is deemed included by Annex C (public cloud, IT hosting/management, helpdesks, data centres, archival of confidential data, payroll/manpower, corporate secretariat, e-signatures, ATM maintenance). "Ongoing" = duration exceeding 12 months (incl. cumulative/intended renewals).</w:t>
            </w:r>
          </w:p>
        </w:tc>
        <w:tc>
          <w:tcPr>
            <w:tcW w:type="dxa" w:w="41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§3 definition: a service that may currently or potentially be performed by the institution itself AND (a) the institution depends on it on an ongoing basis AND (b) it is integral to the provision of a financial service or is provided to the market in the institution's name. Exempted services in Annex 1 of the Guidelines.</w:t>
            </w:r>
          </w:p>
        </w:tc>
        <w:tc>
          <w:tcPr>
            <w:tcW w:type="dxa" w:w="3740"/>
            <w:shd w:fill="FBE9E7"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[Substantive]</w:t>
            </w:r>
            <w:r>
              <w:rPr>
                <w:rFonts w:ascii="Calibri" w:cs="Calibri" w:eastAsia="Calibri" w:hAnsi="Calibri"/>
                <w:color w:val="000000"/>
                <w:sz w:val="18"/>
                <w:szCs w:val="18"/>
              </w:rPr>
              <w:t xml:space="preserve"/>
            </w:r>
          </w:p>
          <w:p>
            <w:pPr>
              <w:spacing w:after="40" w:before="40"/>
            </w:pPr>
            <w:r>
              <w:rPr>
                <w:rFonts w:ascii="Calibri" w:cs="Calibri" w:eastAsia="Calibri" w:hAnsi="Calibri"/>
                <w:color w:val="000000"/>
                <w:sz w:val="18"/>
                <w:szCs w:val="18"/>
              </w:rPr>
              <w:t xml:space="preserve">Same functional slot and 2016/2018 lineage, but </w:t>
            </w:r>
            <w:r>
              <w:rPr>
                <w:rFonts w:ascii="Calibri" w:cs="Calibri" w:eastAsia="Calibri" w:hAnsi="Calibri"/>
                <w:b/>
                <w:bCs/>
                <w:color w:val="000000"/>
                <w:sz w:val="18"/>
                <w:szCs w:val="18"/>
              </w:rPr>
              <w:t xml:space="preserve">not co-extensive</w:t>
            </w:r>
            <w:r>
              <w:rPr>
                <w:rFonts w:ascii="Calibri" w:cs="Calibri" w:eastAsia="Calibri" w:hAnsi="Calibri"/>
                <w:color w:val="000000"/>
                <w:sz w:val="18"/>
                <w:szCs w:val="18"/>
              </w:rPr>
              <w:t xml:space="preserve">: disjunctive Notice test vs conjunctive FI test; bright-line &gt;12-month "ongoing" threshold (Bank) vs qualitative dependence with no duration threshold (FI); Annex C deeming (e.g. public cloud automatic for banks); self-performability is a threshold requirement for FIs but only one optional limb (actual/historical) for banks.</w:t>
            </w:r>
          </w:p>
        </w:tc>
      </w:tr>
      <w:tr>
        <w:tc>
          <w:tcPr>
            <w:tcW w:type="dxa" w:w="56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2</w:t>
            </w:r>
          </w:p>
        </w:tc>
        <w:tc>
          <w:tcPr>
            <w:tcW w:type="dxa" w:w="19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Definitions section</w:t>
            </w:r>
            <w:r>
              <w:rPr>
                <w:rFonts w:ascii="Calibri" w:cs="Calibri" w:eastAsia="Calibri" w:hAnsi="Calibri"/>
                <w:color w:val="000000"/>
                <w:sz w:val="18"/>
                <w:szCs w:val="18"/>
              </w:rPr>
              <w:t xml:space="preserve"/>
            </w:r>
          </w:p>
        </w:tc>
        <w:tc>
          <w:tcPr>
            <w:tcW w:type="dxa" w:w="41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None — ¶1.4 defers to the Notices; footnotes define only "bridge-institution" (fn 14), "multi-tenancy" (fn 20) and delimit "customer information" (fn 4).</w:t>
            </w:r>
          </w:p>
        </w:tc>
        <w:tc>
          <w:tcPr>
            <w:tcW w:type="dxa" w:w="41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§3: full glossary of 17 terms incl. sector-specific "customer", "business relations" and "customer information" for insurers, CMIs, FAs, trust companies, exchanges, repositories, card licensees, money-changers/remitters and benchmark administrators; "financial adviser" amended 24 Jan 2025.</w:t>
            </w:r>
          </w:p>
        </w:tc>
        <w:tc>
          <w:tcPr>
            <w:tcW w:type="dxa" w:w="3740"/>
            <w:shd w:fill="E4F1F1"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[FI-only]</w:t>
            </w:r>
            <w:r>
              <w:rPr>
                <w:rFonts w:ascii="Calibri" w:cs="Calibri" w:eastAsia="Calibri" w:hAnsi="Calibri"/>
                <w:color w:val="000000"/>
                <w:sz w:val="18"/>
                <w:szCs w:val="18"/>
              </w:rPr>
              <w:t xml:space="preserve"/>
            </w:r>
          </w:p>
          <w:p>
            <w:pPr>
              <w:spacing w:after="40" w:before="40"/>
            </w:pPr>
            <w:r>
              <w:rPr>
                <w:rFonts w:ascii="Calibri" w:cs="Calibri" w:eastAsia="Calibri" w:hAnsi="Calibri"/>
                <w:color w:val="000000"/>
                <w:sz w:val="18"/>
                <w:szCs w:val="18"/>
              </w:rPr>
              <w:t xml:space="preserve">FI Guidelines are self-contained because no Notice supplies definitions; the sector-specific customer/business-relations definitions have no Bank counterpart.</w:t>
            </w:r>
          </w:p>
        </w:tc>
      </w:tr>
      <w:tr>
        <w:tc>
          <w:tcPr>
            <w:tcW w:type="dxa" w:w="56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3</w:t>
            </w:r>
          </w:p>
        </w:tc>
        <w:tc>
          <w:tcPr>
            <w:tcW w:type="dxa" w:w="19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"Customer information"</w:t>
            </w:r>
            <w:r>
              <w:rPr>
                <w:rFonts w:ascii="Calibri" w:cs="Calibri" w:eastAsia="Calibri" w:hAnsi="Calibri"/>
                <w:color w:val="000000"/>
                <w:sz w:val="18"/>
                <w:szCs w:val="18"/>
              </w:rPr>
              <w:t xml:space="preserve"/>
            </w:r>
          </w:p>
        </w:tc>
        <w:tc>
          <w:tcPr>
            <w:tcW w:type="dxa" w:w="41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Fn 4: excludes information not referable to any customer or named group (incl. securely anonymised/encrypted); information </w:t>
            </w:r>
            <w:r>
              <w:rPr>
                <w:rFonts w:ascii="Calibri" w:cs="Calibri" w:eastAsia="Calibri" w:hAnsi="Calibri"/>
                <w:b/>
                <w:bCs/>
                <w:color w:val="000000"/>
                <w:sz w:val="18"/>
                <w:szCs w:val="18"/>
              </w:rPr>
              <w:t xml:space="preserve">previously made public remains customer information</w:t>
            </w:r>
            <w:r>
              <w:rPr>
                <w:rFonts w:ascii="Calibri" w:cs="Calibri" w:eastAsia="Calibri" w:hAnsi="Calibri"/>
                <w:color w:val="000000"/>
                <w:sz w:val="18"/>
                <w:szCs w:val="18"/>
              </w:rPr>
              <w:t xml:space="preserve">.</w:t>
            </w:r>
          </w:p>
        </w:tc>
        <w:tc>
          <w:tcPr>
            <w:tcW w:type="dxa" w:w="41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§3: SFA "user information"/"transaction information" for market infrastructure; otherwise accounts, particulars, transaction details and dealings — excluding public, anonymised or securely encrypted information.</w:t>
            </w:r>
          </w:p>
        </w:tc>
        <w:tc>
          <w:tcPr>
            <w:tcW w:type="dxa" w:w="3740"/>
            <w:shd w:fill="FBE9E7"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[Substantive]</w:t>
            </w:r>
            <w:r>
              <w:rPr>
                <w:rFonts w:ascii="Calibri" w:cs="Calibri" w:eastAsia="Calibri" w:hAnsi="Calibri"/>
                <w:color w:val="000000"/>
                <w:sz w:val="18"/>
                <w:szCs w:val="18"/>
              </w:rPr>
              <w:t xml:space="preserve"/>
            </w:r>
          </w:p>
          <w:p>
            <w:pPr>
              <w:spacing w:after="40" w:before="40"/>
            </w:pPr>
            <w:r>
              <w:rPr>
                <w:rFonts w:ascii="Calibri" w:cs="Calibri" w:eastAsia="Calibri" w:hAnsi="Calibri"/>
                <w:color w:val="000000"/>
                <w:sz w:val="18"/>
                <w:szCs w:val="18"/>
              </w:rPr>
              <w:t xml:space="preserve">Aligned on the anonymisation/encryption carve-out, but the Bank version expressly keeps previously-public information within scope; the FI definition simply excludes "public" information.</w:t>
            </w:r>
          </w:p>
        </w:tc>
      </w:tr>
      <w:tr>
        <w:tc>
          <w:tcPr>
            <w:tcW w:type="dxa" w:w="56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4</w:t>
            </w:r>
          </w:p>
        </w:tc>
        <w:tc>
          <w:tcPr>
            <w:tcW w:type="dxa" w:w="19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Materiality — definition</w:t>
            </w:r>
            <w:r>
              <w:rPr>
                <w:rFonts w:ascii="Calibri" w:cs="Calibri" w:eastAsia="Calibri" w:hAnsi="Calibri"/>
                <w:color w:val="000000"/>
                <w:sz w:val="18"/>
                <w:szCs w:val="18"/>
              </w:rPr>
              <w:t xml:space="preserve"/>
            </w:r>
          </w:p>
        </w:tc>
        <w:tc>
          <w:tcPr>
            <w:tcW w:type="dxa" w:w="41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No definition in the Guidelines: "MOORS" (material ongoing outsourced relevant service) is defined in the Notices; Annex 1 gives assessment factors only.</w:t>
            </w:r>
          </w:p>
        </w:tc>
        <w:tc>
          <w:tcPr>
            <w:tcW w:type="dxa" w:w="41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§3 defines "material outsourcing arrangement": (a) service failure/security breach could materially impact operations, reputation, profitability or risk/compliance; or (b) involves customer information whose compromise may materially impact customers.</w:t>
            </w:r>
          </w:p>
        </w:tc>
        <w:tc>
          <w:tcPr>
            <w:tcW w:type="dxa" w:w="3740"/>
            <w:shd w:fill="FBE9E7"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[Substantive]</w:t>
            </w:r>
            <w:r>
              <w:rPr>
                <w:rFonts w:ascii="Calibri" w:cs="Calibri" w:eastAsia="Calibri" w:hAnsi="Calibri"/>
                <w:color w:val="000000"/>
                <w:sz w:val="18"/>
                <w:szCs w:val="18"/>
              </w:rPr>
              <w:t xml:space="preserve"/>
            </w:r>
          </w:p>
          <w:p>
            <w:pPr>
              <w:spacing w:after="40" w:before="40"/>
            </w:pPr>
            <w:r>
              <w:rPr>
                <w:rFonts w:ascii="Calibri" w:cs="Calibri" w:eastAsia="Calibri" w:hAnsi="Calibri"/>
                <w:color w:val="000000"/>
                <w:sz w:val="18"/>
                <w:szCs w:val="18"/>
              </w:rPr>
              <w:t xml:space="preserve">FI Guidelines define materiality inside the instrument; Bank materiality is a binding Notice concept, with the Guidelines supplying guidance only.</w:t>
            </w:r>
          </w:p>
        </w:tc>
      </w:tr>
      <w:tr>
        <w:tc>
          <w:tcPr>
            <w:tcW w:type="dxa" w:w="56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5</w:t>
            </w:r>
          </w:p>
        </w:tc>
        <w:tc>
          <w:tcPr>
            <w:tcW w:type="dxa" w:w="19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Ancillary references</w:t>
            </w:r>
            <w:r>
              <w:rPr>
                <w:rFonts w:ascii="Calibri" w:cs="Calibri" w:eastAsia="Calibri" w:hAnsi="Calibri"/>
                <w:color w:val="000000"/>
                <w:sz w:val="18"/>
                <w:szCs w:val="18"/>
              </w:rPr>
              <w:t xml:space="preserve"/>
            </w:r>
          </w:p>
        </w:tc>
        <w:tc>
          <w:tcPr>
            <w:tcW w:type="dxa" w:w="41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Fn 3 (¶1.5): points to MAS Information Paper "Operational Risk Management – Third-Party Arrangements" as good practice for banks.</w:t>
            </w:r>
          </w:p>
        </w:tc>
        <w:tc>
          <w:tcPr>
            <w:tcW w:type="dxa" w:w="41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¶1.3: cross-refers banks/merchant banks to the separate Bank Guidelines.</w:t>
            </w:r>
          </w:p>
        </w:tc>
        <w:tc>
          <w:tcPr>
            <w:tcW w:type="dxa" w:w="3740"/>
            <w:shd w:fill="EFEFEF"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[Drafting]</w:t>
            </w:r>
            <w:r>
              <w:rPr>
                <w:rFonts w:ascii="Calibri" w:cs="Calibri" w:eastAsia="Calibri" w:hAnsi="Calibri"/>
                <w:color w:val="000000"/>
                <w:sz w:val="18"/>
                <w:szCs w:val="18"/>
              </w:rPr>
              <w:t xml:space="preserve"/>
            </w:r>
          </w:p>
          <w:p>
            <w:pPr>
              <w:spacing w:after="40" w:before="40"/>
            </w:pPr>
            <w:r>
              <w:rPr>
                <w:rFonts w:ascii="Calibri" w:cs="Calibri" w:eastAsia="Calibri" w:hAnsi="Calibri"/>
                <w:color w:val="000000"/>
                <w:sz w:val="18"/>
                <w:szCs w:val="18"/>
              </w:rPr>
              <w:t xml:space="preserve">Each instrument carries a reference the other lacks; the Information Paper reference is Bank-only.</w:t>
            </w:r>
          </w:p>
        </w:tc>
      </w:tr>
      <w:tr>
        <w:tc>
          <w:tcPr>
            <w:tcW w:type="dxa" w:w="56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6</w:t>
            </w:r>
          </w:p>
        </w:tc>
        <w:tc>
          <w:tcPr>
            <w:tcW w:type="dxa" w:w="19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Group-wide observance</w:t>
            </w:r>
            <w:r>
              <w:rPr>
                <w:rFonts w:ascii="Calibri" w:cs="Calibri" w:eastAsia="Calibri" w:hAnsi="Calibri"/>
                <w:color w:val="000000"/>
                <w:sz w:val="18"/>
                <w:szCs w:val="18"/>
              </w:rPr>
              <w:t xml:space="preserve"/>
            </w:r>
          </w:p>
        </w:tc>
        <w:tc>
          <w:tcPr>
            <w:tcW w:type="dxa" w:w="41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Reached indirectly: ¶3.11.1 (application to intra-group arrangements, incl. subsidiaries of Singapore-incorporated banks); Annex 1 ¶4 (group-level materiality).</w:t>
            </w:r>
          </w:p>
        </w:tc>
        <w:tc>
          <w:tcPr>
            <w:tcW w:type="dxa" w:w="41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¶2.3 (express): Singapore-incorporated institutions must consider impact on consolidated operations and </w:t>
            </w:r>
            <w:r>
              <w:rPr>
                <w:rFonts w:ascii="Calibri" w:cs="Calibri" w:eastAsia="Calibri" w:hAnsi="Calibri"/>
                <w:b/>
                <w:bCs/>
                <w:color w:val="000000"/>
                <w:sz w:val="18"/>
                <w:szCs w:val="18"/>
              </w:rPr>
              <w:t xml:space="preserve">ensure observance by branches and controlled corporations</w:t>
            </w:r>
            <w:r>
              <w:rPr>
                <w:rFonts w:ascii="Calibri" w:cs="Calibri" w:eastAsia="Calibri" w:hAnsi="Calibri"/>
                <w:color w:val="000000"/>
                <w:sz w:val="18"/>
                <w:szCs w:val="18"/>
              </w:rPr>
              <w:t xml:space="preserve"> via a group-wide framework complying with the Guidelines.</w:t>
            </w:r>
          </w:p>
        </w:tc>
        <w:tc>
          <w:tcPr>
            <w:tcW w:type="dxa" w:w="3740"/>
            <w:shd w:fill="E4F1F1"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[FI-only]</w:t>
            </w:r>
            <w:r>
              <w:rPr>
                <w:rFonts w:ascii="Calibri" w:cs="Calibri" w:eastAsia="Calibri" w:hAnsi="Calibri"/>
                <w:color w:val="000000"/>
                <w:sz w:val="18"/>
                <w:szCs w:val="18"/>
              </w:rPr>
              <w:t xml:space="preserve"/>
            </w:r>
          </w:p>
          <w:p>
            <w:pPr>
              <w:spacing w:after="40" w:before="40"/>
            </w:pPr>
            <w:r>
              <w:rPr>
                <w:rFonts w:ascii="Calibri" w:cs="Calibri" w:eastAsia="Calibri" w:hAnsi="Calibri"/>
                <w:color w:val="000000"/>
                <w:sz w:val="18"/>
                <w:szCs w:val="18"/>
              </w:rPr>
              <w:t xml:space="preserve">The affirmative "ensure observance group-wide" instruction exists only in the FI Guidelines.</w:t>
            </w:r>
          </w:p>
        </w:tc>
      </w:tr>
      <w:tr>
        <w:tc>
          <w:tcPr>
            <w:tcW w:type="dxa" w:w="56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7</w:t>
            </w:r>
          </w:p>
        </w:tc>
        <w:tc>
          <w:tcPr>
            <w:tcW w:type="dxa" w:w="19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Register submission to MAS</w:t>
            </w:r>
            <w:r>
              <w:rPr>
                <w:rFonts w:ascii="Calibri" w:cs="Calibri" w:eastAsia="Calibri" w:hAnsi="Calibri"/>
                <w:color w:val="000000"/>
                <w:sz w:val="18"/>
                <w:szCs w:val="18"/>
              </w:rPr>
              <w:t xml:space="preserve"/>
            </w:r>
          </w:p>
        </w:tc>
        <w:tc>
          <w:tcPr>
            <w:tcW w:type="dxa" w:w="41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¶3.8.2(a) fn 21: submit registers per the MAS template link — </w:t>
            </w:r>
            <w:r>
              <w:rPr>
                <w:rFonts w:ascii="Calibri" w:cs="Calibri" w:eastAsia="Calibri" w:hAnsi="Calibri"/>
                <w:b/>
                <w:bCs/>
                <w:color w:val="000000"/>
                <w:sz w:val="18"/>
                <w:szCs w:val="18"/>
              </w:rPr>
              <w:t xml:space="preserve">no frequency stated</w:t>
            </w:r>
            <w:r>
              <w:rPr>
                <w:rFonts w:ascii="Calibri" w:cs="Calibri" w:eastAsia="Calibri" w:hAnsi="Calibri"/>
                <w:color w:val="000000"/>
                <w:sz w:val="18"/>
                <w:szCs w:val="18"/>
              </w:rPr>
              <w:t xml:space="preserve"> in the Guidelines (register obligations sit in the Notices).</w:t>
            </w:r>
          </w:p>
        </w:tc>
        <w:tc>
          <w:tcPr>
            <w:tcW w:type="dxa" w:w="41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¶4.1.1 + Annex 4: submission of the outsourcing register </w:t>
            </w:r>
            <w:r>
              <w:rPr>
                <w:rFonts w:ascii="Calibri" w:cs="Calibri" w:eastAsia="Calibri" w:hAnsi="Calibri"/>
                <w:b/>
                <w:bCs/>
                <w:color w:val="000000"/>
                <w:sz w:val="18"/>
                <w:szCs w:val="18"/>
              </w:rPr>
              <w:t xml:space="preserve">at least annually or upon request</w:t>
            </w:r>
            <w:r>
              <w:rPr>
                <w:rFonts w:ascii="Calibri" w:cs="Calibri" w:eastAsia="Calibri" w:hAnsi="Calibri"/>
                <w:color w:val="000000"/>
                <w:sz w:val="18"/>
                <w:szCs w:val="18"/>
              </w:rPr>
              <w:t xml:space="preserve"> is part of demonstrating observance.</w:t>
            </w:r>
          </w:p>
        </w:tc>
        <w:tc>
          <w:tcPr>
            <w:tcW w:type="dxa" w:w="3740"/>
            <w:shd w:fill="FBE9E7"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[Substantive]</w:t>
            </w:r>
            <w:r>
              <w:rPr>
                <w:rFonts w:ascii="Calibri" w:cs="Calibri" w:eastAsia="Calibri" w:hAnsi="Calibri"/>
                <w:color w:val="000000"/>
                <w:sz w:val="18"/>
                <w:szCs w:val="18"/>
              </w:rPr>
              <w:t xml:space="preserve"/>
            </w:r>
          </w:p>
          <w:p>
            <w:pPr>
              <w:spacing w:after="40" w:before="40"/>
            </w:pPr>
            <w:r>
              <w:rPr>
                <w:rFonts w:ascii="Calibri" w:cs="Calibri" w:eastAsia="Calibri" w:hAnsi="Calibri"/>
                <w:color w:val="000000"/>
                <w:sz w:val="18"/>
                <w:szCs w:val="18"/>
              </w:rPr>
              <w:t xml:space="preserve">Only the FI Guidelines state a submission frequency.</w:t>
            </w:r>
          </w:p>
        </w:tc>
      </w:tr>
      <w:tr>
        <w:tc>
          <w:tcPr>
            <w:tcW w:type="dxa" w:w="56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8</w:t>
            </w:r>
          </w:p>
        </w:tc>
        <w:tc>
          <w:tcPr>
            <w:tcW w:type="dxa" w:w="19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MAS intervention in a live arrangement</w:t>
            </w:r>
            <w:r>
              <w:rPr>
                <w:rFonts w:ascii="Calibri" w:cs="Calibri" w:eastAsia="Calibri" w:hAnsi="Calibri"/>
                <w:color w:val="000000"/>
                <w:sz w:val="18"/>
                <w:szCs w:val="18"/>
              </w:rPr>
              <w:t xml:space="preserve"/>
            </w:r>
          </w:p>
        </w:tc>
        <w:tc>
          <w:tcPr>
            <w:tcW w:type="dxa" w:w="41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¶¶3.4.5–3.4.6: MAS will consider </w:t>
            </w:r>
            <w:r>
              <w:rPr>
                <w:rFonts w:ascii="Calibri" w:cs="Calibri" w:eastAsia="Calibri" w:hAnsi="Calibri"/>
                <w:b/>
                <w:bCs/>
                <w:color w:val="000000"/>
                <w:sz w:val="18"/>
                <w:szCs w:val="18"/>
              </w:rPr>
              <w:t xml:space="preserve">directing termination</w:t>
            </w:r>
            <w:r>
              <w:rPr>
                <w:rFonts w:ascii="Calibri" w:cs="Calibri" w:eastAsia="Calibri" w:hAnsi="Calibri"/>
                <w:color w:val="000000"/>
                <w:sz w:val="18"/>
                <w:szCs w:val="18"/>
              </w:rPr>
              <w:t xml:space="preserve"> of the contract or stopping the MOORS (Notices ¶7.1(g)) on 8 grounds incl. Notices ¶10.3 circumstances, failure to understand/address risks, adverse developments, and MAS/sub-contractor </w:t>
            </w:r>
            <w:r>
              <w:rPr>
                <w:rFonts w:ascii="Calibri" w:cs="Calibri" w:eastAsia="Calibri" w:hAnsi="Calibri"/>
                <w:b/>
                <w:bCs/>
                <w:color w:val="000000"/>
                <w:sz w:val="18"/>
                <w:szCs w:val="18"/>
              </w:rPr>
              <w:t xml:space="preserve">audit obstruction</w:t>
            </w:r>
            <w:r>
              <w:rPr>
                <w:rFonts w:ascii="Calibri" w:cs="Calibri" w:eastAsia="Calibri" w:hAnsi="Calibri"/>
                <w:color w:val="000000"/>
                <w:sz w:val="18"/>
                <w:szCs w:val="18"/>
              </w:rPr>
              <w:t xml:space="preserve"> (s 47A(10)); last resort (fn 15); reasonable notice (¶3.4.6).</w:t>
            </w:r>
          </w:p>
        </w:tc>
        <w:tc>
          <w:tcPr>
            <w:tcW w:type="dxa" w:w="41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¶4.1.3: MAS may require the institution to </w:t>
            </w:r>
            <w:r>
              <w:rPr>
                <w:rFonts w:ascii="Calibri" w:cs="Calibri" w:eastAsia="Calibri" w:hAnsi="Calibri"/>
                <w:b/>
                <w:bCs/>
                <w:color w:val="000000"/>
                <w:sz w:val="18"/>
                <w:szCs w:val="18"/>
              </w:rPr>
              <w:t xml:space="preserve">modify, make alternative arrangements or re-integrate</w:t>
            </w:r>
            <w:r>
              <w:rPr>
                <w:rFonts w:ascii="Calibri" w:cs="Calibri" w:eastAsia="Calibri" w:hAnsi="Calibri"/>
                <w:color w:val="000000"/>
                <w:sz w:val="18"/>
                <w:szCs w:val="18"/>
              </w:rPr>
              <w:t xml:space="preserve"> the service on 5 grounds incl. supervisory hindrance and lowered customer-information security from control-environment changes.</w:t>
            </w:r>
          </w:p>
        </w:tc>
        <w:tc>
          <w:tcPr>
            <w:tcW w:type="dxa" w:w="3740"/>
            <w:shd w:fill="FBE9E7"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[Substantive]</w:t>
            </w:r>
            <w:r>
              <w:rPr>
                <w:rFonts w:ascii="Calibri" w:cs="Calibri" w:eastAsia="Calibri" w:hAnsi="Calibri"/>
                <w:color w:val="000000"/>
                <w:sz w:val="18"/>
                <w:szCs w:val="18"/>
              </w:rPr>
              <w:t xml:space="preserve"/>
            </w:r>
          </w:p>
          <w:p>
            <w:pPr>
              <w:spacing w:after="40" w:before="40"/>
            </w:pPr>
            <w:r>
              <w:rPr>
                <w:rFonts w:ascii="Calibri" w:cs="Calibri" w:eastAsia="Calibri" w:hAnsi="Calibri"/>
                <w:color w:val="000000"/>
                <w:sz w:val="18"/>
                <w:szCs w:val="18"/>
              </w:rPr>
              <w:t xml:space="preserve">Different powers: Notice-backed termination direction (Bank) vs supervisory modify/re-integrate expectation (FI). Audit-obstruction grounds are Bank-only; supervisory-hindrance and control-environment grounds are FI-only. No last-resort/notice language on the FI side.</w:t>
            </w:r>
          </w:p>
        </w:tc>
      </w:tr>
      <w:tr>
        <w:tc>
          <w:tcPr>
            <w:tcW w:type="dxa" w:w="56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9</w:t>
            </w:r>
          </w:p>
        </w:tc>
        <w:tc>
          <w:tcPr>
            <w:tcW w:type="dxa" w:w="19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Supervisory review statement</w:t>
            </w:r>
            <w:r>
              <w:rPr>
                <w:rFonts w:ascii="Calibri" w:cs="Calibri" w:eastAsia="Calibri" w:hAnsi="Calibri"/>
                <w:color w:val="000000"/>
                <w:sz w:val="18"/>
                <w:szCs w:val="18"/>
              </w:rPr>
              <w:t xml:space="preserve"/>
            </w:r>
          </w:p>
        </w:tc>
        <w:tc>
          <w:tcPr>
            <w:tcW w:type="dxa" w:w="41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No standalone counterpart (folded into ¶2.1).</w:t>
            </w:r>
          </w:p>
        </w:tc>
        <w:tc>
          <w:tcPr>
            <w:tcW w:type="dxa" w:w="41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¶5.1.1: MAS will review implementation of the Guidelines and quality of board/senior-management oversight and governance, internal controls and risk management.</w:t>
            </w:r>
          </w:p>
        </w:tc>
        <w:tc>
          <w:tcPr>
            <w:tcW w:type="dxa" w:w="3740"/>
            <w:shd w:fill="E4F1F1"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[FI-only]</w:t>
            </w:r>
            <w:r>
              <w:rPr>
                <w:rFonts w:ascii="Calibri" w:cs="Calibri" w:eastAsia="Calibri" w:hAnsi="Calibri"/>
                <w:color w:val="000000"/>
                <w:sz w:val="18"/>
                <w:szCs w:val="18"/>
              </w:rPr>
              <w:t xml:space="preserve"/>
            </w:r>
          </w:p>
          <w:p>
            <w:pPr>
              <w:spacing w:after="40" w:before="40"/>
            </w:pPr>
            <w:r>
              <w:rPr>
                <w:rFonts w:ascii="Calibri" w:cs="Calibri" w:eastAsia="Calibri" w:hAnsi="Calibri"/>
                <w:color w:val="000000"/>
                <w:sz w:val="18"/>
                <w:szCs w:val="18"/>
              </w:rPr>
              <w:t xml:space="preserve">FI-only overview paragraph.</w:t>
            </w:r>
          </w:p>
        </w:tc>
      </w:tr>
      <w:tr>
        <w:tc>
          <w:tcPr>
            <w:tcW w:type="dxa" w:w="56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10</w:t>
            </w:r>
          </w:p>
        </w:tc>
        <w:tc>
          <w:tcPr>
            <w:tcW w:type="dxa" w:w="19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Terminology in board/senior-management duties</w:t>
            </w:r>
            <w:r>
              <w:rPr>
                <w:rFonts w:ascii="Calibri" w:cs="Calibri" w:eastAsia="Calibri" w:hAnsi="Calibri"/>
                <w:color w:val="000000"/>
                <w:sz w:val="18"/>
                <w:szCs w:val="18"/>
              </w:rPr>
              <w:t xml:space="preserve"/>
            </w:r>
          </w:p>
        </w:tc>
        <w:tc>
          <w:tcPr>
            <w:tcW w:type="dxa" w:w="41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¶¶2.1, 3.1.3(d), (h): risks from "MOORS".</w:t>
            </w:r>
          </w:p>
        </w:tc>
        <w:tc>
          <w:tcPr>
            <w:tcW w:type="dxa" w:w="41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¶¶4.1.2, 5.2.3(d), (h): risks from "material outsourcing arrangements".</w:t>
            </w:r>
          </w:p>
        </w:tc>
        <w:tc>
          <w:tcPr>
            <w:tcW w:type="dxa" w:w="3740"/>
            <w:shd w:fill="EFEFEF"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[Drafting]</w:t>
            </w:r>
            <w:r>
              <w:rPr>
                <w:rFonts w:ascii="Calibri" w:cs="Calibri" w:eastAsia="Calibri" w:hAnsi="Calibri"/>
                <w:color w:val="000000"/>
                <w:sz w:val="18"/>
                <w:szCs w:val="18"/>
              </w:rPr>
              <w:t xml:space="preserve"/>
            </w:r>
          </w:p>
          <w:p>
            <w:pPr>
              <w:spacing w:after="40" w:before="40"/>
            </w:pPr>
            <w:r>
              <w:rPr>
                <w:rFonts w:ascii="Calibri" w:cs="Calibri" w:eastAsia="Calibri" w:hAnsi="Calibri"/>
                <w:color w:val="000000"/>
                <w:sz w:val="18"/>
                <w:szCs w:val="18"/>
              </w:rPr>
              <w:t xml:space="preserve">Terminology only; substance identical.</w:t>
            </w:r>
          </w:p>
        </w:tc>
      </w:tr>
      <w:tr>
        <w:tc>
          <w:tcPr>
            <w:tcW w:type="dxa" w:w="56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11</w:t>
            </w:r>
          </w:p>
        </w:tc>
        <w:tc>
          <w:tcPr>
            <w:tcW w:type="dxa" w:w="19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Foreign-incorporated institutions — governance</w:t>
            </w:r>
            <w:r>
              <w:rPr>
                <w:rFonts w:ascii="Calibri" w:cs="Calibri" w:eastAsia="Calibri" w:hAnsi="Calibri"/>
                <w:color w:val="000000"/>
                <w:sz w:val="18"/>
                <w:szCs w:val="18"/>
              </w:rPr>
              <w:t xml:space="preserve"/>
            </w:r>
          </w:p>
        </w:tc>
        <w:tc>
          <w:tcPr>
            <w:tcW w:type="dxa" w:w="41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¶3.1.5: senior-management functions lie with local management, which cannot abrogate its governance responsibilities. No board-delegation sentence.</w:t>
            </w:r>
          </w:p>
        </w:tc>
        <w:tc>
          <w:tcPr>
            <w:tcW w:type="dxa" w:w="41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¶5.2.5: same local-management text </w:t>
            </w:r>
            <w:r>
              <w:rPr>
                <w:rFonts w:ascii="Calibri" w:cs="Calibri" w:eastAsia="Calibri" w:hAnsi="Calibri"/>
                <w:b/>
                <w:bCs/>
                <w:color w:val="000000"/>
                <w:sz w:val="18"/>
                <w:szCs w:val="18"/>
              </w:rPr>
              <w:t xml:space="preserve">plus</w:t>
            </w:r>
            <w:r>
              <w:rPr>
                <w:rFonts w:ascii="Calibri" w:cs="Calibri" w:eastAsia="Calibri" w:hAnsi="Calibri"/>
                <w:color w:val="000000"/>
                <w:sz w:val="18"/>
                <w:szCs w:val="18"/>
              </w:rPr>
              <w:t xml:space="preserve"> express provision that board functions (¶5.2.2) may be delegated to a management committee/body beyond local management (e.g. regional risk management committee), reinforced by the §3 "board" definition.</w:t>
            </w:r>
          </w:p>
        </w:tc>
        <w:tc>
          <w:tcPr>
            <w:tcW w:type="dxa" w:w="3740"/>
            <w:shd w:fill="E4F1F1"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[FI-only]</w:t>
            </w:r>
            <w:r>
              <w:rPr>
                <w:rFonts w:ascii="Calibri" w:cs="Calibri" w:eastAsia="Calibri" w:hAnsi="Calibri"/>
                <w:color w:val="000000"/>
                <w:sz w:val="18"/>
                <w:szCs w:val="18"/>
              </w:rPr>
              <w:t xml:space="preserve"/>
            </w:r>
          </w:p>
          <w:p>
            <w:pPr>
              <w:spacing w:after="40" w:before="40"/>
            </w:pPr>
            <w:r>
              <w:rPr>
                <w:rFonts w:ascii="Calibri" w:cs="Calibri" w:eastAsia="Calibri" w:hAnsi="Calibri"/>
                <w:color w:val="000000"/>
                <w:sz w:val="18"/>
                <w:szCs w:val="18"/>
              </w:rPr>
              <w:t xml:space="preserve">FI Guidelines expressly resolve how board-level expectations map onto foreign-incorporated institutions.</w:t>
            </w:r>
          </w:p>
        </w:tc>
      </w:tr>
      <w:tr>
        <w:tc>
          <w:tcPr>
            <w:tcW w:type="dxa" w:w="56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12</w:t>
            </w:r>
          </w:p>
        </w:tc>
        <w:tc>
          <w:tcPr>
            <w:tcW w:type="dxa" w:w="19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Legal advice on overseas disclosure of customer information</w:t>
            </w:r>
            <w:r>
              <w:rPr>
                <w:rFonts w:ascii="Calibri" w:cs="Calibri" w:eastAsia="Calibri" w:hAnsi="Calibri"/>
                <w:color w:val="000000"/>
                <w:sz w:val="18"/>
                <w:szCs w:val="18"/>
              </w:rPr>
              <w:t xml:space="preserve"/>
            </w:r>
          </w:p>
        </w:tc>
        <w:tc>
          <w:tcPr>
            <w:tcW w:type="dxa" w:w="41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¶3.2.3: for MOORS disclosing customer information to an overseas provider, assess need for independent legal advice (or internal counsel); decision and frequency approved by board/delegated committee; revisited on significant changes in the relevant overseas laws.</w:t>
            </w:r>
          </w:p>
        </w:tc>
        <w:tc>
          <w:tcPr>
            <w:tcW w:type="dxa" w:w="41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No counterpart.</w:t>
            </w:r>
          </w:p>
        </w:tc>
        <w:tc>
          <w:tcPr>
            <w:tcW w:type="dxa" w:w="3740"/>
            <w:shd w:fill="FDF3E0"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[Bank-only]</w:t>
            </w:r>
            <w:r>
              <w:rPr>
                <w:rFonts w:ascii="Calibri" w:cs="Calibri" w:eastAsia="Calibri" w:hAnsi="Calibri"/>
                <w:color w:val="000000"/>
                <w:sz w:val="18"/>
                <w:szCs w:val="18"/>
              </w:rPr>
              <w:t xml:space="preserve"/>
            </w:r>
          </w:p>
          <w:p>
            <w:pPr>
              <w:spacing w:after="40" w:before="40"/>
            </w:pPr>
            <w:r>
              <w:rPr>
                <w:rFonts w:ascii="Calibri" w:cs="Calibri" w:eastAsia="Calibri" w:hAnsi="Calibri"/>
                <w:color w:val="000000"/>
                <w:sz w:val="18"/>
                <w:szCs w:val="18"/>
              </w:rPr>
              <w:t xml:space="preserve">Banking-secrecy-driven provision unique to the Bank Guidelines.</w:t>
            </w:r>
          </w:p>
        </w:tc>
      </w:tr>
      <w:tr>
        <w:tc>
          <w:tcPr>
            <w:tcW w:type="dxa" w:w="56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13</w:t>
            </w:r>
          </w:p>
        </w:tc>
        <w:tc>
          <w:tcPr>
            <w:tcW w:type="dxa" w:w="19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Policies on frequency of checks</w:t>
            </w:r>
            <w:r>
              <w:rPr>
                <w:rFonts w:ascii="Calibri" w:cs="Calibri" w:eastAsia="Calibri" w:hAnsi="Calibri"/>
                <w:color w:val="000000"/>
                <w:sz w:val="18"/>
                <w:szCs w:val="18"/>
              </w:rPr>
              <w:t xml:space="preserve"/>
            </w:r>
          </w:p>
        </w:tc>
        <w:tc>
          <w:tcPr>
            <w:tcW w:type="dxa" w:w="41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¶3.3.6: for Notices ¶5.2(b), policies may be set for groups or types of MOORS rather than per-MOORS, if review frequency is risk-commensurate.</w:t>
            </w:r>
          </w:p>
        </w:tc>
        <w:tc>
          <w:tcPr>
            <w:tcW w:type="dxa" w:w="41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No counterpart (no Notice).</w:t>
            </w:r>
          </w:p>
        </w:tc>
        <w:tc>
          <w:tcPr>
            <w:tcW w:type="dxa" w:w="3740"/>
            <w:shd w:fill="FDF3E0"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[Bank-only]</w:t>
            </w:r>
            <w:r>
              <w:rPr>
                <w:rFonts w:ascii="Calibri" w:cs="Calibri" w:eastAsia="Calibri" w:hAnsi="Calibri"/>
                <w:color w:val="000000"/>
                <w:sz w:val="18"/>
                <w:szCs w:val="18"/>
              </w:rPr>
              <w:t xml:space="preserve"/>
            </w:r>
          </w:p>
          <w:p>
            <w:pPr>
              <w:spacing w:after="40" w:before="40"/>
            </w:pPr>
            <w:r>
              <w:rPr>
                <w:rFonts w:ascii="Calibri" w:cs="Calibri" w:eastAsia="Calibri" w:hAnsi="Calibri"/>
                <w:color w:val="000000"/>
                <w:sz w:val="18"/>
                <w:szCs w:val="18"/>
              </w:rPr>
              <w:t xml:space="preserve">Interprets a Notice obligation that does not exist for FIs.</w:t>
            </w:r>
          </w:p>
        </w:tc>
      </w:tr>
      <w:tr>
        <w:tc>
          <w:tcPr>
            <w:tcW w:type="dxa" w:w="56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14</w:t>
            </w:r>
          </w:p>
        </w:tc>
        <w:tc>
          <w:tcPr>
            <w:tcW w:type="dxa" w:w="19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Outsourcing agreement — minimum content list</w:t>
            </w:r>
            <w:r>
              <w:rPr>
                <w:rFonts w:ascii="Calibri" w:cs="Calibri" w:eastAsia="Calibri" w:hAnsi="Calibri"/>
                <w:color w:val="000000"/>
                <w:sz w:val="18"/>
                <w:szCs w:val="18"/>
              </w:rPr>
              <w:t xml:space="preserve"/>
            </w:r>
          </w:p>
        </w:tc>
        <w:tc>
          <w:tcPr>
            <w:tcW w:type="dxa" w:w="41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¶3.4.2(a)–(j): ten items; fn 9 and fn 12 require MOORS agreements to include Notices ¶7.1(a)–(c) (confidentiality/security) and ¶7.1(d) (audit).</w:t>
            </w:r>
          </w:p>
        </w:tc>
        <w:tc>
          <w:tcPr>
            <w:tcW w:type="dxa" w:w="41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¶5.5.2(a)–(k): same items </w:t>
            </w:r>
            <w:r>
              <w:rPr>
                <w:rFonts w:ascii="Calibri" w:cs="Calibri" w:eastAsia="Calibri" w:hAnsi="Calibri"/>
                <w:b/>
                <w:bCs/>
                <w:color w:val="000000"/>
                <w:sz w:val="18"/>
                <w:szCs w:val="18"/>
              </w:rPr>
              <w:t xml:space="preserve">plus (j) sub-contracting</w:t>
            </w:r>
            <w:r>
              <w:rPr>
                <w:rFonts w:ascii="Calibri" w:cs="Calibri" w:eastAsia="Calibri" w:hAnsi="Calibri"/>
                <w:color w:val="000000"/>
                <w:sz w:val="18"/>
                <w:szCs w:val="18"/>
              </w:rPr>
              <w:t xml:space="preserve"> included in the agreement checklist; termination limb (i) expanded inline.</w:t>
            </w:r>
          </w:p>
        </w:tc>
        <w:tc>
          <w:tcPr>
            <w:tcW w:type="dxa" w:w="3740"/>
            <w:shd w:fill="FBE9E7"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[Substantive]</w:t>
            </w:r>
            <w:r>
              <w:rPr>
                <w:rFonts w:ascii="Calibri" w:cs="Calibri" w:eastAsia="Calibri" w:hAnsi="Calibri"/>
                <w:color w:val="000000"/>
                <w:sz w:val="18"/>
                <w:szCs w:val="18"/>
              </w:rPr>
              <w:t xml:space="preserve"/>
            </w:r>
          </w:p>
          <w:p>
            <w:pPr>
              <w:spacing w:after="40" w:before="40"/>
            </w:pPr>
            <w:r>
              <w:rPr>
                <w:rFonts w:ascii="Calibri" w:cs="Calibri" w:eastAsia="Calibri" w:hAnsi="Calibri"/>
                <w:color w:val="000000"/>
                <w:sz w:val="18"/>
                <w:szCs w:val="18"/>
              </w:rPr>
              <w:t xml:space="preserve">FI list has 11 items (sub-contracting folded in); Bank version layers binding Notice ¶7.1 requirements on top for MOORS.</w:t>
            </w:r>
          </w:p>
        </w:tc>
      </w:tr>
      <w:tr>
        <w:tc>
          <w:tcPr>
            <w:tcW w:type="dxa" w:w="56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15</w:t>
            </w:r>
          </w:p>
        </w:tc>
        <w:tc>
          <w:tcPr>
            <w:tcW w:type="dxa" w:w="19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Contractual termination triggers</w:t>
            </w:r>
            <w:r>
              <w:rPr>
                <w:rFonts w:ascii="Calibri" w:cs="Calibri" w:eastAsia="Calibri" w:hAnsi="Calibri"/>
                <w:color w:val="000000"/>
                <w:sz w:val="18"/>
                <w:szCs w:val="18"/>
              </w:rPr>
              <w:t xml:space="preserve"/>
            </w:r>
          </w:p>
        </w:tc>
        <w:tc>
          <w:tcPr>
            <w:tcW w:type="dxa" w:w="41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¶3.4.3: default, plus (a) termination on reasonable notice; (b) provider/sub-contractor failed to safeguard confidentiality or integrity of customer information; (c) demonstrable deterioration in ability to safeguard confidentiality of customer information.</w:t>
            </w:r>
          </w:p>
        </w:tc>
        <w:tc>
          <w:tcPr>
            <w:tcW w:type="dxa" w:w="41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¶5.5.2(i): default, plus (i) change in ownership; (ii) insolvency/liquidation; (iii) receivership/judicial management (in Singapore or elsewhere); (iv) breach of security or confidentiality; (v) demonstrable deterioration in ability to perform the contracted service.</w:t>
            </w:r>
          </w:p>
        </w:tc>
        <w:tc>
          <w:tcPr>
            <w:tcW w:type="dxa" w:w="3740"/>
            <w:shd w:fill="FBE9E7"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[Substantive]</w:t>
            </w:r>
            <w:r>
              <w:rPr>
                <w:rFonts w:ascii="Calibri" w:cs="Calibri" w:eastAsia="Calibri" w:hAnsi="Calibri"/>
                <w:color w:val="000000"/>
                <w:sz w:val="18"/>
                <w:szCs w:val="18"/>
              </w:rPr>
              <w:t xml:space="preserve"/>
            </w:r>
          </w:p>
          <w:p>
            <w:pPr>
              <w:spacing w:after="40" w:before="40"/>
            </w:pPr>
            <w:r>
              <w:rPr>
                <w:rFonts w:ascii="Calibri" w:cs="Calibri" w:eastAsia="Calibri" w:hAnsi="Calibri"/>
                <w:color w:val="000000"/>
                <w:sz w:val="18"/>
                <w:szCs w:val="18"/>
              </w:rPr>
              <w:t xml:space="preserve">Sharpest drafting divergence: FI keeps corporate-event and performance triggers; Bank list is confidentiality-centred (extending to sub-contractors) with a no-fault notice-based right. The Bank Guidelines recite no corporate-event triggers (banks' binding contract terms sit in Notices ¶7.1). On the face of the Guidelines, the FI list is broader.</w:t>
            </w:r>
          </w:p>
        </w:tc>
      </w:tr>
      <w:tr>
        <w:tc>
          <w:tcPr>
            <w:tcW w:type="dxa" w:w="56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16</w:t>
            </w:r>
          </w:p>
        </w:tc>
        <w:tc>
          <w:tcPr>
            <w:tcW w:type="dxa" w:w="19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Deletion of information on termination</w:t>
            </w:r>
            <w:r>
              <w:rPr>
                <w:rFonts w:ascii="Calibri" w:cs="Calibri" w:eastAsia="Calibri" w:hAnsi="Calibri"/>
                <w:color w:val="000000"/>
                <w:sz w:val="18"/>
                <w:szCs w:val="18"/>
              </w:rPr>
              <w:t xml:space="preserve"/>
            </w:r>
          </w:p>
        </w:tc>
        <w:tc>
          <w:tcPr>
            <w:tcW w:type="dxa" w:w="41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¶3.4.7: extend the Notices ¶7.1(f) deletion obligation beyond customer information to </w:t>
            </w:r>
            <w:r>
              <w:rPr>
                <w:rFonts w:ascii="Calibri" w:cs="Calibri" w:eastAsia="Calibri" w:hAnsi="Calibri"/>
                <w:b/>
                <w:bCs/>
                <w:color w:val="000000"/>
                <w:sz w:val="18"/>
                <w:szCs w:val="18"/>
              </w:rPr>
              <w:t xml:space="preserve">non-customer information</w:t>
            </w:r>
            <w:r>
              <w:rPr>
                <w:rFonts w:ascii="Calibri" w:cs="Calibri" w:eastAsia="Calibri" w:hAnsi="Calibri"/>
                <w:color w:val="000000"/>
                <w:sz w:val="18"/>
                <w:szCs w:val="18"/>
              </w:rPr>
              <w:t xml:space="preserve"> (unless the provider has legitimate retention reasons); specify minimum termination-execution period.</w:t>
            </w:r>
          </w:p>
        </w:tc>
        <w:tc>
          <w:tcPr>
            <w:tcW w:type="dxa" w:w="41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Only the shared BCM provision (¶5.7.2(c) = Bank ¶3.7.2(c)): prompt removal/deletion/destruction of documents and information on adverse conditions or termination.</w:t>
            </w:r>
          </w:p>
        </w:tc>
        <w:tc>
          <w:tcPr>
            <w:tcW w:type="dxa" w:w="3740"/>
            <w:shd w:fill="FDF3E0"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[Bank-only]</w:t>
            </w:r>
            <w:r>
              <w:rPr>
                <w:rFonts w:ascii="Calibri" w:cs="Calibri" w:eastAsia="Calibri" w:hAnsi="Calibri"/>
                <w:color w:val="000000"/>
                <w:sz w:val="18"/>
                <w:szCs w:val="18"/>
              </w:rPr>
              <w:t xml:space="preserve"/>
            </w:r>
          </w:p>
          <w:p>
            <w:pPr>
              <w:spacing w:after="40" w:before="40"/>
            </w:pPr>
            <w:r>
              <w:rPr>
                <w:rFonts w:ascii="Calibri" w:cs="Calibri" w:eastAsia="Calibri" w:hAnsi="Calibri"/>
                <w:color w:val="000000"/>
                <w:sz w:val="18"/>
                <w:szCs w:val="18"/>
              </w:rPr>
              <w:t xml:space="preserve">The non-customer-information extension and legitimate-reasons carve-out are Bank-only.</w:t>
            </w:r>
          </w:p>
        </w:tc>
      </w:tr>
      <w:tr>
        <w:tc>
          <w:tcPr>
            <w:tcW w:type="dxa" w:w="56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17</w:t>
            </w:r>
          </w:p>
        </w:tc>
        <w:tc>
          <w:tcPr>
            <w:tcW w:type="dxa" w:w="19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Sub-contracting — structure</w:t>
            </w:r>
            <w:r>
              <w:rPr>
                <w:rFonts w:ascii="Calibri" w:cs="Calibri" w:eastAsia="Calibri" w:hAnsi="Calibri"/>
                <w:color w:val="000000"/>
                <w:sz w:val="18"/>
                <w:szCs w:val="18"/>
              </w:rPr>
              <w:t xml:space="preserve"/>
            </w:r>
          </w:p>
        </w:tc>
        <w:tc>
          <w:tcPr>
            <w:tcW w:type="dxa" w:w="41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Dedicated section §3.5 (¶3.5.1: monitoring/control, rules and limitations, provider liability, prior approval for sub-contracting any part of MOORS).</w:t>
            </w:r>
          </w:p>
        </w:tc>
        <w:tc>
          <w:tcPr>
            <w:tcW w:type="dxa" w:w="41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One agreement-checklist item, ¶5.5.2(j), with the same substance (prior approval for material arrangements).</w:t>
            </w:r>
          </w:p>
        </w:tc>
        <w:tc>
          <w:tcPr>
            <w:tcW w:type="dxa" w:w="3740"/>
            <w:shd w:fill="EFEFEF"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[Drafting]</w:t>
            </w:r>
            <w:r>
              <w:rPr>
                <w:rFonts w:ascii="Calibri" w:cs="Calibri" w:eastAsia="Calibri" w:hAnsi="Calibri"/>
                <w:color w:val="000000"/>
                <w:sz w:val="18"/>
                <w:szCs w:val="18"/>
              </w:rPr>
              <w:t xml:space="preserve"/>
            </w:r>
          </w:p>
          <w:p>
            <w:pPr>
              <w:spacing w:after="40" w:before="40"/>
            </w:pPr>
            <w:r>
              <w:rPr>
                <w:rFonts w:ascii="Calibri" w:cs="Calibri" w:eastAsia="Calibri" w:hAnsi="Calibri"/>
                <w:color w:val="000000"/>
                <w:sz w:val="18"/>
                <w:szCs w:val="18"/>
              </w:rPr>
              <w:t xml:space="preserve">Same substance; different location and prominence.</w:t>
            </w:r>
          </w:p>
        </w:tc>
      </w:tr>
      <w:tr>
        <w:tc>
          <w:tcPr>
            <w:tcW w:type="dxa" w:w="56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18</w:t>
            </w:r>
          </w:p>
        </w:tc>
        <w:tc>
          <w:tcPr>
            <w:tcW w:type="dxa" w:w="19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Customer consent before sub-contracting</w:t>
            </w:r>
            <w:r>
              <w:rPr>
                <w:rFonts w:ascii="Calibri" w:cs="Calibri" w:eastAsia="Calibri" w:hAnsi="Calibri"/>
                <w:color w:val="000000"/>
                <w:sz w:val="18"/>
                <w:szCs w:val="18"/>
              </w:rPr>
              <w:t xml:space="preserve"/>
            </w:r>
          </w:p>
        </w:tc>
        <w:tc>
          <w:tcPr>
            <w:tcW w:type="dxa" w:w="41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¶3.5.2: before a MOORS involving disclosure of customer information is sub-contracted, the Bank </w:t>
            </w:r>
            <w:r>
              <w:rPr>
                <w:rFonts w:ascii="Calibri" w:cs="Calibri" w:eastAsia="Calibri" w:hAnsi="Calibri"/>
                <w:b/>
                <w:bCs/>
                <w:color w:val="000000"/>
                <w:sz w:val="18"/>
                <w:szCs w:val="18"/>
              </w:rPr>
              <w:t xml:space="preserve">must obtain the customer's written consent</w:t>
            </w:r>
            <w:r>
              <w:rPr>
                <w:rFonts w:ascii="Calibri" w:cs="Calibri" w:eastAsia="Calibri" w:hAnsi="Calibri"/>
                <w:color w:val="000000"/>
                <w:sz w:val="18"/>
                <w:szCs w:val="18"/>
              </w:rPr>
              <w:t xml:space="preserve">; consent need not name providers, but scope and purpose must be made known (fn 17: onboarding T&amp;Cs possible).</w:t>
            </w:r>
          </w:p>
        </w:tc>
        <w:tc>
          <w:tcPr>
            <w:tcW w:type="dxa" w:w="41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No counterpart — "consent" does not appear in the FI Guidelines.</w:t>
            </w:r>
          </w:p>
        </w:tc>
        <w:tc>
          <w:tcPr>
            <w:tcW w:type="dxa" w:w="3740"/>
            <w:shd w:fill="FDF3E0"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[Bank-only]</w:t>
            </w:r>
            <w:r>
              <w:rPr>
                <w:rFonts w:ascii="Calibri" w:cs="Calibri" w:eastAsia="Calibri" w:hAnsi="Calibri"/>
                <w:color w:val="000000"/>
                <w:sz w:val="18"/>
                <w:szCs w:val="18"/>
              </w:rPr>
              <w:t xml:space="preserve"/>
            </w:r>
          </w:p>
          <w:p>
            <w:pPr>
              <w:spacing w:after="40" w:before="40"/>
            </w:pPr>
            <w:r>
              <w:rPr>
                <w:rFonts w:ascii="Calibri" w:cs="Calibri" w:eastAsia="Calibri" w:hAnsi="Calibri"/>
                <w:color w:val="000000"/>
                <w:sz w:val="18"/>
                <w:szCs w:val="18"/>
              </w:rPr>
              <w:t xml:space="preserve">Banking Act secrecy-driven; unique to banks.</w:t>
            </w:r>
          </w:p>
        </w:tc>
      </w:tr>
      <w:tr>
        <w:tc>
          <w:tcPr>
            <w:tcW w:type="dxa" w:w="56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19</w:t>
            </w:r>
          </w:p>
        </w:tc>
        <w:tc>
          <w:tcPr>
            <w:tcW w:type="dxa" w:w="19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Prescribed contents of the sub-contract</w:t>
            </w:r>
            <w:r>
              <w:rPr>
                <w:rFonts w:ascii="Calibri" w:cs="Calibri" w:eastAsia="Calibri" w:hAnsi="Calibri"/>
                <w:color w:val="000000"/>
                <w:sz w:val="18"/>
                <w:szCs w:val="18"/>
              </w:rPr>
              <w:t xml:space="preserve"/>
            </w:r>
          </w:p>
        </w:tc>
        <w:tc>
          <w:tcPr>
            <w:tcW w:type="dxa" w:w="41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¶3.5.3 (MOORS; risk-proportionate, best-effort): where customer information is disclosed — written notice of the Bank's confidentiality obligations, need-to-know limits, no third-party disclosure unless compelled by law (with notification); sub-contract to provide confidentiality/integrity protection, need-to-know access, </w:t>
            </w:r>
            <w:r>
              <w:rPr>
                <w:rFonts w:ascii="Calibri" w:cs="Calibri" w:eastAsia="Calibri" w:hAnsi="Calibri"/>
                <w:b/>
                <w:bCs/>
                <w:color w:val="000000"/>
                <w:sz w:val="18"/>
                <w:szCs w:val="18"/>
              </w:rPr>
              <w:t xml:space="preserve">MAS (or MAS-appointed auditor) audit rights over the sub-contractor</w:t>
            </w:r>
            <w:r>
              <w:rPr>
                <w:rFonts w:ascii="Calibri" w:cs="Calibri" w:eastAsia="Calibri" w:hAnsi="Calibri"/>
                <w:color w:val="000000"/>
                <w:sz w:val="18"/>
                <w:szCs w:val="18"/>
              </w:rPr>
              <w:t xml:space="preserve">, records on request to Bank/MAS, and deletion/destruction of customer information on cessation (with law/branch-system carve-outs; fn 18 flexibility for non-customer information).</w:t>
            </w:r>
          </w:p>
        </w:tc>
        <w:tc>
          <w:tcPr>
            <w:tcW w:type="dxa" w:w="41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No counterpart at this level — sub-contractors reached via the provider-liability clause (¶5.5.2(j)) and the audit/access clauses (¶¶5.9.2–5.9.4).</w:t>
            </w:r>
          </w:p>
        </w:tc>
        <w:tc>
          <w:tcPr>
            <w:tcW w:type="dxa" w:w="3740"/>
            <w:shd w:fill="FDF3E0"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[Bank-only]</w:t>
            </w:r>
            <w:r>
              <w:rPr>
                <w:rFonts w:ascii="Calibri" w:cs="Calibri" w:eastAsia="Calibri" w:hAnsi="Calibri"/>
                <w:color w:val="000000"/>
                <w:sz w:val="18"/>
                <w:szCs w:val="18"/>
              </w:rPr>
              <w:t xml:space="preserve"/>
            </w:r>
          </w:p>
          <w:p>
            <w:pPr>
              <w:spacing w:after="40" w:before="40"/>
            </w:pPr>
            <w:r>
              <w:rPr>
                <w:rFonts w:ascii="Calibri" w:cs="Calibri" w:eastAsia="Calibri" w:hAnsi="Calibri"/>
                <w:color w:val="000000"/>
                <w:sz w:val="18"/>
                <w:szCs w:val="18"/>
              </w:rPr>
              <w:t xml:space="preserve">The FI Guidelines never prescribe the contents of the sub-contract itself.</w:t>
            </w:r>
          </w:p>
        </w:tc>
      </w:tr>
      <w:tr>
        <w:tc>
          <w:tcPr>
            <w:tcW w:type="dxa" w:w="56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20</w:t>
            </w:r>
          </w:p>
        </w:tc>
        <w:tc>
          <w:tcPr>
            <w:tcW w:type="dxa" w:w="19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Time limit for notifying sub-contractor engagement</w:t>
            </w:r>
            <w:r>
              <w:rPr>
                <w:rFonts w:ascii="Calibri" w:cs="Calibri" w:eastAsia="Calibri" w:hAnsi="Calibri"/>
                <w:color w:val="000000"/>
                <w:sz w:val="18"/>
                <w:szCs w:val="18"/>
              </w:rPr>
              <w:t xml:space="preserve"/>
            </w:r>
          </w:p>
        </w:tc>
        <w:tc>
          <w:tcPr>
            <w:tcW w:type="dxa" w:w="41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¶3.5.4: for Notices ¶6.3(a), provider notification to the Bank no later than </w:t>
            </w:r>
            <w:r>
              <w:rPr>
                <w:rFonts w:ascii="Calibri" w:cs="Calibri" w:eastAsia="Calibri" w:hAnsi="Calibri"/>
                <w:b/>
                <w:bCs/>
                <w:color w:val="000000"/>
                <w:sz w:val="18"/>
                <w:szCs w:val="18"/>
              </w:rPr>
              <w:t xml:space="preserve">30 days</w:t>
            </w:r>
            <w:r>
              <w:rPr>
                <w:rFonts w:ascii="Calibri" w:cs="Calibri" w:eastAsia="Calibri" w:hAnsi="Calibri"/>
                <w:color w:val="000000"/>
                <w:sz w:val="18"/>
                <w:szCs w:val="18"/>
              </w:rPr>
              <w:t xml:space="preserve">; late notifications assessed and remediated.</w:t>
            </w:r>
          </w:p>
        </w:tc>
        <w:tc>
          <w:tcPr>
            <w:tcW w:type="dxa" w:w="41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No counterpart.</w:t>
            </w:r>
          </w:p>
        </w:tc>
        <w:tc>
          <w:tcPr>
            <w:tcW w:type="dxa" w:w="3740"/>
            <w:shd w:fill="FDF3E0"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[Bank-only]</w:t>
            </w:r>
            <w:r>
              <w:rPr>
                <w:rFonts w:ascii="Calibri" w:cs="Calibri" w:eastAsia="Calibri" w:hAnsi="Calibri"/>
                <w:color w:val="000000"/>
                <w:sz w:val="18"/>
                <w:szCs w:val="18"/>
              </w:rPr>
              <w:t xml:space="preserve"/>
            </w:r>
          </w:p>
          <w:p>
            <w:pPr>
              <w:spacing w:after="40" w:before="40"/>
            </w:pPr>
            <w:r>
              <w:rPr>
                <w:rFonts w:ascii="Calibri" w:cs="Calibri" w:eastAsia="Calibri" w:hAnsi="Calibri"/>
                <w:color w:val="000000"/>
                <w:sz w:val="18"/>
                <w:szCs w:val="18"/>
              </w:rPr>
              <w:t xml:space="preserve">No 30-day or equivalent period anywhere in the FI Guidelines.</w:t>
            </w:r>
          </w:p>
        </w:tc>
      </w:tr>
      <w:tr>
        <w:tc>
          <w:tcPr>
            <w:tcW w:type="dxa" w:w="56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21</w:t>
            </w:r>
          </w:p>
        </w:tc>
        <w:tc>
          <w:tcPr>
            <w:tcW w:type="dxa" w:w="19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Monitoring and control — required measures</w:t>
            </w:r>
            <w:r>
              <w:rPr>
                <w:rFonts w:ascii="Calibri" w:cs="Calibri" w:eastAsia="Calibri" w:hAnsi="Calibri"/>
                <w:color w:val="000000"/>
                <w:sz w:val="18"/>
                <w:szCs w:val="18"/>
              </w:rPr>
              <w:t xml:space="preserve"/>
            </w:r>
          </w:p>
        </w:tc>
        <w:tc>
          <w:tcPr>
            <w:tcW w:type="dxa" w:w="41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¶3.8.2: five measures — register (template link, fn 21); multi-disciplinary management groups; control groups; reporting policies (no data aggregation; escalation); pre-/post-implementation reviews.</w:t>
            </w:r>
          </w:p>
        </w:tc>
        <w:tc>
          <w:tcPr>
            <w:tcW w:type="dxa" w:w="41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¶5.8.2: six measures — the same five </w:t>
            </w:r>
            <w:r>
              <w:rPr>
                <w:rFonts w:ascii="Calibri" w:cs="Calibri" w:eastAsia="Calibri" w:hAnsi="Calibri"/>
                <w:b/>
                <w:bCs/>
                <w:color w:val="000000"/>
                <w:sz w:val="18"/>
                <w:szCs w:val="18"/>
              </w:rPr>
              <w:t xml:space="preserve">plus (d): periodic reviews of all material outsourcing arrangements at least annually</w:t>
            </w:r>
            <w:r>
              <w:rPr>
                <w:rFonts w:ascii="Calibri" w:cs="Calibri" w:eastAsia="Calibri" w:hAnsi="Calibri"/>
                <w:color w:val="000000"/>
                <w:sz w:val="18"/>
                <w:szCs w:val="18"/>
              </w:rPr>
              <w:t xml:space="preserve">, testing effective implementation of policies and the Guidelines, adequacy of risk management and MIS, and control deficiencies.</w:t>
            </w:r>
          </w:p>
        </w:tc>
        <w:tc>
          <w:tcPr>
            <w:tcW w:type="dxa" w:w="3740"/>
            <w:shd w:fill="E4F1F1"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[FI-only]</w:t>
            </w:r>
            <w:r>
              <w:rPr>
                <w:rFonts w:ascii="Calibri" w:cs="Calibri" w:eastAsia="Calibri" w:hAnsi="Calibri"/>
                <w:color w:val="000000"/>
                <w:sz w:val="18"/>
                <w:szCs w:val="18"/>
              </w:rPr>
              <w:t xml:space="preserve"/>
            </w:r>
          </w:p>
          <w:p>
            <w:pPr>
              <w:spacing w:after="40" w:before="40"/>
            </w:pPr>
            <w:r>
              <w:rPr>
                <w:rFonts w:ascii="Calibri" w:cs="Calibri" w:eastAsia="Calibri" w:hAnsi="Calibri"/>
                <w:color w:val="000000"/>
                <w:sz w:val="18"/>
                <w:szCs w:val="18"/>
              </w:rPr>
              <w:t xml:space="preserve">The express annual-review measure exists only in the FI Guidelines (banks' periodic-review duties arise under the Notices).</w:t>
            </w:r>
          </w:p>
        </w:tc>
      </w:tr>
      <w:tr>
        <w:tc>
          <w:tcPr>
            <w:tcW w:type="dxa" w:w="56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22</w:t>
            </w:r>
          </w:p>
        </w:tc>
        <w:tc>
          <w:tcPr>
            <w:tcW w:type="dxa" w:w="19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MAS access to service providers</w:t>
            </w:r>
            <w:r>
              <w:rPr>
                <w:rFonts w:ascii="Calibri" w:cs="Calibri" w:eastAsia="Calibri" w:hAnsi="Calibri"/>
                <w:color w:val="000000"/>
                <w:sz w:val="18"/>
                <w:szCs w:val="18"/>
              </w:rPr>
              <w:t xml:space="preserve"/>
            </w:r>
          </w:p>
        </w:tc>
        <w:tc>
          <w:tcPr>
            <w:tcW w:type="dxa" w:w="41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¶3.9.2: clauses allowing the </w:t>
            </w:r>
            <w:r>
              <w:rPr>
                <w:rFonts w:ascii="Calibri" w:cs="Calibri" w:eastAsia="Calibri" w:hAnsi="Calibri"/>
                <w:b/>
                <w:bCs/>
                <w:color w:val="000000"/>
                <w:sz w:val="18"/>
                <w:szCs w:val="18"/>
              </w:rPr>
              <w:t xml:space="preserve">Bank</w:t>
            </w:r>
            <w:r>
              <w:rPr>
                <w:rFonts w:ascii="Calibri" w:cs="Calibri" w:eastAsia="Calibri" w:hAnsi="Calibri"/>
                <w:color w:val="000000"/>
                <w:sz w:val="18"/>
                <w:szCs w:val="18"/>
              </w:rPr>
              <w:t xml:space="preserve"> to audit providers and sub-contractors and obtain reports. No contractual MAS-access clause needed — MAS holds statutory inspection powers (s 47A(10) Banking Act, recited at ¶3.4.5(f)); Notices ¶7.1(d) prescribes the binding audit clauses.</w:t>
            </w:r>
          </w:p>
        </w:tc>
        <w:tc>
          <w:tcPr>
            <w:tcW w:type="dxa" w:w="41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¶5.9.2: same institution-audit clauses (a) </w:t>
            </w:r>
            <w:r>
              <w:rPr>
                <w:rFonts w:ascii="Calibri" w:cs="Calibri" w:eastAsia="Calibri" w:hAnsi="Calibri"/>
                <w:b/>
                <w:bCs/>
                <w:color w:val="000000"/>
                <w:sz w:val="18"/>
                <w:szCs w:val="18"/>
              </w:rPr>
              <w:t xml:space="preserve">plus (b): clauses allowing MAS, or any MAS-appointed agent, to exercise the institution's contractual rights</w:t>
            </w:r>
            <w:r>
              <w:rPr>
                <w:rFonts w:ascii="Calibri" w:cs="Calibri" w:eastAsia="Calibri" w:hAnsi="Calibri"/>
                <w:color w:val="000000"/>
                <w:sz w:val="18"/>
                <w:szCs w:val="18"/>
              </w:rPr>
              <w:t xml:space="preserve"> to access/inspect the provider and sub-contractors, obtain records and documents, and access reports and findings.</w:t>
            </w:r>
          </w:p>
        </w:tc>
        <w:tc>
          <w:tcPr>
            <w:tcW w:type="dxa" w:w="3740"/>
            <w:shd w:fill="E4F1F1"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[FI-only]</w:t>
            </w:r>
            <w:r>
              <w:rPr>
                <w:rFonts w:ascii="Calibri" w:cs="Calibri" w:eastAsia="Calibri" w:hAnsi="Calibri"/>
                <w:color w:val="000000"/>
                <w:sz w:val="18"/>
                <w:szCs w:val="18"/>
              </w:rPr>
              <w:t xml:space="preserve"/>
            </w:r>
          </w:p>
          <w:p>
            <w:pPr>
              <w:spacing w:after="40" w:before="40"/>
            </w:pPr>
            <w:r>
              <w:rPr>
                <w:rFonts w:ascii="Calibri" w:cs="Calibri" w:eastAsia="Calibri" w:hAnsi="Calibri"/>
                <w:color w:val="000000"/>
                <w:sz w:val="18"/>
                <w:szCs w:val="18"/>
              </w:rPr>
              <w:t xml:space="preserve">MAS access is replicated contractually for FIs; statutory for banks.</w:t>
            </w:r>
          </w:p>
        </w:tc>
      </w:tr>
      <w:tr>
        <w:tc>
          <w:tcPr>
            <w:tcW w:type="dxa" w:w="56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23</w:t>
            </w:r>
          </w:p>
        </w:tc>
        <w:tc>
          <w:tcPr>
            <w:tcW w:type="dxa" w:w="19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Provider reporting to MAS</w:t>
            </w:r>
            <w:r>
              <w:rPr>
                <w:rFonts w:ascii="Calibri" w:cs="Calibri" w:eastAsia="Calibri" w:hAnsi="Calibri"/>
                <w:color w:val="000000"/>
                <w:sz w:val="18"/>
                <w:szCs w:val="18"/>
              </w:rPr>
              <w:t xml:space="preserve"/>
            </w:r>
          </w:p>
        </w:tc>
        <w:tc>
          <w:tcPr>
            <w:tcW w:type="dxa" w:w="41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No counterpart recited in the Guidelines (¶3.9.7 covers only the Bank's own submissions).</w:t>
            </w:r>
          </w:p>
        </w:tc>
        <w:tc>
          <w:tcPr>
            <w:tcW w:type="dxa" w:w="41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¶5.9.3: material agreements to require the provider to comply as soon as possible with any MAS/institution request to submit reports on the security and control environment of the provider and sub-contractors to MAS.</w:t>
            </w:r>
          </w:p>
        </w:tc>
        <w:tc>
          <w:tcPr>
            <w:tcW w:type="dxa" w:w="3740"/>
            <w:shd w:fill="E4F1F1"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[FI-only]</w:t>
            </w:r>
            <w:r>
              <w:rPr>
                <w:rFonts w:ascii="Calibri" w:cs="Calibri" w:eastAsia="Calibri" w:hAnsi="Calibri"/>
                <w:color w:val="000000"/>
                <w:sz w:val="18"/>
                <w:szCs w:val="18"/>
              </w:rPr>
              <w:t xml:space="preserve"/>
            </w:r>
          </w:p>
          <w:p>
            <w:pPr>
              <w:spacing w:after="40" w:before="40"/>
            </w:pPr>
            <w:r>
              <w:rPr>
                <w:rFonts w:ascii="Calibri" w:cs="Calibri" w:eastAsia="Calibri" w:hAnsi="Calibri"/>
                <w:color w:val="000000"/>
                <w:sz w:val="18"/>
                <w:szCs w:val="18"/>
              </w:rPr>
              <w:t xml:space="preserve">FI-only contractual reporting clause.</w:t>
            </w:r>
          </w:p>
        </w:tc>
      </w:tr>
      <w:tr>
        <w:tc>
          <w:tcPr>
            <w:tcW w:type="dxa" w:w="56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24</w:t>
            </w:r>
          </w:p>
        </w:tc>
        <w:tc>
          <w:tcPr>
            <w:tcW w:type="dxa" w:w="19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Sub-contractor audit coverage — verb and scope</w:t>
            </w:r>
            <w:r>
              <w:rPr>
                <w:rFonts w:ascii="Calibri" w:cs="Calibri" w:eastAsia="Calibri" w:hAnsi="Calibri"/>
                <w:color w:val="000000"/>
                <w:sz w:val="18"/>
                <w:szCs w:val="18"/>
              </w:rPr>
              <w:t xml:space="preserve"/>
            </w:r>
          </w:p>
        </w:tc>
        <w:tc>
          <w:tcPr>
            <w:tcW w:type="dxa" w:w="41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¶3.9.3: Bank should "</w:t>
            </w:r>
            <w:r>
              <w:rPr>
                <w:rFonts w:ascii="Calibri" w:cs="Calibri" w:eastAsia="Calibri" w:hAnsi="Calibri"/>
                <w:b/>
                <w:bCs/>
                <w:color w:val="000000"/>
                <w:sz w:val="18"/>
                <w:szCs w:val="18"/>
              </w:rPr>
              <w:t xml:space="preserve">endeavour</w:t>
            </w:r>
            <w:r>
              <w:rPr>
                <w:rFonts w:ascii="Calibri" w:cs="Calibri" w:eastAsia="Calibri" w:hAnsi="Calibri"/>
                <w:color w:val="000000"/>
                <w:sz w:val="18"/>
                <w:szCs w:val="18"/>
              </w:rPr>
              <w:t xml:space="preserve"> to subject" sub-contractors (incl. DR/backup providers) to the audit requirements applied to the provider.</w:t>
            </w:r>
          </w:p>
        </w:tc>
        <w:tc>
          <w:tcPr>
            <w:tcW w:type="dxa" w:w="41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¶5.9.4: institution should "</w:t>
            </w:r>
            <w:r>
              <w:rPr>
                <w:rFonts w:ascii="Calibri" w:cs="Calibri" w:eastAsia="Calibri" w:hAnsi="Calibri"/>
                <w:b/>
                <w:bCs/>
                <w:color w:val="000000"/>
                <w:sz w:val="18"/>
                <w:szCs w:val="18"/>
              </w:rPr>
              <w:t xml:space="preserve">ensure</w:t>
            </w:r>
            <w:r>
              <w:rPr>
                <w:rFonts w:ascii="Calibri" w:cs="Calibri" w:eastAsia="Calibri" w:hAnsi="Calibri"/>
                <w:color w:val="000000"/>
                <w:sz w:val="18"/>
                <w:szCs w:val="18"/>
              </w:rPr>
              <w:t xml:space="preserve">" these expectations are met — and "these expectations" spans both ¶5.9.2 (audit/access clauses) and ¶5.9.3 (reporting to MAS).</w:t>
            </w:r>
          </w:p>
        </w:tc>
        <w:tc>
          <w:tcPr>
            <w:tcW w:type="dxa" w:w="3740"/>
            <w:shd w:fill="FBE9E7"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[Substantive]</w:t>
            </w:r>
            <w:r>
              <w:rPr>
                <w:rFonts w:ascii="Calibri" w:cs="Calibri" w:eastAsia="Calibri" w:hAnsi="Calibri"/>
                <w:color w:val="000000"/>
                <w:sz w:val="18"/>
                <w:szCs w:val="18"/>
              </w:rPr>
              <w:t xml:space="preserve"/>
            </w:r>
          </w:p>
          <w:p>
            <w:pPr>
              <w:spacing w:after="40" w:before="40"/>
            </w:pPr>
            <w:r>
              <w:rPr>
                <w:rFonts w:ascii="Calibri" w:cs="Calibri" w:eastAsia="Calibri" w:hAnsi="Calibri"/>
                <w:color w:val="000000"/>
                <w:sz w:val="18"/>
                <w:szCs w:val="18"/>
              </w:rPr>
              <w:t xml:space="preserve">FI formulation is stricter on its face and covers a broader set of expectations; the Bank regime instead reaches sub-contractors via prescribed sub-contract terms (¶3.5.3, best-effort).</w:t>
            </w:r>
          </w:p>
        </w:tc>
      </w:tr>
      <w:tr>
        <w:tc>
          <w:tcPr>
            <w:tcW w:type="dxa" w:w="56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25</w:t>
            </w:r>
          </w:p>
        </w:tc>
        <w:tc>
          <w:tcPr>
            <w:tcW w:type="dxa" w:w="19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Independent audit scope</w:t>
            </w:r>
            <w:r>
              <w:rPr>
                <w:rFonts w:ascii="Calibri" w:cs="Calibri" w:eastAsia="Calibri" w:hAnsi="Calibri"/>
                <w:color w:val="000000"/>
                <w:sz w:val="18"/>
                <w:szCs w:val="18"/>
              </w:rPr>
              <w:t xml:space="preserve"/>
            </w:r>
          </w:p>
        </w:tc>
        <w:tc>
          <w:tcPr>
            <w:tcW w:type="dxa" w:w="41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¶3.9.4: independent audits/expert assessments of "its outsourcing arrangements".</w:t>
            </w:r>
          </w:p>
        </w:tc>
        <w:tc>
          <w:tcPr>
            <w:tcW w:type="dxa" w:w="41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¶5.9.5: "of </w:t>
            </w:r>
            <w:r>
              <w:rPr>
                <w:rFonts w:ascii="Calibri" w:cs="Calibri" w:eastAsia="Calibri" w:hAnsi="Calibri"/>
                <w:b/>
                <w:bCs/>
                <w:color w:val="000000"/>
                <w:sz w:val="18"/>
                <w:szCs w:val="18"/>
              </w:rPr>
              <w:t xml:space="preserve">all</w:t>
            </w:r>
            <w:r>
              <w:rPr>
                <w:rFonts w:ascii="Calibri" w:cs="Calibri" w:eastAsia="Calibri" w:hAnsi="Calibri"/>
                <w:color w:val="000000"/>
                <w:sz w:val="18"/>
                <w:szCs w:val="18"/>
              </w:rPr>
              <w:t xml:space="preserve"> its outsourcing arrangements".</w:t>
            </w:r>
          </w:p>
        </w:tc>
        <w:tc>
          <w:tcPr>
            <w:tcW w:type="dxa" w:w="3740"/>
            <w:shd w:fill="EFEFEF"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[Drafting]</w:t>
            </w:r>
            <w:r>
              <w:rPr>
                <w:rFonts w:ascii="Calibri" w:cs="Calibri" w:eastAsia="Calibri" w:hAnsi="Calibri"/>
                <w:color w:val="000000"/>
                <w:sz w:val="18"/>
                <w:szCs w:val="18"/>
              </w:rPr>
              <w:t xml:space="preserve"/>
            </w:r>
          </w:p>
          <w:p>
            <w:pPr>
              <w:spacing w:after="40" w:before="40"/>
            </w:pPr>
            <w:r>
              <w:rPr>
                <w:rFonts w:ascii="Calibri" w:cs="Calibri" w:eastAsia="Calibri" w:hAnsi="Calibri"/>
                <w:color w:val="000000"/>
                <w:sz w:val="18"/>
                <w:szCs w:val="18"/>
              </w:rPr>
              <w:t xml:space="preserve">FI adds "all"; otherwise identical.</w:t>
            </w:r>
          </w:p>
        </w:tc>
      </w:tr>
      <w:tr>
        <w:tc>
          <w:tcPr>
            <w:tcW w:type="dxa" w:w="56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26</w:t>
            </w:r>
          </w:p>
        </w:tc>
        <w:tc>
          <w:tcPr>
            <w:tcW w:type="dxa" w:w="19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Who may audit; supplementing audits</w:t>
            </w:r>
            <w:r>
              <w:rPr>
                <w:rFonts w:ascii="Calibri" w:cs="Calibri" w:eastAsia="Calibri" w:hAnsi="Calibri"/>
                <w:color w:val="000000"/>
                <w:sz w:val="18"/>
                <w:szCs w:val="18"/>
              </w:rPr>
              <w:t xml:space="preserve"/>
            </w:r>
          </w:p>
        </w:tc>
        <w:tc>
          <w:tcPr>
            <w:tcW w:type="dxa" w:w="41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¶3.9.5: permissible auditors incl. express example of </w:t>
            </w:r>
            <w:r>
              <w:rPr>
                <w:rFonts w:ascii="Calibri" w:cs="Calibri" w:eastAsia="Calibri" w:hAnsi="Calibri"/>
                <w:b/>
                <w:bCs/>
                <w:color w:val="000000"/>
                <w:sz w:val="18"/>
                <w:szCs w:val="18"/>
              </w:rPr>
              <w:t xml:space="preserve">audits commissioned by multiple Banks using the same provider</w:t>
            </w:r>
            <w:r>
              <w:rPr>
                <w:rFonts w:ascii="Calibri" w:cs="Calibri" w:eastAsia="Calibri" w:hAnsi="Calibri"/>
                <w:color w:val="000000"/>
                <w:sz w:val="18"/>
                <w:szCs w:val="18"/>
              </w:rPr>
              <w:t xml:space="preserve"> (pooled audits); fn 24 opens "While audits need not be procured by banks…" before the supplement expectation.</w:t>
            </w:r>
          </w:p>
        </w:tc>
        <w:tc>
          <w:tcPr>
            <w:tcW w:type="dxa" w:w="41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¶5.9.6: same auditor list and remediation expectations, without the pooled-audit example; fn 18 omits the "need not be procured" concession.</w:t>
            </w:r>
          </w:p>
        </w:tc>
        <w:tc>
          <w:tcPr>
            <w:tcW w:type="dxa" w:w="3740"/>
            <w:shd w:fill="EFEFEF"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[Drafting]</w:t>
            </w:r>
            <w:r>
              <w:rPr>
                <w:rFonts w:ascii="Calibri" w:cs="Calibri" w:eastAsia="Calibri" w:hAnsi="Calibri"/>
                <w:color w:val="000000"/>
                <w:sz w:val="18"/>
                <w:szCs w:val="18"/>
              </w:rPr>
              <w:t xml:space="preserve"/>
            </w:r>
          </w:p>
          <w:p>
            <w:pPr>
              <w:spacing w:after="40" w:before="40"/>
            </w:pPr>
            <w:r>
              <w:rPr>
                <w:rFonts w:ascii="Calibri" w:cs="Calibri" w:eastAsia="Calibri" w:hAnsi="Calibri"/>
                <w:color w:val="000000"/>
                <w:sz w:val="18"/>
                <w:szCs w:val="18"/>
              </w:rPr>
              <w:t xml:space="preserve">Pooled-audit example and the procurement concession are Bank-only.</w:t>
            </w:r>
          </w:p>
        </w:tc>
      </w:tr>
      <w:tr>
        <w:tc>
          <w:tcPr>
            <w:tcW w:type="dxa" w:w="56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27</w:t>
            </w:r>
          </w:p>
        </w:tc>
        <w:tc>
          <w:tcPr>
            <w:tcW w:type="dxa" w:w="19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Reliance on certifications and pooled audits</w:t>
            </w:r>
            <w:r>
              <w:rPr>
                <w:rFonts w:ascii="Calibri" w:cs="Calibri" w:eastAsia="Calibri" w:hAnsi="Calibri"/>
                <w:color w:val="000000"/>
                <w:sz w:val="18"/>
                <w:szCs w:val="18"/>
              </w:rPr>
              <w:t xml:space="preserve"/>
            </w:r>
          </w:p>
        </w:tc>
        <w:tc>
          <w:tcPr>
            <w:tcW w:type="dxa" w:w="41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¶3.9.8: certification-process audits (not self-attestations) may be relied on if auditors are independent and competent, scope/methodology suffice, and reports fulfil the Notices' requirements; pooled audits and third-party certification permitted.</w:t>
            </w:r>
          </w:p>
        </w:tc>
        <w:tc>
          <w:tcPr>
            <w:tcW w:type="dxa" w:w="41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No counterpart.</w:t>
            </w:r>
          </w:p>
        </w:tc>
        <w:tc>
          <w:tcPr>
            <w:tcW w:type="dxa" w:w="3740"/>
            <w:shd w:fill="FDF3E0"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[Bank-only]</w:t>
            </w:r>
            <w:r>
              <w:rPr>
                <w:rFonts w:ascii="Calibri" w:cs="Calibri" w:eastAsia="Calibri" w:hAnsi="Calibri"/>
                <w:color w:val="000000"/>
                <w:sz w:val="18"/>
                <w:szCs w:val="18"/>
              </w:rPr>
              <w:t xml:space="preserve"/>
            </w:r>
          </w:p>
          <w:p>
            <w:pPr>
              <w:spacing w:after="40" w:before="40"/>
            </w:pPr>
            <w:r>
              <w:rPr>
                <w:rFonts w:ascii="Calibri" w:cs="Calibri" w:eastAsia="Calibri" w:hAnsi="Calibri"/>
                <w:color w:val="000000"/>
                <w:sz w:val="18"/>
                <w:szCs w:val="18"/>
              </w:rPr>
              <w:t xml:space="preserve">The FI Guidelines are silent on certification-based reliance.</w:t>
            </w:r>
          </w:p>
        </w:tc>
      </w:tr>
      <w:tr>
        <w:tc>
          <w:tcPr>
            <w:tcW w:type="dxa" w:w="56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28</w:t>
            </w:r>
          </w:p>
        </w:tc>
        <w:tc>
          <w:tcPr>
            <w:tcW w:type="dxa" w:w="19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Submission of audit reports to MAS</w:t>
            </w:r>
            <w:r>
              <w:rPr>
                <w:rFonts w:ascii="Calibri" w:cs="Calibri" w:eastAsia="Calibri" w:hAnsi="Calibri"/>
                <w:color w:val="000000"/>
                <w:sz w:val="18"/>
                <w:szCs w:val="18"/>
              </w:rPr>
              <w:t xml:space="preserve"/>
            </w:r>
          </w:p>
        </w:tc>
        <w:tc>
          <w:tcPr>
            <w:tcW w:type="dxa" w:w="41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¶3.9.7: audit reports submitted to MAS </w:t>
            </w:r>
            <w:r>
              <w:rPr>
                <w:rFonts w:ascii="Calibri" w:cs="Calibri" w:eastAsia="Calibri" w:hAnsi="Calibri"/>
                <w:b/>
                <w:bCs/>
                <w:color w:val="000000"/>
                <w:sz w:val="18"/>
                <w:szCs w:val="18"/>
              </w:rPr>
              <w:t xml:space="preserve">upon request</w:t>
            </w:r>
            <w:r>
              <w:rPr>
                <w:rFonts w:ascii="Calibri" w:cs="Calibri" w:eastAsia="Calibri" w:hAnsi="Calibri"/>
                <w:color w:val="000000"/>
                <w:sz w:val="18"/>
                <w:szCs w:val="18"/>
              </w:rPr>
              <w:t xml:space="preserve">; other reports/information upon request.</w:t>
            </w:r>
          </w:p>
        </w:tc>
        <w:tc>
          <w:tcPr>
            <w:tcW w:type="dxa" w:w="41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¶5.9.8: "Copies of audit reports should be submitted by the institution to MAS." — no "upon request" qualifier on the audit-report limb; other reports upon request.</w:t>
            </w:r>
          </w:p>
        </w:tc>
        <w:tc>
          <w:tcPr>
            <w:tcW w:type="dxa" w:w="3740"/>
            <w:shd w:fill="FBE9E7"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[Substantive]</w:t>
            </w:r>
            <w:r>
              <w:rPr>
                <w:rFonts w:ascii="Calibri" w:cs="Calibri" w:eastAsia="Calibri" w:hAnsi="Calibri"/>
                <w:color w:val="000000"/>
                <w:sz w:val="18"/>
                <w:szCs w:val="18"/>
              </w:rPr>
              <w:t xml:space="preserve"/>
            </w:r>
          </w:p>
          <w:p>
            <w:pPr>
              <w:spacing w:after="40" w:before="40"/>
            </w:pPr>
            <w:r>
              <w:rPr>
                <w:rFonts w:ascii="Calibri" w:cs="Calibri" w:eastAsia="Calibri" w:hAnsi="Calibri"/>
                <w:color w:val="000000"/>
                <w:sz w:val="18"/>
                <w:szCs w:val="18"/>
              </w:rPr>
              <w:t xml:space="preserve">On its face, the FI submission expectation is unconditional.</w:t>
            </w:r>
          </w:p>
        </w:tc>
      </w:tr>
      <w:tr>
        <w:tc>
          <w:tcPr>
            <w:tcW w:type="dxa" w:w="56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29</w:t>
            </w:r>
          </w:p>
        </w:tc>
        <w:tc>
          <w:tcPr>
            <w:tcW w:type="dxa" w:w="19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Overseas outsourcing — preserving MAS supervision</w:t>
            </w:r>
            <w:r>
              <w:rPr>
                <w:rFonts w:ascii="Calibri" w:cs="Calibri" w:eastAsia="Calibri" w:hAnsi="Calibri"/>
                <w:color w:val="000000"/>
                <w:sz w:val="18"/>
                <w:szCs w:val="18"/>
              </w:rPr>
              <w:t xml:space="preserve"/>
            </w:r>
          </w:p>
        </w:tc>
        <w:tc>
          <w:tcPr>
            <w:tcW w:type="dxa" w:w="41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¶3.10.2: (a) contract only into jurisdictions upholding confidentiality; (b) avoid jurisdictions impeding prompt MAS access; commit to retrieve information on MAS request.</w:t>
            </w:r>
          </w:p>
        </w:tc>
        <w:tc>
          <w:tcPr>
            <w:tcW w:type="dxa" w:w="41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¶5.10.2: (a)–(b) same, </w:t>
            </w:r>
            <w:r>
              <w:rPr>
                <w:rFonts w:ascii="Calibri" w:cs="Calibri" w:eastAsia="Calibri" w:hAnsi="Calibri"/>
                <w:b/>
                <w:bCs/>
                <w:color w:val="000000"/>
                <w:sz w:val="18"/>
                <w:szCs w:val="18"/>
              </w:rPr>
              <w:t xml:space="preserve">plus</w:t>
            </w:r>
            <w:r>
              <w:rPr>
                <w:rFonts w:ascii="Calibri" w:cs="Calibri" w:eastAsia="Calibri" w:hAnsi="Calibri"/>
                <w:color w:val="000000"/>
                <w:sz w:val="18"/>
                <w:szCs w:val="18"/>
              </w:rPr>
              <w:t xml:space="preserve">: written confirmation to MAS that agreements provide MAS the ¶5.9 inspection/access rights; </w:t>
            </w:r>
            <w:r>
              <w:rPr>
                <w:rFonts w:ascii="Calibri" w:cs="Calibri" w:eastAsia="Calibri" w:hAnsi="Calibri"/>
                <w:b/>
                <w:bCs/>
                <w:color w:val="000000"/>
                <w:sz w:val="18"/>
                <w:szCs w:val="18"/>
              </w:rPr>
              <w:t xml:space="preserve">plus (c)</w:t>
            </w:r>
            <w:r>
              <w:rPr>
                <w:rFonts w:ascii="Calibri" w:cs="Calibri" w:eastAsia="Calibri" w:hAnsi="Calibri"/>
                <w:color w:val="000000"/>
                <w:sz w:val="18"/>
                <w:szCs w:val="18"/>
              </w:rPr>
              <w:t xml:space="preserve">: notify MAS if any overseas authority seeks access to customer information or if the ¶5.9 access rights of the institution and MAS are restricted or denied.</w:t>
            </w:r>
          </w:p>
        </w:tc>
        <w:tc>
          <w:tcPr>
            <w:tcW w:type="dxa" w:w="3740"/>
            <w:shd w:fill="E4F1F1"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[FI-only]</w:t>
            </w:r>
            <w:r>
              <w:rPr>
                <w:rFonts w:ascii="Calibri" w:cs="Calibri" w:eastAsia="Calibri" w:hAnsi="Calibri"/>
                <w:color w:val="000000"/>
                <w:sz w:val="18"/>
                <w:szCs w:val="18"/>
              </w:rPr>
              <w:t xml:space="preserve"/>
            </w:r>
          </w:p>
          <w:p>
            <w:pPr>
              <w:spacing w:after="40" w:before="40"/>
            </w:pPr>
            <w:r>
              <w:rPr>
                <w:rFonts w:ascii="Calibri" w:cs="Calibri" w:eastAsia="Calibri" w:hAnsi="Calibri"/>
                <w:color w:val="000000"/>
                <w:sz w:val="18"/>
                <w:szCs w:val="18"/>
              </w:rPr>
              <w:t xml:space="preserve">The written-confirmation and overseas-authority-notification obligations are FI-only.</w:t>
            </w:r>
          </w:p>
        </w:tc>
      </w:tr>
      <w:tr>
        <w:tc>
          <w:tcPr>
            <w:tcW w:type="dxa" w:w="56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30</w:t>
            </w:r>
          </w:p>
        </w:tc>
        <w:tc>
          <w:tcPr>
            <w:tcW w:type="dxa" w:w="19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Outsourcing internal audit — departure carve-out</w:t>
            </w:r>
            <w:r>
              <w:rPr>
                <w:rFonts w:ascii="Calibri" w:cs="Calibri" w:eastAsia="Calibri" w:hAnsi="Calibri"/>
                <w:color w:val="000000"/>
                <w:sz w:val="18"/>
                <w:szCs w:val="18"/>
              </w:rPr>
              <w:t xml:space="preserve"/>
            </w:r>
          </w:p>
        </w:tc>
        <w:tc>
          <w:tcPr>
            <w:tcW w:type="dxa" w:w="41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Fn 26: any departure from the no-own-external-auditor practice must stay within applicable ethical standards (no size limit).</w:t>
            </w:r>
          </w:p>
        </w:tc>
        <w:tc>
          <w:tcPr>
            <w:tcW w:type="dxa" w:w="41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Fn 20: any departure "should be </w:t>
            </w:r>
            <w:r>
              <w:rPr>
                <w:rFonts w:ascii="Calibri" w:cs="Calibri" w:eastAsia="Calibri" w:hAnsi="Calibri"/>
                <w:b/>
                <w:bCs/>
                <w:color w:val="000000"/>
                <w:sz w:val="18"/>
                <w:szCs w:val="18"/>
              </w:rPr>
              <w:t xml:space="preserve">limited to small institutions</w:t>
            </w:r>
            <w:r>
              <w:rPr>
                <w:rFonts w:ascii="Calibri" w:cs="Calibri" w:eastAsia="Calibri" w:hAnsi="Calibri"/>
                <w:color w:val="000000"/>
                <w:sz w:val="18"/>
                <w:szCs w:val="18"/>
              </w:rPr>
              <w:t xml:space="preserve">" and within ethical standards.</w:t>
            </w:r>
          </w:p>
        </w:tc>
        <w:tc>
          <w:tcPr>
            <w:tcW w:type="dxa" w:w="3740"/>
            <w:shd w:fill="FBE9E7"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[Substantive]</w:t>
            </w:r>
            <w:r>
              <w:rPr>
                <w:rFonts w:ascii="Calibri" w:cs="Calibri" w:eastAsia="Calibri" w:hAnsi="Calibri"/>
                <w:color w:val="000000"/>
                <w:sz w:val="18"/>
                <w:szCs w:val="18"/>
              </w:rPr>
              <w:t xml:space="preserve"/>
            </w:r>
          </w:p>
          <w:p>
            <w:pPr>
              <w:spacing w:after="40" w:before="40"/>
            </w:pPr>
            <w:r>
              <w:rPr>
                <w:rFonts w:ascii="Calibri" w:cs="Calibri" w:eastAsia="Calibri" w:hAnsi="Calibri"/>
                <w:color w:val="000000"/>
                <w:sz w:val="18"/>
                <w:szCs w:val="18"/>
              </w:rPr>
              <w:t xml:space="preserve">FI footnote is the stricter, size-limited formulation; the Bank footnote permits any bank to depart within ethical bounds.</w:t>
            </w:r>
          </w:p>
        </w:tc>
      </w:tr>
      <w:tr>
        <w:tc>
          <w:tcPr>
            <w:tcW w:type="dxa" w:w="56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31</w:t>
            </w:r>
          </w:p>
        </w:tc>
        <w:tc>
          <w:tcPr>
            <w:tcW w:type="dxa" w:w="19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Exempted services — location</w:t>
            </w:r>
            <w:r>
              <w:rPr>
                <w:rFonts w:ascii="Calibri" w:cs="Calibri" w:eastAsia="Calibri" w:hAnsi="Calibri"/>
                <w:color w:val="000000"/>
                <w:sz w:val="18"/>
                <w:szCs w:val="18"/>
              </w:rPr>
              <w:t xml:space="preserve"/>
            </w:r>
          </w:p>
        </w:tc>
        <w:tc>
          <w:tcPr>
            <w:tcW w:type="dxa" w:w="41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Annex D of the Notices (not reproduced in the Guidelines).</w:t>
            </w:r>
          </w:p>
        </w:tc>
        <w:tc>
          <w:tcPr>
            <w:tcW w:type="dxa" w:w="41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Annex 1 of the Guidelines: GovTech/appointed-agent services (Singpass API list); non-financial-business services with no access to confidential or customer information (cleaning, gardening, pantry/vending).</w:t>
            </w:r>
          </w:p>
        </w:tc>
        <w:tc>
          <w:tcPr>
            <w:tcW w:type="dxa" w:w="3740"/>
            <w:shd w:fill="FBE9E7"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[Substantive]</w:t>
            </w:r>
            <w:r>
              <w:rPr>
                <w:rFonts w:ascii="Calibri" w:cs="Calibri" w:eastAsia="Calibri" w:hAnsi="Calibri"/>
                <w:color w:val="000000"/>
                <w:sz w:val="18"/>
                <w:szCs w:val="18"/>
              </w:rPr>
              <w:t xml:space="preserve"/>
            </w:r>
          </w:p>
          <w:p>
            <w:pPr>
              <w:spacing w:after="40" w:before="40"/>
            </w:pPr>
            <w:r>
              <w:rPr>
                <w:rFonts w:ascii="Calibri" w:cs="Calibri" w:eastAsia="Calibri" w:hAnsi="Calibri"/>
                <w:color w:val="000000"/>
                <w:sz w:val="18"/>
                <w:szCs w:val="18"/>
              </w:rPr>
              <w:t xml:space="preserve">Same function, different instrument: binding Notice annex (Bank) vs Guidelines annex (FI).</w:t>
            </w:r>
          </w:p>
        </w:tc>
      </w:tr>
      <w:tr>
        <w:tc>
          <w:tcPr>
            <w:tcW w:type="dxa" w:w="56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32</w:t>
            </w:r>
          </w:p>
        </w:tc>
        <w:tc>
          <w:tcPr>
            <w:tcW w:type="dxa" w:w="19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Examples of what is / is not outsourcing</w:t>
            </w:r>
            <w:r>
              <w:rPr>
                <w:rFonts w:ascii="Calibri" w:cs="Calibri" w:eastAsia="Calibri" w:hAnsi="Calibri"/>
                <w:color w:val="000000"/>
                <w:sz w:val="18"/>
                <w:szCs w:val="18"/>
              </w:rPr>
              <w:t xml:space="preserve"/>
            </w:r>
          </w:p>
        </w:tc>
        <w:tc>
          <w:tcPr>
            <w:tcW w:type="dxa" w:w="41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No examples annex — classification runs through the Notices' definitions, Annexes A–C, and the Annex 3 chart.</w:t>
            </w:r>
          </w:p>
        </w:tc>
        <w:tc>
          <w:tcPr>
            <w:tcW w:type="dxa" w:w="41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Annex 2: 15 illustrative outsourcing examples and three excluded categories (industry-characteristic services incl. Visa/MasterCard/MEPS+/SWIFT/correspondent banking; introducer/principal-agent arrangements; services the institution cannot itself provide).</w:t>
            </w:r>
          </w:p>
        </w:tc>
        <w:tc>
          <w:tcPr>
            <w:tcW w:type="dxa" w:w="3740"/>
            <w:shd w:fill="E4F1F1"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[FI-only]</w:t>
            </w:r>
            <w:r>
              <w:rPr>
                <w:rFonts w:ascii="Calibri" w:cs="Calibri" w:eastAsia="Calibri" w:hAnsi="Calibri"/>
                <w:color w:val="000000"/>
                <w:sz w:val="18"/>
                <w:szCs w:val="18"/>
              </w:rPr>
              <w:t xml:space="preserve"/>
            </w:r>
          </w:p>
          <w:p>
            <w:pPr>
              <w:spacing w:after="40" w:before="40"/>
            </w:pPr>
            <w:r>
              <w:rPr>
                <w:rFonts w:ascii="Calibri" w:cs="Calibri" w:eastAsia="Calibri" w:hAnsi="Calibri"/>
                <w:color w:val="000000"/>
                <w:sz w:val="18"/>
                <w:szCs w:val="18"/>
              </w:rPr>
              <w:t xml:space="preserve">FI-only annex (its content substantially reappears, in binding form, as Notice 658 Annexes A–C for banks).</w:t>
            </w:r>
          </w:p>
        </w:tc>
      </w:tr>
      <w:tr>
        <w:tc>
          <w:tcPr>
            <w:tcW w:type="dxa" w:w="56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33</w:t>
            </w:r>
          </w:p>
        </w:tc>
        <w:tc>
          <w:tcPr>
            <w:tcW w:type="dxa" w:w="19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Register annex</w:t>
            </w:r>
            <w:r>
              <w:rPr>
                <w:rFonts w:ascii="Calibri" w:cs="Calibri" w:eastAsia="Calibri" w:hAnsi="Calibri"/>
                <w:color w:val="000000"/>
                <w:sz w:val="18"/>
                <w:szCs w:val="18"/>
              </w:rPr>
              <w:t xml:space="preserve"/>
            </w:r>
          </w:p>
        </w:tc>
        <w:tc>
          <w:tcPr>
            <w:tcW w:type="dxa" w:w="41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Template link only (fn 21 to ¶3.8.2(a)).</w:t>
            </w:r>
          </w:p>
        </w:tc>
        <w:tc>
          <w:tcPr>
            <w:tcW w:type="dxa" w:w="4100"/>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Annex 4: register of all existing arrangements in the MAS template format; submitted per ¶4.1.1.</w:t>
            </w:r>
          </w:p>
        </w:tc>
        <w:tc>
          <w:tcPr>
            <w:tcW w:type="dxa" w:w="3740"/>
            <w:shd w:fill="E4F1F1"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[FI-only]</w:t>
            </w:r>
            <w:r>
              <w:rPr>
                <w:rFonts w:ascii="Calibri" w:cs="Calibri" w:eastAsia="Calibri" w:hAnsi="Calibri"/>
                <w:color w:val="000000"/>
                <w:sz w:val="18"/>
                <w:szCs w:val="18"/>
              </w:rPr>
              <w:t xml:space="preserve"/>
            </w:r>
          </w:p>
          <w:p>
            <w:pPr>
              <w:spacing w:after="40" w:before="40"/>
            </w:pPr>
            <w:r>
              <w:rPr>
                <w:rFonts w:ascii="Calibri" w:cs="Calibri" w:eastAsia="Calibri" w:hAnsi="Calibri"/>
                <w:color w:val="000000"/>
                <w:sz w:val="18"/>
                <w:szCs w:val="18"/>
              </w:rPr>
              <w:t xml:space="preserve">FI Guidelines house the register expectation in the instrument.</w:t>
            </w:r>
          </w:p>
        </w:tc>
      </w:tr>
      <w:tr>
        <w:tc>
          <w:tcPr>
            <w:tcW w:type="dxa" w:w="56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34</w:t>
            </w:r>
          </w:p>
        </w:tc>
        <w:tc>
          <w:tcPr>
            <w:tcW w:type="dxa" w:w="19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Applicability decision framework</w:t>
            </w:r>
            <w:r>
              <w:rPr>
                <w:rFonts w:ascii="Calibri" w:cs="Calibri" w:eastAsia="Calibri" w:hAnsi="Calibri"/>
                <w:color w:val="000000"/>
                <w:sz w:val="18"/>
                <w:szCs w:val="18"/>
              </w:rPr>
              <w:t xml:space="preserve"/>
            </w:r>
          </w:p>
        </w:tc>
        <w:tc>
          <w:tcPr>
            <w:tcW w:type="dxa" w:w="41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Annex 3: taxonomy of relevant services under s 47A(12) — non-ORS; non-ongoing ORS; non-material ongoing ORS; MOORS — mapping which Notices/Guidelines requirements attach to each.</w:t>
            </w:r>
          </w:p>
        </w:tc>
        <w:tc>
          <w:tcPr>
            <w:tcW w:type="dxa" w:w="4100"/>
            <w:shd w:fill="F2F2F2"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No counterpart.</w:t>
            </w:r>
          </w:p>
        </w:tc>
        <w:tc>
          <w:tcPr>
            <w:tcW w:type="dxa" w:w="3740"/>
            <w:shd w:fill="FDF3E0" w:val="clear"/>
            <w:tcMar>
              <w:top w:type="dxa" w:w="60"/>
              <w:left w:type="dxa" w:w="100"/>
              <w:bottom w:type="dxa" w:w="60"/>
              <w:right w:type="dxa" w:w="100"/>
            </w:tcMar>
            <w:vAlign w:val="top"/>
          </w:tcPr>
          <w:p>
            <w:pPr>
              <w:spacing w:after="40" w:before="40"/>
            </w:pPr>
            <w:r>
              <w:rPr>
                <w:rFonts w:ascii="Calibri" w:cs="Calibri" w:eastAsia="Calibri" w:hAnsi="Calibri"/>
                <w:color w:val="000000"/>
                <w:sz w:val="18"/>
                <w:szCs w:val="18"/>
              </w:rPr>
              <w:t xml:space="preserve"/>
            </w:r>
            <w:r>
              <w:rPr>
                <w:rFonts w:ascii="Calibri" w:cs="Calibri" w:eastAsia="Calibri" w:hAnsi="Calibri"/>
                <w:b/>
                <w:bCs/>
                <w:color w:val="000000"/>
                <w:sz w:val="18"/>
                <w:szCs w:val="18"/>
              </w:rPr>
              <w:t xml:space="preserve">[Bank-only]</w:t>
            </w:r>
            <w:r>
              <w:rPr>
                <w:rFonts w:ascii="Calibri" w:cs="Calibri" w:eastAsia="Calibri" w:hAnsi="Calibri"/>
                <w:color w:val="000000"/>
                <w:sz w:val="18"/>
                <w:szCs w:val="18"/>
              </w:rPr>
              <w:t xml:space="preserve"/>
            </w:r>
          </w:p>
          <w:p>
            <w:pPr>
              <w:spacing w:after="40" w:before="40"/>
            </w:pPr>
            <w:r>
              <w:rPr>
                <w:rFonts w:ascii="Calibri" w:cs="Calibri" w:eastAsia="Calibri" w:hAnsi="Calibri"/>
                <w:color w:val="000000"/>
                <w:sz w:val="18"/>
                <w:szCs w:val="18"/>
              </w:rPr>
              <w:t xml:space="preserve">Regime map that only makes sense against the Notices' service categories.</w:t>
            </w:r>
          </w:p>
        </w:tc>
      </w:tr>
    </w:tbl>
    <w:p>
      <w:pPr>
        <w:pStyle w:val="Heading2"/>
      </w:pPr>
      <w:r>
        <w:rPr>
          <w:rFonts w:ascii="Calibri" w:cs="Calibri" w:eastAsia="Calibri" w:hAnsi="Calibri"/>
          <w:b/>
          <w:bCs/>
          <w:color w:val="1F3864"/>
          <w:sz w:val="26"/>
          <w:szCs w:val="26"/>
        </w:rPr>
        <w:t xml:space="preserve">Provisions Identical in Substance (for completeness)</w:t>
      </w:r>
    </w:p>
    <w:p>
      <w:pPr>
        <w:spacing w:after="40" w:before="40"/>
      </w:pPr>
      <w:r>
        <w:rPr>
          <w:rFonts w:ascii="Calibri" w:cs="Calibri" w:eastAsia="Calibri" w:hAnsi="Calibri"/>
          <w:color w:val="000000"/>
          <w:sz w:val="20"/>
          <w:szCs w:val="20"/>
        </w:rPr>
        <w:t xml:space="preserve">The following areas are carried over essentially verbatim between the two instruments (apart from "Bank"/"institution" and "MOORS"/"material outsourcing arrangement" substitutions and renumbering):</w:t>
      </w:r>
    </w:p>
    <w:p>
      <w:pPr>
        <w:pStyle w:val="ListParagraph"/>
        <w:numPr>
          <w:ilvl w:val="0"/>
          <w:numId w:val="2"/>
        </w:numPr>
        <w:spacing w:after="30" w:before="30"/>
      </w:pPr>
      <w:r>
        <w:rPr>
          <w:rFonts w:ascii="Calibri" w:cs="Calibri" w:eastAsia="Calibri" w:hAnsi="Calibri"/>
          <w:color w:val="000000"/>
          <w:sz w:val="20"/>
          <w:szCs w:val="20"/>
        </w:rPr>
        <w:t xml:space="preserve">Purpose and risk rationale (Bank ¶1.1 / FI ¶1.1) — verbatim identical</w:t>
      </w:r>
    </w:p>
    <w:p>
      <w:pPr>
        <w:pStyle w:val="ListParagraph"/>
        <w:numPr>
          <w:ilvl w:val="0"/>
          <w:numId w:val="2"/>
        </w:numPr>
        <w:spacing w:after="30" w:before="30"/>
      </w:pPr>
      <w:r>
        <w:rPr>
          <w:rFonts w:ascii="Calibri" w:cs="Calibri" w:eastAsia="Calibri" w:hAnsi="Calibri"/>
          <w:color w:val="000000"/>
          <w:sz w:val="20"/>
          <w:szCs w:val="20"/>
        </w:rPr>
        <w:t xml:space="preserve">Proportionality and self-assessment, incl. arrangements inherited on acquisition (¶¶1.2–1.3 / ¶¶1.2, 2.1)</w:t>
      </w:r>
    </w:p>
    <w:p>
      <w:pPr>
        <w:pStyle w:val="ListParagraph"/>
        <w:numPr>
          <w:ilvl w:val="0"/>
          <w:numId w:val="2"/>
        </w:numPr>
        <w:spacing w:after="30" w:before="30"/>
      </w:pPr>
      <w:r>
        <w:rPr>
          <w:rFonts w:ascii="Calibri" w:cs="Calibri" w:eastAsia="Calibri" w:hAnsi="Calibri"/>
          <w:color w:val="000000"/>
          <w:sz w:val="20"/>
          <w:szCs w:val="20"/>
        </w:rPr>
        <w:t xml:space="preserve">Non-outsourcing arrangements still require adequate risk management (¶1.4 / ¶2.2); not exhaustive / no override / no standard of care (¶1.5 / ¶2.4)</w:t>
      </w:r>
    </w:p>
    <w:p>
      <w:pPr>
        <w:pStyle w:val="ListParagraph"/>
        <w:numPr>
          <w:ilvl w:val="0"/>
          <w:numId w:val="2"/>
        </w:numPr>
        <w:spacing w:after="30" w:before="30"/>
      </w:pPr>
      <w:r>
        <w:rPr>
          <w:rFonts w:ascii="Calibri" w:cs="Calibri" w:eastAsia="Calibri" w:hAnsi="Calibri"/>
          <w:color w:val="000000"/>
          <w:sz w:val="20"/>
          <w:szCs w:val="20"/>
        </w:rPr>
        <w:t xml:space="preserve">Notification of adverse developments to MAS, incl. group-level events (¶2.2 / ¶4.2.1)</w:t>
      </w:r>
    </w:p>
    <w:p>
      <w:pPr>
        <w:pStyle w:val="ListParagraph"/>
        <w:numPr>
          <w:ilvl w:val="0"/>
          <w:numId w:val="2"/>
        </w:numPr>
        <w:spacing w:after="30" w:before="30"/>
      </w:pPr>
      <w:r>
        <w:rPr>
          <w:rFonts w:ascii="Calibri" w:cs="Calibri" w:eastAsia="Calibri" w:hAnsi="Calibri"/>
          <w:color w:val="000000"/>
          <w:sz w:val="20"/>
          <w:szCs w:val="20"/>
        </w:rPr>
        <w:t xml:space="preserve">Board and senior management responsibilities, delegation to committee (¶¶3.1.1–3.1.4 / ¶¶5.2.1–5.2.4)</w:t>
      </w:r>
    </w:p>
    <w:p>
      <w:pPr>
        <w:pStyle w:val="ListParagraph"/>
        <w:numPr>
          <w:ilvl w:val="0"/>
          <w:numId w:val="2"/>
        </w:numPr>
        <w:spacing w:after="30" w:before="30"/>
      </w:pPr>
      <w:r>
        <w:rPr>
          <w:rFonts w:ascii="Calibri" w:cs="Calibri" w:eastAsia="Calibri" w:hAnsi="Calibri"/>
          <w:color w:val="000000"/>
          <w:sz w:val="20"/>
          <w:szCs w:val="20"/>
        </w:rPr>
        <w:t xml:space="preserve">Risk evaluation framework and timing (¶¶3.2.1–3.2.2 / ¶¶5.3.1–5.3.2)</w:t>
      </w:r>
    </w:p>
    <w:p>
      <w:pPr>
        <w:pStyle w:val="ListParagraph"/>
        <w:numPr>
          <w:ilvl w:val="0"/>
          <w:numId w:val="2"/>
        </w:numPr>
        <w:spacing w:after="30" w:before="30"/>
      </w:pPr>
      <w:r>
        <w:rPr>
          <w:rFonts w:ascii="Calibri" w:cs="Calibri" w:eastAsia="Calibri" w:hAnsi="Calibri"/>
          <w:color w:val="000000"/>
          <w:sz w:val="20"/>
          <w:szCs w:val="20"/>
        </w:rPr>
        <w:t xml:space="preserve">Service provider due diligence: trigger, content, information set, employee screening, documentation and re-performance (¶¶3.3.1–3.3.5 / ¶¶5.4.1–5.4.5)</w:t>
      </w:r>
    </w:p>
    <w:p>
      <w:pPr>
        <w:pStyle w:val="ListParagraph"/>
        <w:numPr>
          <w:ilvl w:val="0"/>
          <w:numId w:val="2"/>
        </w:numPr>
        <w:spacing w:after="30" w:before="30"/>
      </w:pPr>
      <w:r>
        <w:rPr>
          <w:rFonts w:ascii="Calibri" w:cs="Calibri" w:eastAsia="Calibri" w:hAnsi="Calibri"/>
          <w:color w:val="000000"/>
          <w:sz w:val="20"/>
          <w:szCs w:val="20"/>
        </w:rPr>
        <w:t xml:space="preserve">Written, legally vetted agreements (¶3.4.1 / ¶5.5.1); termination mechanics incl. bridge-institution transferability and intra-group enforceability (¶3.4.4 / ¶5.5.2(i) closing); country-risk tailoring (¶3.4.8 / ¶5.5.3)</w:t>
      </w:r>
    </w:p>
    <w:p>
      <w:pPr>
        <w:pStyle w:val="ListParagraph"/>
        <w:numPr>
          <w:ilvl w:val="0"/>
          <w:numId w:val="2"/>
        </w:numPr>
        <w:spacing w:after="30" w:before="30"/>
      </w:pPr>
      <w:r>
        <w:rPr>
          <w:rFonts w:ascii="Calibri" w:cs="Calibri" w:eastAsia="Calibri" w:hAnsi="Calibri"/>
          <w:color w:val="000000"/>
          <w:sz w:val="20"/>
          <w:szCs w:val="20"/>
        </w:rPr>
        <w:t xml:space="preserve">Confidentiality and security steps (¶¶3.6.1–3.6.2 / ¶¶5.6.1–5.6.2)</w:t>
      </w:r>
    </w:p>
    <w:p>
      <w:pPr>
        <w:pStyle w:val="ListParagraph"/>
        <w:numPr>
          <w:ilvl w:val="0"/>
          <w:numId w:val="2"/>
        </w:numPr>
        <w:spacing w:after="30" w:before="30"/>
      </w:pPr>
      <w:r>
        <w:rPr>
          <w:rFonts w:ascii="Calibri" w:cs="Calibri" w:eastAsia="Calibri" w:hAnsi="Calibri"/>
          <w:color w:val="000000"/>
          <w:sz w:val="20"/>
          <w:szCs w:val="20"/>
        </w:rPr>
        <w:t xml:space="preserve">Business continuity management in full (¶¶3.7.1–3.7.4 / ¶¶5.7.1–5.7.4)</w:t>
      </w:r>
    </w:p>
    <w:p>
      <w:pPr>
        <w:pStyle w:val="ListParagraph"/>
        <w:numPr>
          <w:ilvl w:val="0"/>
          <w:numId w:val="2"/>
        </w:numPr>
        <w:spacing w:after="30" w:before="30"/>
      </w:pPr>
      <w:r>
        <w:rPr>
          <w:rFonts w:ascii="Calibri" w:cs="Calibri" w:eastAsia="Calibri" w:hAnsi="Calibri"/>
          <w:color w:val="000000"/>
          <w:sz w:val="20"/>
          <w:szCs w:val="20"/>
        </w:rPr>
        <w:t xml:space="preserve">Monitoring/control structure and the five shared measures (¶3.8.1–3.8.2 / ¶5.8.1–5.8.2 excl. FI item (d))</w:t>
      </w:r>
    </w:p>
    <w:p>
      <w:pPr>
        <w:pStyle w:val="ListParagraph"/>
        <w:numPr>
          <w:ilvl w:val="0"/>
          <w:numId w:val="2"/>
        </w:numPr>
        <w:spacing w:after="30" w:before="30"/>
      </w:pPr>
      <w:r>
        <w:rPr>
          <w:rFonts w:ascii="Calibri" w:cs="Calibri" w:eastAsia="Calibri" w:hAnsi="Calibri"/>
          <w:color w:val="000000"/>
          <w:sz w:val="20"/>
          <w:szCs w:val="20"/>
        </w:rPr>
        <w:t xml:space="preserve">Audit principle (¶3.9.1 / ¶5.9.1); audit scope, remediation and escalation (¶¶3.9.4–3.9.6 / ¶¶5.9.5–5.9.7)</w:t>
      </w:r>
    </w:p>
    <w:p>
      <w:pPr>
        <w:pStyle w:val="ListParagraph"/>
        <w:numPr>
          <w:ilvl w:val="0"/>
          <w:numId w:val="2"/>
        </w:numPr>
        <w:spacing w:after="30" w:before="30"/>
      </w:pPr>
      <w:r>
        <w:rPr>
          <w:rFonts w:ascii="Calibri" w:cs="Calibri" w:eastAsia="Calibri" w:hAnsi="Calibri"/>
          <w:color w:val="000000"/>
          <w:sz w:val="20"/>
          <w:szCs w:val="20"/>
        </w:rPr>
        <w:t xml:space="preserve">Overseas outsourcing country-risk due diligence (¶3.10.1 / ¶5.10.1)</w:t>
      </w:r>
    </w:p>
    <w:p>
      <w:pPr>
        <w:pStyle w:val="ListParagraph"/>
        <w:numPr>
          <w:ilvl w:val="0"/>
          <w:numId w:val="2"/>
        </w:numPr>
        <w:spacing w:after="30" w:before="30"/>
      </w:pPr>
      <w:r>
        <w:rPr>
          <w:rFonts w:ascii="Calibri" w:cs="Calibri" w:eastAsia="Calibri" w:hAnsi="Calibri"/>
          <w:color w:val="000000"/>
          <w:sz w:val="20"/>
          <w:szCs w:val="20"/>
        </w:rPr>
        <w:t xml:space="preserve">Outsourcing within a group (¶¶3.11.1–3.11.2 / ¶¶5.11.1–5.11.2)</w:t>
      </w:r>
    </w:p>
    <w:p>
      <w:pPr>
        <w:pStyle w:val="ListParagraph"/>
        <w:numPr>
          <w:ilvl w:val="0"/>
          <w:numId w:val="2"/>
        </w:numPr>
        <w:spacing w:after="30" w:before="30"/>
      </w:pPr>
      <w:r>
        <w:rPr>
          <w:rFonts w:ascii="Calibri" w:cs="Calibri" w:eastAsia="Calibri" w:hAnsi="Calibri"/>
          <w:color w:val="000000"/>
          <w:sz w:val="20"/>
          <w:szCs w:val="20"/>
        </w:rPr>
        <w:t xml:space="preserve">Outsourcing internal audit — body text (¶¶3.12.1–3.12.3 / ¶¶5.12.1–5.12.3)</w:t>
      </w:r>
    </w:p>
    <w:p>
      <w:pPr>
        <w:pStyle w:val="ListParagraph"/>
        <w:numPr>
          <w:ilvl w:val="0"/>
          <w:numId w:val="2"/>
        </w:numPr>
        <w:spacing w:after="30" w:before="30"/>
      </w:pPr>
      <w:r>
        <w:rPr>
          <w:rFonts w:ascii="Calibri" w:cs="Calibri" w:eastAsia="Calibri" w:hAnsi="Calibri"/>
          <w:color w:val="000000"/>
          <w:sz w:val="20"/>
          <w:szCs w:val="20"/>
        </w:rPr>
        <w:t xml:space="preserve">Material outsourcing assessment factors (Annex 1 / Annex 3) and Cloud Computing (Annex 2 / Annex 5) — identical in substance</w:t>
      </w:r>
    </w:p>
    <w:p>
      <w:pPr>
        <w:pStyle w:val="Heading2"/>
      </w:pPr>
      <w:r>
        <w:rPr>
          <w:rFonts w:ascii="Calibri" w:cs="Calibri" w:eastAsia="Calibri" w:hAnsi="Calibri"/>
          <w:b/>
          <w:bCs/>
          <w:color w:val="1F3864"/>
          <w:sz w:val="26"/>
          <w:szCs w:val="26"/>
        </w:rPr>
        <w:t xml:space="preserve">Notes and Caveats</w:t>
      </w:r>
    </w:p>
    <w:p>
      <w:pPr>
        <w:spacing w:after="40" w:before="40"/>
      </w:pPr>
      <w:r>
        <w:rPr>
          <w:rFonts w:ascii="Calibri" w:cs="Calibri" w:eastAsia="Calibri" w:hAnsi="Calibri"/>
          <w:color w:val="000000"/>
          <w:sz w:val="20"/>
          <w:szCs w:val="20"/>
        </w:rPr>
        <w:t xml:space="preserve">1. </w:t>
      </w:r>
      <w:r>
        <w:rPr>
          <w:rFonts w:ascii="Calibri" w:cs="Calibri" w:eastAsia="Calibri" w:hAnsi="Calibri"/>
          <w:b/>
          <w:bCs/>
          <w:color w:val="000000"/>
          <w:sz w:val="20"/>
          <w:szCs w:val="20"/>
        </w:rPr>
        <w:t xml:space="preserve">Guidelines-to-Guidelines comparison.</w:t>
      </w:r>
      <w:r>
        <w:rPr>
          <w:rFonts w:ascii="Calibri" w:cs="Calibri" w:eastAsia="Calibri" w:hAnsi="Calibri"/>
          <w:color w:val="000000"/>
          <w:sz w:val="20"/>
          <w:szCs w:val="20"/>
        </w:rPr>
        <w:t xml:space="preserve"> Provisions "missing" from the Bank Guidelines are frequently not absent from the bank regime — they sit in the binding MAS Notices 658/1121 (exempted services, contractual requirements (¶7.1), register obligations, sub-contractor notification (¶6.3(a)), frequency-of-checks policies (¶5.2(b))) and in s 47A Banking Act 1970 (statutory MAS inspection powers; service-category definitions). Statements about Notice content are limited to what the Bank Guidelines recite, except row 1, which was verified directly against Notice 658.</w:t>
      </w:r>
    </w:p>
    <w:p>
      <w:pPr>
        <w:spacing w:after="40" w:before="40"/>
      </w:pPr>
      <w:r>
        <w:rPr>
          <w:rFonts w:ascii="Calibri" w:cs="Calibri" w:eastAsia="Calibri" w:hAnsi="Calibri"/>
          <w:color w:val="000000"/>
          <w:sz w:val="20"/>
          <w:szCs w:val="20"/>
        </w:rPr>
        <w:t xml:space="preserve">2. </w:t>
      </w:r>
      <w:r>
        <w:rPr>
          <w:rFonts w:ascii="Calibri" w:cs="Calibri" w:eastAsia="Calibri" w:hAnsi="Calibri"/>
          <w:b/>
          <w:bCs/>
          <w:color w:val="000000"/>
          <w:sz w:val="20"/>
          <w:szCs w:val="20"/>
        </w:rPr>
        <w:t xml:space="preserve">Legal status differs by design.</w:t>
      </w:r>
      <w:r>
        <w:rPr>
          <w:rFonts w:ascii="Calibri" w:cs="Calibri" w:eastAsia="Calibri" w:hAnsi="Calibri"/>
          <w:color w:val="000000"/>
          <w:sz w:val="20"/>
          <w:szCs w:val="20"/>
        </w:rPr>
        <w:t xml:space="preserve"> For banks, the hard rules are in the binding Notices and the Guidelines set supervisory expectations; for non-bank FIs, the Guidelines are the whole instrument — non-binding, but observance is factored into MAS's supervisory risk assessment (¶4.1.2) and can trigger pre-notification requirements and the ¶4.1.3 powers.</w:t>
      </w:r>
    </w:p>
    <w:p>
      <w:pPr>
        <w:spacing w:after="40" w:before="40"/>
      </w:pPr>
      <w:r>
        <w:rPr>
          <w:rFonts w:ascii="Calibri" w:cs="Calibri" w:eastAsia="Calibri" w:hAnsi="Calibri"/>
          <w:color w:val="000000"/>
          <w:sz w:val="20"/>
          <w:szCs w:val="20"/>
        </w:rPr>
        <w:t xml:space="preserve">3. </w:t>
      </w:r>
      <w:r>
        <w:rPr>
          <w:rFonts w:ascii="Calibri" w:cs="Calibri" w:eastAsia="Calibri" w:hAnsi="Calibri"/>
          <w:b/>
          <w:bCs/>
          <w:color w:val="000000"/>
          <w:sz w:val="20"/>
          <w:szCs w:val="20"/>
        </w:rPr>
        <w:t xml:space="preserve">Origins and outlook.</w:t>
      </w:r>
      <w:r>
        <w:rPr>
          <w:rFonts w:ascii="Calibri" w:cs="Calibri" w:eastAsia="Calibri" w:hAnsi="Calibri"/>
          <w:color w:val="000000"/>
          <w:sz w:val="20"/>
          <w:szCs w:val="20"/>
        </w:rPr>
        <w:t xml:space="preserve"> Both instruments date from MAS's 11 December 2023 restructuring (Circular ID 19/23): the Notices were issued alongside the new Bank Guidelines, and the single 2016/2018 Guidelines were amended and renamed as the FI Guidelines. On 6 March 2026 MAS consulted on proposed Guidelines on Third-Party Risk Management which, as proposed, would supersede both outsourcing Guidelines; feedback closed 20 April 2026 and no final TPRM Guidelines had been issued as at July 2026.</w:t>
      </w:r>
    </w:p>
    <w:p>
      <w:pPr>
        <w:spacing w:after="40" w:before="120"/>
      </w:pPr>
      <w:r>
        <w:rPr>
          <w:rFonts w:ascii="Calibri" w:cs="Calibri" w:eastAsia="Calibri" w:hAnsi="Calibri"/>
          <w:i/>
          <w:iCs/>
          <w:color w:val="595959"/>
          <w:sz w:val="18"/>
          <w:szCs w:val="18"/>
        </w:rPr>
        <w:t xml:space="preserve">This document is legal research, not legal advice.</w:t>
      </w:r>
    </w:p>
    <w:sectPr>
      <w:footerReference w:type="default" r:id="rId7"/>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Calibri" w:cs="Calibri" w:eastAsia="Calibri" w:hAnsi="Calibri"/>
      <w:b/>
      <w:bCs/>
      <w:color w:val="1F3864"/>
      <w:sz w:val="30"/>
      <w:szCs w:val="30"/>
    </w:rPr>
  </w:style>
  <w:style w:type="paragraph" w:styleId="Heading2">
    <w:name w:val="Heading 2"/>
    <w:basedOn w:val="Normal"/>
    <w:next w:val="Normal"/>
    <w:qFormat/>
    <w:pPr>
      <w:spacing w:after="100" w:before="200"/>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2026-07-23T06:08:45.901Z</dcterms:created>
  <dcterms:modified xsi:type="dcterms:W3CDTF">2026-07-23T06:08:45.902Z</dcterms:modified>
</cp:coreProperties>
</file>

<file path=docProps/custom.xml><?xml version="1.0" encoding="utf-8"?>
<Properties xmlns="http://schemas.openxmlformats.org/officeDocument/2006/custom-properties" xmlns:vt="http://schemas.openxmlformats.org/officeDocument/2006/docPropsVTypes"/>
</file>