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C8F37" w14:textId="1E924C74" w:rsidR="00883B8D" w:rsidRDefault="003130A0" w:rsidP="00E84036">
      <w:pPr>
        <w:spacing w:after="120" w:line="276" w:lineRule="auto"/>
        <w:jc w:val="center"/>
        <w:rPr>
          <w:rFonts w:asciiTheme="minorBidi" w:hAnsiTheme="minorBidi"/>
          <w:b/>
          <w:sz w:val="24"/>
        </w:rPr>
      </w:pPr>
      <w:bookmarkStart w:id="0" w:name="_Hlk163031414"/>
      <w:r>
        <w:rPr>
          <w:rFonts w:asciiTheme="minorBidi" w:hAnsiTheme="minorBidi"/>
          <w:b/>
          <w:sz w:val="24"/>
        </w:rPr>
        <w:t xml:space="preserve">Comparative Research on Outsourcing Guidelines For Bank and Non-Bank Financial Institutions</w:t>
      </w:r>
    </w:p>
    <w:p w14:paraId="2B593EF8" w14:textId="6643A990" w:rsidR="00883B8D" w:rsidRDefault="003130A0" w:rsidP="00E84036">
      <w:pPr>
        <w:spacing w:after="120" w:line="276" w:lineRule="auto"/>
        <w:jc w:val="center"/>
        <w:rPr>
          <w:rFonts w:asciiTheme="minorBidi" w:hAnsiTheme="minorBidi"/>
          <w:b/>
        </w:rPr>
      </w:pPr>
      <w:r>
        <w:rPr>
          <w:rFonts w:asciiTheme="minorBidi" w:hAnsiTheme="minorBidi"/>
          <w:b/>
        </w:rPr>
        <w:t>Checklist of differences between MAS guidelines</w:t>
      </w:r>
    </w:p>
    <w:p w14:paraId="3A54B706" w14:textId="012E2FA6" w:rsidR="00E84036" w:rsidRPr="00546CAE" w:rsidRDefault="00901D31" w:rsidP="00E84036">
      <w:pPr>
        <w:spacing w:after="120" w:line="276" w:lineRule="auto"/>
        <w:jc w:val="center"/>
        <w:rPr>
          <w:rFonts w:asciiTheme="minorBidi" w:hAnsiTheme="minorBidi"/>
          <w:b/>
        </w:rPr>
      </w:pPr>
      <w:r>
        <w:rPr>
          <w:rFonts w:asciiTheme="minorBidi" w:hAnsiTheme="minorBidi"/>
          <w:b/>
        </w:rPr>
        <w:t xml:space="preserve">[July 2026]</w:t>
      </w:r>
    </w:p>
    <w:p w14:paraId="2ABA095D" w14:textId="77777777" w:rsidR="00220F18" w:rsidRDefault="00220F18" w:rsidP="00883B8D">
      <w:pPr>
        <w:pStyle w:val="BodyText"/>
        <w:rPr>
          <w:lang w:eastAsia="ja-JP" w:bidi="th-TH"/>
        </w:rPr>
      </w:pPr>
    </w:p>
    <w:p w14:paraId="5293C859" w14:textId="14681410" w:rsidR="00883B8D" w:rsidRPr="004A5781" w:rsidRDefault="00A37DFE" w:rsidP="00883B8D">
      <w:pPr>
        <w:pStyle w:val="BodyText"/>
        <w:rPr>
          <w:lang w:eastAsia="ja-JP" w:bidi="th-TH"/>
        </w:rPr>
      </w:pPr>
      <w:r>
        <w:rPr>
          <w:lang w:eastAsia="ja-JP" w:bidi="th-TH"/>
        </w:rPr>
        <w:t xml:space="preserve">The relevant guidelines are attached at the end as </w:t>
      </w:r>
      <w:r>
        <w:rPr>
          <w:b/>
          <w:bCs/>
          <w:lang w:eastAsia="ja-JP" w:bidi="th-TH"/>
        </w:rPr>
        <w:t xml:space="preserve">Annex A</w:t>
      </w:r>
      <w:r>
        <w:rPr>
          <w:lang w:eastAsia="ja-JP" w:bidi="th-TH"/>
        </w:rPr>
        <w:t xml:space="preserve"> and </w:t>
      </w:r>
      <w:r>
        <w:rPr>
          <w:b/>
          <w:bCs/>
          <w:lang w:eastAsia="ja-JP" w:bidi="th-TH"/>
        </w:rPr>
        <w:t xml:space="preserve">Annex B</w:t>
      </w:r>
      <w:r>
        <w:rPr>
          <w:lang w:eastAsia="ja-JP" w:bidi="th-TH"/>
        </w:rPr>
        <w:t xml:space="preserve">. Checklist of differences between the two guidelines for managing risks while outsourcing under the Banking Act:</w:t>
      </w:r>
    </w:p>
    <w:p w14:paraId="5ACE1415" w14:textId="2EC7EE70" w:rsidR="00EF7952" w:rsidRDefault="00EF7952" w:rsidP="00E11923">
      <w:pPr>
        <w:pStyle w:val="BodyText"/>
        <w:numPr>
          <w:ilvl w:val="0"/>
          <w:numId w:val="10"/>
        </w:numPr>
        <w:rPr>
          <w:iCs/>
        </w:rPr>
      </w:pPr>
      <w:r>
        <w:rPr>
          <w:iCs/>
        </w:rPr>
        <w:t>MAS’ Guidelines on Outsourcing (Banks) (</w:t>
      </w:r>
      <w:r>
        <w:rPr>
          <w:b/>
          <w:bCs/>
          <w:iCs/>
        </w:rPr>
        <w:t xml:space="preserve">Bank Guidelines</w:t>
      </w:r>
      <w:r>
        <w:rPr>
          <w:iCs/>
        </w:rPr>
        <w:t>),</w:t>
      </w:r>
    </w:p>
    <w:p w14:paraId="794716B9" w14:textId="1FC359C1" w:rsidR="00CA45AA" w:rsidRDefault="00CA45AA" w:rsidP="00E11923">
      <w:pPr>
        <w:pStyle w:val="BodyText"/>
        <w:numPr>
          <w:ilvl w:val="0"/>
          <w:numId w:val="10"/>
        </w:numPr>
        <w:rPr>
          <w:iCs/>
        </w:rPr>
      </w:pPr>
      <w:r>
        <w:rPr>
          <w:iCs/>
        </w:rPr>
        <w:t>MAS’ Guidelines on Outsourcing (Financial Institutions other than Banks) (</w:t>
      </w:r>
      <w:r>
        <w:rPr>
          <w:b/>
          <w:bCs/>
          <w:iCs/>
        </w:rPr>
        <w:t>FI Guidelines</w:t>
      </w:r>
      <w:r>
        <w:rPr>
          <w:iCs/>
        </w:rPr>
        <w:t>),</w:t>
      </w:r>
    </w:p>
    <w:p w14:paraId="5522D14A" w14:textId="69BBFA76" w:rsidR="00883B8D" w:rsidRPr="004A5781" w:rsidRDefault="00883B8D" w:rsidP="00FB0BD1">
      <w:pPr>
        <w:pStyle w:val="BodyText1"/>
        <w:ind w:left="360"/>
      </w:pPr>
      <w:r>
        <w:t xml:space="preserve">which are collectively referred to as the </w:t>
      </w:r>
      <w:r>
        <w:rPr>
          <w:b/>
        </w:rPr>
        <w:t>Outsourcing Regulations</w:t>
      </w:r>
      <w:r>
        <w:t xml:space="preserve">. </w:t>
      </w:r>
    </w:p>
    <w:p w14:paraId="04AED860" w14:textId="77777777" w:rsidR="00220F18" w:rsidRDefault="00220F18" w:rsidP="00883B8D">
      <w:pPr>
        <w:pStyle w:val="BodyText"/>
      </w:pPr>
    </w:p>
    <w:p w14:paraId="4F01EC3A" w14:textId="3FD94790" w:rsidR="000924B6" w:rsidRDefault="00901D31" w:rsidP="00431DDF">
      <w:pPr>
        <w:pStyle w:val="BodyText"/>
      </w:pPr>
      <w:r>
        <w:t xml:space="preserve">This checklist is separated into the following sections: </w:t>
      </w:r>
    </w:p>
    <w:p w14:paraId="789AD862" w14:textId="6088598E" w:rsidR="004F6066" w:rsidRDefault="004F6066" w:rsidP="000C51EC">
      <w:pPr>
        <w:pStyle w:val="BodyText"/>
        <w:numPr>
          <w:ilvl w:val="0"/>
          <w:numId w:val="42"/>
        </w:numPr>
      </w:pPr>
      <w:r>
        <w:t>A list of substantially equivalent provisions;</w:t>
      </w:r>
    </w:p>
    <w:p w14:paraId="2A376FEC" w14:textId="2ADF385D" w:rsidR="004F6066" w:rsidRDefault="004F6066" w:rsidP="004F6066">
      <w:pPr>
        <w:pStyle w:val="BodyText"/>
        <w:numPr>
          <w:ilvl w:val="0"/>
          <w:numId w:val="42"/>
        </w:numPr>
      </w:pPr>
      <w:r>
        <w:t>A list of all differences between the two documents, and;</w:t>
      </w:r>
    </w:p>
    <w:p w14:paraId="037B498F" w14:textId="283D2C3C" w:rsidR="000C51EC" w:rsidRDefault="000C51EC" w:rsidP="000C51EC">
      <w:pPr>
        <w:pStyle w:val="BodyText"/>
        <w:numPr>
          <w:ilvl w:val="0"/>
          <w:numId w:val="42"/>
        </w:numPr>
      </w:pPr>
      <w:r>
        <w:t>A comparative table between the guidelines for banks and FIs.</w:t>
      </w:r>
    </w:p>
    <w:p w14:paraId="1688913D" w14:textId="77777777" w:rsidR="000C51EC" w:rsidRDefault="000C51EC" w:rsidP="000C51EC">
      <w:pPr>
        <w:pStyle w:val="BodyText"/>
      </w:pPr>
    </w:p>
    <w:p w14:paraId="297A9573" w14:textId="2FB597E1" w:rsidR="00431DDF" w:rsidRDefault="00431DDF" w:rsidP="00431DDF">
      <w:pPr>
        <w:pStyle w:val="BodyText"/>
      </w:pPr>
      <w:r>
        <w:t>In this document:</w:t>
        <w:br/>
      </w:r>
    </w:p>
    <w:p w14:paraId="13D3193E" w14:textId="3FF689D1" w:rsidR="000C51EC" w:rsidRPr="000C51EC" w:rsidRDefault="000C51EC" w:rsidP="00431DDF">
      <w:pPr>
        <w:pStyle w:val="BodyText"/>
        <w:rPr>
          <w:b/>
          <w:bCs/>
        </w:rPr>
      </w:pPr>
      <w:r>
        <w:rPr>
          <w:b/>
          <w:bCs/>
        </w:rPr>
        <w:t>Any highlighted phrases, paragraphs, or words have no similar comparable statement in the other relevant document.</w:t>
      </w:r>
    </w:p>
    <w:p w14:paraId="2C30F22D" w14:textId="266B225A" w:rsidR="00F036D2" w:rsidRPr="001301CD" w:rsidRDefault="00F036D2" w:rsidP="00F036D2">
      <w:pPr>
        <w:pStyle w:val="BodyText"/>
      </w:pPr>
    </w:p>
    <w:p w14:paraId="2318941A" w14:textId="091C2514" w:rsidR="00AF4A19" w:rsidRDefault="00AF4A19" w:rsidP="00883B8D">
      <w:pPr>
        <w:pStyle w:val="BodyText"/>
        <w:rPr>
          <w:rFonts w:asciiTheme="minorBidi" w:hAnsiTheme="minorBidi"/>
        </w:rPr>
      </w:pPr>
      <w:r>
        <w:rPr>
          <w:rFonts w:asciiTheme="minorBidi" w:hAnsiTheme="minorBidi"/>
        </w:rPr>
        <w:br w:type="page"/>
      </w:r>
    </w:p>
    <w:p w14:paraId="422F0C2B" w14:textId="5C45EF94" w:rsidR="004F6066" w:rsidRDefault="004F6066" w:rsidP="004F79C9">
      <w:pPr>
        <w:pStyle w:val="Level1Heading"/>
        <w:rPr>
          <w:rFonts w:asciiTheme="majorHAnsi" w:hAnsiTheme="majorHAnsi" w:cstheme="majorHAnsi"/>
          <w:iCs/>
          <w:sz w:val="18"/>
          <w:szCs w:val="18"/>
        </w:rPr>
      </w:pPr>
      <w:bookmarkStart w:id="1" w:name="MASNotice658"/>
      <w:bookmarkStart w:id="2" w:name="ExecSummary"/>
      <w:bookmarkEnd w:id="0"/>
      <w:bookmarkEnd w:id="2"/>
      <w:r>
        <w:rPr>
          <w:rFonts w:asciiTheme="majorHAnsi" w:hAnsiTheme="majorHAnsi" w:cstheme="majorHAnsi"/>
          <w:iCs/>
          <w:sz w:val="18"/>
          <w:szCs w:val="18"/>
        </w:rPr>
        <w:lastRenderedPageBreak/>
        <w:t>Substantially Equivalent Provisions</w:t>
      </w:r>
    </w:p>
    <w:p w14:paraId="1073F046" w14:textId="195A50D0" w:rsidR="004F6066" w:rsidRPr="004F6066" w:rsidRDefault="004F6066" w:rsidP="004F6066">
      <w:pPr>
        <w:pStyle w:val="BodyText1"/>
        <w:ind w:left="0"/>
      </w:pPr>
      <w:r>
        <w:t>The provisions in this section are substantially equivalent between the two sets of Guidelines, differing only in the terms “Bank”/“institution”, cross-references and similar drafting variations.</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Purpose and risk rationale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r>
      <w:tr w:rsidR="004F6066" w:rsidRPr="004F79C9" w14:paraId="277B866E" w14:textId="77777777" w:rsidTr="004F6066">
        <w:trPr>
          <w:trHeight w:val="377"/>
        </w:trPr>
        <w:tc>
          <w:tcPr>
            <w:tcW w:w="2127" w:type="dxa"/>
          </w:tcPr>
          <w:p w14:paraId="0723A82C" w14:textId="6D79150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Proportionality and self-assessment</w:t>
            </w:r>
          </w:p>
        </w:tc>
        <w:tc>
          <w:tcPr>
            <w:tcW w:w="2357" w:type="dxa"/>
          </w:tcPr>
          <w:p w14:paraId="7DF75BD9" w14:textId="784EEB65"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1.2, 1.3 </w:t>
            </w:r>
          </w:p>
        </w:tc>
        <w:tc>
          <w:tcPr>
            <w:tcW w:w="2357" w:type="dxa"/>
          </w:tcPr>
          <w:p w14:paraId="158B990F" w14:textId="27F146B7"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1.2, 2.1</w:t>
            </w:r>
          </w:p>
        </w:tc>
      </w:tr>
      <w:tr w:rsidR="004F6066" w:rsidRPr="004F79C9" w14:paraId="41FD02E8" w14:textId="77777777" w:rsidTr="004F6066">
        <w:trPr>
          <w:trHeight w:val="377"/>
        </w:trPr>
        <w:tc>
          <w:tcPr>
            <w:tcW w:w="2127" w:type="dxa"/>
          </w:tcPr>
          <w:p w14:paraId="0D8A0BE8" w14:textId="75779FC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Non-outsourcing arrangements will still require adequate risk management</w:t>
            </w:r>
          </w:p>
        </w:tc>
        <w:tc>
          <w:tcPr>
            <w:tcW w:w="2357" w:type="dxa"/>
          </w:tcPr>
          <w:p w14:paraId="03F76A9F" w14:textId="3DED4D9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1.4</w:t>
            </w:r>
          </w:p>
        </w:tc>
        <w:tc>
          <w:tcPr>
            <w:tcW w:w="2357" w:type="dxa"/>
          </w:tcPr>
          <w:p w14:paraId="45C21719" w14:textId="7F20F07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r>
      <w:tr w:rsidR="004F6066" w:rsidRPr="004F79C9" w14:paraId="4672DB8E" w14:textId="77777777" w:rsidTr="004F6066">
        <w:trPr>
          <w:trHeight w:val="377"/>
        </w:trPr>
        <w:tc>
          <w:tcPr>
            <w:tcW w:w="2127" w:type="dxa"/>
          </w:tcPr>
          <w:p w14:paraId="376DCECF" w14:textId="011489E4"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Notification of adverse developments to MAS</w:t>
            </w:r>
          </w:p>
        </w:tc>
        <w:tc>
          <w:tcPr>
            <w:tcW w:w="2357" w:type="dxa"/>
          </w:tcPr>
          <w:p w14:paraId="0AA39D4B" w14:textId="0D5D3D72"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c>
          <w:tcPr>
            <w:tcW w:w="2357" w:type="dxa"/>
          </w:tcPr>
          <w:p w14:paraId="41D5E9B0" w14:textId="55A3DBD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4.2.1</w:t>
            </w:r>
          </w:p>
        </w:tc>
      </w:tr>
      <w:tr w:rsidR="004F6066" w:rsidRPr="004F79C9" w14:paraId="231A134C" w14:textId="77777777" w:rsidTr="004F6066">
        <w:trPr>
          <w:trHeight w:val="377"/>
        </w:trPr>
        <w:tc>
          <w:tcPr>
            <w:tcW w:w="2127" w:type="dxa"/>
          </w:tcPr>
          <w:p w14:paraId="3F5DAF87" w14:textId="1522632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Board and senior management responsibilities</w:t>
            </w:r>
          </w:p>
        </w:tc>
        <w:tc>
          <w:tcPr>
            <w:tcW w:w="2357" w:type="dxa"/>
          </w:tcPr>
          <w:p w14:paraId="082398D3" w14:textId="6D36169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 – 3.1.4</w:t>
            </w:r>
          </w:p>
        </w:tc>
        <w:tc>
          <w:tcPr>
            <w:tcW w:w="2357" w:type="dxa"/>
          </w:tcPr>
          <w:p w14:paraId="58AA94C4" w14:textId="61B0EACA"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5.2.1 – 5.2.4</w:t>
            </w:r>
          </w:p>
        </w:tc>
      </w:tr>
      <w:tr w:rsidR="004F6066" w:rsidRPr="004F79C9" w14:paraId="1CD52E46" w14:textId="77777777" w:rsidTr="004F6066">
        <w:trPr>
          <w:trHeight w:val="377"/>
        </w:trPr>
        <w:tc>
          <w:tcPr>
            <w:tcW w:w="2127" w:type="dxa"/>
          </w:tcPr>
          <w:p w14:paraId="3A631A42" w14:textId="1839761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Risk evaluation framework and timing</w:t>
            </w:r>
          </w:p>
        </w:tc>
        <w:tc>
          <w:tcPr>
            <w:tcW w:w="2357" w:type="dxa"/>
          </w:tcPr>
          <w:p w14:paraId="06F3330B" w14:textId="74C8ECD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3.2.1 – 3.2.2</w:t>
            </w:r>
          </w:p>
        </w:tc>
        <w:tc>
          <w:tcPr>
            <w:tcW w:w="2357" w:type="dxa"/>
          </w:tcPr>
          <w:p w14:paraId="3AF9D10A" w14:textId="368C796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5.3.1 – 5.3.2</w:t>
            </w:r>
          </w:p>
        </w:tc>
      </w:tr>
      <w:tr w:rsidR="004F6066" w:rsidRPr="004F79C9" w14:paraId="70E729B5" w14:textId="77777777" w:rsidTr="004F6066">
        <w:trPr>
          <w:trHeight w:val="377"/>
        </w:trPr>
        <w:tc>
          <w:tcPr>
            <w:tcW w:w="2127" w:type="dxa"/>
          </w:tcPr>
          <w:p w14:paraId="007DCA4D" w14:textId="4871934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Service provider due diligence</w:t>
            </w:r>
          </w:p>
        </w:tc>
        <w:tc>
          <w:tcPr>
            <w:tcW w:w="2357" w:type="dxa"/>
          </w:tcPr>
          <w:p w14:paraId="74C6A43E" w14:textId="2CC74A20"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3.3.1 – 3.3.5</w:t>
            </w:r>
          </w:p>
        </w:tc>
        <w:tc>
          <w:tcPr>
            <w:tcW w:w="2357" w:type="dxa"/>
          </w:tcPr>
          <w:p w14:paraId="0397C82D" w14:textId="369FCB8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5.4.1 – 5.4.5</w:t>
            </w:r>
          </w:p>
        </w:tc>
      </w:tr>
      <w:tr w:rsidR="004F6066" w:rsidRPr="004F79C9" w14:paraId="0E0656D8" w14:textId="77777777" w:rsidTr="004F6066">
        <w:trPr>
          <w:trHeight w:val="377"/>
        </w:trPr>
        <w:tc>
          <w:tcPr>
            <w:tcW w:w="2127" w:type="dxa"/>
          </w:tcPr>
          <w:p w14:paraId="6F37E9E8" w14:textId="7CF7CAFE"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Written, vetted agreements</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3.4.1</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5.5.1</w:t>
            </w:r>
          </w:p>
        </w:tc>
      </w:tr>
      <w:tr w:rsidR="004F6066" w:rsidRPr="004F79C9" w14:paraId="6CF0B94B" w14:textId="0B7D30D9" w:rsidTr="004F6066">
        <w:trPr>
          <w:trHeight w:val="377"/>
        </w:trPr>
        <w:tc>
          <w:tcPr>
            <w:tcW w:w="212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Termination mechanics</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3.4.4</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5.5.2(i)</w:t>
            </w:r>
          </w:p>
        </w:tc>
      </w:tr>
      <w:tr w:rsidR="004F6066" w:rsidRPr="004F79C9" w14:paraId="6CF0B94B" w14:textId="0B7D30D9" w:rsidTr="004F6066">
        <w:trPr>
          <w:trHeight w:val="377"/>
        </w:trPr>
        <w:tc>
          <w:tcPr>
            <w:tcW w:w="212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Overseas outsourcing – country risk</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5.5.3</w:t>
            </w:r>
          </w:p>
        </w:tc>
      </w:tr>
      <w:tr w:rsidR="004F6066" w:rsidRPr="004F79C9" w14:paraId="669DBAE2" w14:textId="77777777" w:rsidTr="004F6066">
        <w:trPr>
          <w:trHeight w:val="377"/>
        </w:trPr>
        <w:tc>
          <w:tcPr>
            <w:tcW w:w="2127" w:type="dxa"/>
          </w:tcPr>
          <w:p w14:paraId="243E43F5" w14:textId="43E2ECB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Confidentiality and security</w:t>
            </w:r>
          </w:p>
        </w:tc>
        <w:tc>
          <w:tcPr>
            <w:tcW w:w="2357" w:type="dxa"/>
          </w:tcPr>
          <w:p w14:paraId="03C1DD48" w14:textId="37E06A01"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3.6.1 – 3.6.2</w:t>
            </w:r>
          </w:p>
        </w:tc>
        <w:tc>
          <w:tcPr>
            <w:tcW w:w="2357" w:type="dxa"/>
          </w:tcPr>
          <w:p w14:paraId="3F52CD60" w14:textId="2C0AE68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5.6.1 – 5.6.2</w:t>
            </w:r>
          </w:p>
        </w:tc>
      </w:tr>
      <w:tr w:rsidR="004F6066" w:rsidRPr="004F79C9" w14:paraId="5EEC568F" w14:textId="77777777" w:rsidTr="004F6066">
        <w:trPr>
          <w:trHeight w:val="377"/>
        </w:trPr>
        <w:tc>
          <w:tcPr>
            <w:tcW w:w="2127" w:type="dxa"/>
          </w:tcPr>
          <w:p w14:paraId="4C17563A" w14:textId="5573403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Business continuity management</w:t>
            </w:r>
          </w:p>
        </w:tc>
        <w:tc>
          <w:tcPr>
            <w:tcW w:w="2357" w:type="dxa"/>
          </w:tcPr>
          <w:p w14:paraId="3653DF04" w14:textId="73FA5A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3.7.1 – 3.7.4</w:t>
            </w:r>
          </w:p>
        </w:tc>
        <w:tc>
          <w:tcPr>
            <w:tcW w:w="2357" w:type="dxa"/>
          </w:tcPr>
          <w:p w14:paraId="4A9F5E2A" w14:textId="27A1BD7D"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5.7.1 – 5.7.4</w:t>
            </w:r>
          </w:p>
        </w:tc>
      </w:tr>
      <w:tr w:rsidR="004F6066" w:rsidRPr="004F79C9" w14:paraId="6F356490" w14:textId="77777777" w:rsidTr="004F6066">
        <w:trPr>
          <w:trHeight w:val="377"/>
        </w:trPr>
        <w:tc>
          <w:tcPr>
            <w:tcW w:w="2127" w:type="dxa"/>
          </w:tcPr>
          <w:p w14:paraId="2BC19BF8" w14:textId="35FDE050"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Control structure</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5.8.1</w:t>
            </w:r>
          </w:p>
        </w:tc>
      </w:tr>
      <w:tr w:rsidR="004F6066" w:rsidRPr="004F79C9" w14:paraId="2082B80E" w14:textId="77777777" w:rsidTr="004F6066">
        <w:trPr>
          <w:trHeight w:val="377"/>
        </w:trPr>
        <w:tc>
          <w:tcPr>
            <w:tcW w:w="212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Audit and inspection – principle</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5.9.1</w:t>
            </w:r>
          </w:p>
        </w:tc>
      </w:tr>
      <w:tr w:rsidR="004F6066" w:rsidRPr="004F79C9" w14:paraId="6CF0B94B" w14:textId="0B7D30D9" w:rsidTr="004F6066">
        <w:trPr>
          <w:trHeight w:val="377"/>
        </w:trPr>
        <w:tc>
          <w:tcPr>
            <w:tcW w:w="212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Independent audits, remediation and escalation</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 – 3.9.6</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5.9.5 – 5.9.7</w:t>
            </w:r>
          </w:p>
        </w:tc>
      </w:tr>
      <w:tr w:rsidR="0095788E" w:rsidRPr="004F79C9" w14:paraId="5EE54E90" w14:textId="77777777" w:rsidTr="004F6066">
        <w:trPr>
          <w:trHeight w:val="377"/>
        </w:trPr>
        <w:tc>
          <w:tcPr>
            <w:tcW w:w="2127" w:type="dxa"/>
          </w:tcPr>
          <w:p w14:paraId="3BC48C69" w14:textId="2019164D"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Due diligence for overseas outsourcing</w:t>
            </w:r>
          </w:p>
        </w:tc>
        <w:tc>
          <w:tcPr>
            <w:tcW w:w="2357" w:type="dxa"/>
          </w:tcPr>
          <w:p w14:paraId="7E4B5E46" w14:textId="52793D0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3.10.1</w:t>
            </w:r>
          </w:p>
        </w:tc>
        <w:tc>
          <w:tcPr>
            <w:tcW w:w="2357" w:type="dxa"/>
          </w:tcPr>
          <w:p w14:paraId="2C6CA43C" w14:textId="6ADAE9D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5.10.1</w:t>
            </w:r>
          </w:p>
        </w:tc>
      </w:tr>
      <w:tr w:rsidR="0095788E" w:rsidRPr="004F79C9" w14:paraId="6A095899" w14:textId="77777777" w:rsidTr="004F6066">
        <w:trPr>
          <w:trHeight w:val="377"/>
        </w:trPr>
        <w:tc>
          <w:tcPr>
            <w:tcW w:w="2127" w:type="dxa"/>
          </w:tcPr>
          <w:p w14:paraId="1E03D011" w14:textId="63457AF4"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lastRenderedPageBreak/>
              <w:t>Outsourcing within a group</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5.11.2</w:t>
            </w:r>
          </w:p>
        </w:tc>
      </w:tr>
      <w:tr w:rsidR="0095788E" w:rsidRPr="004F79C9" w14:paraId="6B03B460" w14:textId="77777777" w:rsidTr="004F6066">
        <w:trPr>
          <w:trHeight w:val="377"/>
        </w:trPr>
        <w:tc>
          <w:tcPr>
            <w:tcW w:w="2127" w:type="dxa"/>
          </w:tcPr>
          <w:p w14:paraId="0398E736" w14:textId="55CF8340"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Outsourcing internal audits</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 – 3.12.3</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5.12.2 – 5.12.3</w:t>
            </w:r>
          </w:p>
        </w:tc>
      </w:tr>
      <w:tr w:rsidR="0095788E" w:rsidRPr="004F79C9" w14:paraId="589AB737" w14:textId="77777777" w:rsidTr="004F6066">
        <w:trPr>
          <w:trHeight w:val="377"/>
        </w:trPr>
        <w:tc>
          <w:tcPr>
            <w:tcW w:w="2127" w:type="dxa"/>
          </w:tcPr>
          <w:p w14:paraId="082BC2CF" w14:textId="621CE773"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Material outsourcing assessment factors</w:t>
            </w:r>
          </w:p>
        </w:tc>
        <w:tc>
          <w:tcPr>
            <w:tcW w:w="2357" w:type="dxa"/>
          </w:tcPr>
          <w:p w14:paraId="11DD4376" w14:textId="08BF94F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1</w:t>
            </w:r>
          </w:p>
        </w:tc>
        <w:tc>
          <w:tcPr>
            <w:tcW w:w="2357" w:type="dxa"/>
          </w:tcPr>
          <w:p w14:paraId="7071CB8C" w14:textId="7308A85A"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3</w:t>
            </w:r>
          </w:p>
        </w:tc>
      </w:tr>
      <w:tr w:rsidR="0095788E" w:rsidRPr="004F79C9" w14:paraId="08EEFDF2" w14:textId="77777777" w:rsidTr="004F6066">
        <w:trPr>
          <w:trHeight w:val="377"/>
        </w:trPr>
        <w:tc>
          <w:tcPr>
            <w:tcW w:w="2127" w:type="dxa"/>
          </w:tcPr>
          <w:p w14:paraId="42738E79" w14:textId="7EB94A06"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Cloud Computing</w:t>
            </w:r>
          </w:p>
        </w:tc>
        <w:tc>
          <w:tcPr>
            <w:tcW w:w="2357" w:type="dxa"/>
          </w:tcPr>
          <w:p w14:paraId="662D9B76" w14:textId="4422B7B4"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2</w:t>
            </w:r>
          </w:p>
        </w:tc>
        <w:tc>
          <w:tcPr>
            <w:tcW w:w="2357" w:type="dxa"/>
          </w:tcPr>
          <w:p w14:paraId="7EB1E018" w14:textId="0B55EBB3"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5</w:t>
            </w:r>
          </w:p>
        </w:tc>
      </w:tr>
    </w:tbl>
    <w:p w14:paraId="0B88E8C0" w14:textId="397BD91B" w:rsidR="0095788E" w:rsidRDefault="0095788E" w:rsidP="004F6066">
      <w:pPr>
        <w:pStyle w:val="BodyText1"/>
        <w:ind w:left="0"/>
      </w:pPr>
    </w:p>
    <w:p w14:paraId="422F0C2B" w14:textId="5C45EF94" w:rsidR="004F6066" w:rsidRDefault="004F6066"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 xml:space="preserve">List of Non-Identical Provisions</w:t>
      </w:r>
    </w:p>
    <w:p w14:paraId="1073F046" w14:textId="195A50D0" w:rsidR="004F6066" w:rsidRPr="004F6066" w:rsidRDefault="004F6066" w:rsidP="004F6066">
      <w:pPr>
        <w:pStyle w:val="BodyText1"/>
        <w:ind w:left="0"/>
      </w:pPr>
      <w:r>
        <w:t xml:space="preserve">The provisions in this section differ in substance between the two documents, or appear in only one of them. The precise differences are set out in the comparative table below.</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Scope – definition of “outsourcing arrangement”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(via the Notices; disjunctive test with a more-than-12-month “ongoing” threshold)</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and Section 3 (conjunctive test; no duration threshold)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Definitions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(definitions are in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Section 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Group-wide observance duty</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2.3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Reference to the MAS Information Paper on third-party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3 to 1.5</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Register submission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21 to 3.8.2(a) (template link; no stated frequency)</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4.1.1 and Annex 4 (at least annually or upon request)</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MAS powers over a live arrangement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3.4.5 – 3.4.6 (MAS-directed termination)</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4.1.3 (modify, alternative arrangements or re-integration)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Supervisory overview</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Delegation of board functions for foreign-incorporated institutions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5.2.5 (opening sentence) and the Section 3 definition of “board”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Legal advice on overseas disclosure of customer information</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3.2.3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Policies on frequency of checks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3.3.6</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(cf. 5.8.2(d))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agreement checklist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3.4.2 (ten items; Notices 7.1 requirements via footnotes 9 and 12)</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5.5.2 (eleven items, including (j) sub-contracting)</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Contractual termination triggers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3.4.3 (confidentiality-centred; termination by reasonable notice)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5.5.2(i) (change of ownership, insolvency, receivership or judicial management, breach, performance deterioration)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Deletion of information on termination</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3.4.7 (extends to non-customer information)</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5.7.2(c) only</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Customer consent before sub-contracting</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Prescribed contents of the sub-contract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Notification of sub-contractor engagement (30 days)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Annual review of material outsourcing arrangements</w:t>
            </w:r>
          </w:p>
        </w:tc>
        <w:tc>
          <w:tcPr>
            <w:tcW w:w="2357"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1(3) – periodic reviews, no fixed minimum</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5.8.2(d)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MAS access to service providers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Statutory – section 47A(10) of the Banking Act (see 3.4.5(f))</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Contractual – 5.9.2(b)</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Service provider reports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Sub-contractor audit coverage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3.9.3 (“endeavour to subject”)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5.9.4 (“ensure that these expectations are met”)</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Reliance on certifications and pooled audits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Submission of audit reports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3.9.7 (“upon request”)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5.9.8 (no “upon request” for audit reports)</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Overseas outsourcing – confirmation and notification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5.10.2(b) (written confirmation) and 5.10.2(c) (notification)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within a group – wording</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3.11.1 (“including subsidiaries of Singapore-incorporated banks”)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5.11.1 (without that phrase; see also 2.3)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internal audit – permitted departures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26 (no size limit)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20 (limited to small institutions)</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Exempted services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D of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Examples of outsourcing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(Notice 658 Annexes A – C)</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Applicability framework by category of service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Register template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21 link</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r>
    </w:tbl>
    <w:p w14:paraId="0B88E8C0" w14:textId="397BD91B" w:rsidR="0095788E" w:rsidRDefault="0095788E" w:rsidP="004F6066">
      <w:pPr>
        <w:pStyle w:val="BodyText1"/>
        <w:ind w:left="0"/>
      </w:pPr>
    </w:p>
    <w:p w14:paraId="04EDFFD2" w14:textId="69E1ADAC" w:rsidR="004F6066" w:rsidRPr="004F6066" w:rsidRDefault="0095788E" w:rsidP="0095788E">
      <w:pPr>
        <w:spacing w:after="240" w:line="276" w:lineRule="auto"/>
      </w:pPr>
      <w:r>
        <w:br w:type="page"/>
      </w:r>
    </w:p>
    <w:p w14:paraId="71E18BCD" w14:textId="4DD6BD75" w:rsidR="004F79C9" w:rsidRPr="004F79C9" w:rsidRDefault="004F79C9"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Comparative Table of Differences between the two MAS Outstanding Guidelines</w:t>
      </w:r>
    </w:p>
    <w:tbl>
      <w:tblPr>
        <w:tblStyle w:val="TableGrid"/>
        <w:tblW w:w="14215" w:type="dxa"/>
        <w:tblLayout w:type="fixed"/>
        <w:tblLook w:val="04A0" w:firstRow="1" w:lastRow="0" w:firstColumn="1" w:lastColumn="0" w:noHBand="0" w:noVBand="1"/>
      </w:tblPr>
      <w:tblGrid>
        <w:gridCol w:w="625"/>
        <w:gridCol w:w="5670"/>
        <w:gridCol w:w="5731"/>
        <w:gridCol w:w="2189"/>
      </w:tblGrid>
      <w:tr w:rsidR="00A37DFE" w:rsidRPr="00DD537D" w14:paraId="3DA5480E" w14:textId="692C74EF" w:rsidTr="00DC7DDC">
        <w:trPr>
          <w:trHeight w:val="664"/>
          <w:tblHeader/>
        </w:trPr>
        <w:tc>
          <w:tcPr>
            <w:tcW w:w="625" w:type="dxa"/>
            <w:shd w:val="clear" w:color="auto" w:fill="808080" w:themeFill="background1" w:themeFillShade="80"/>
          </w:tcPr>
          <w:bookmarkEnd w:id="1"/>
          <w:p w14:paraId="2941FC8C" w14:textId="422C0B21" w:rsidR="00A37DFE" w:rsidRPr="00DD537D" w:rsidRDefault="00A37DFE" w:rsidP="00A37DFE">
            <w:pPr>
              <w:spacing w:before="60" w:after="60"/>
              <w:jc w:val="right"/>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No.</w:t>
            </w:r>
          </w:p>
        </w:tc>
        <w:tc>
          <w:tcPr>
            <w:tcW w:w="5670" w:type="dxa"/>
            <w:shd w:val="clear" w:color="auto" w:fill="808080" w:themeFill="background1" w:themeFillShade="80"/>
          </w:tcPr>
          <w:p w14:paraId="63824F50" w14:textId="25B09D3E"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(Banks)</w:t>
            </w:r>
          </w:p>
        </w:tc>
        <w:tc>
          <w:tcPr>
            <w:tcW w:w="5731" w:type="dxa"/>
            <w:shd w:val="clear" w:color="auto" w:fill="808080" w:themeFill="background1" w:themeFillShade="80"/>
          </w:tcPr>
          <w:p w14:paraId="56EEAAAF" w14:textId="2B5A9866"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(Financial Institutions Other than Banks)</w:t>
            </w:r>
          </w:p>
        </w:tc>
        <w:tc>
          <w:tcPr>
            <w:tcW w:w="2189" w:type="dxa"/>
            <w:shd w:val="clear" w:color="auto" w:fill="808080" w:themeFill="background1" w:themeFillShade="80"/>
          </w:tcPr>
          <w:p w14:paraId="698ED3AE" w14:textId="4E9AABEA" w:rsidR="00A37DFE" w:rsidRPr="00DD537D" w:rsidRDefault="00A37DFE" w:rsidP="00A37DFE">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Differences</w:t>
            </w:r>
          </w:p>
        </w:tc>
      </w:tr>
      <w:tr w:rsidR="00A37DFE" w:rsidRPr="00DD537D" w14:paraId="737835E3" w14:textId="77777777" w:rsidTr="00DC7DDC">
        <w:trPr>
          <w:trHeight w:val="305"/>
        </w:trPr>
        <w:tc>
          <w:tcPr>
            <w:tcW w:w="625" w:type="dxa"/>
            <w:shd w:val="clear" w:color="auto" w:fill="D9D9D9" w:themeFill="background1" w:themeFillShade="D9"/>
          </w:tcPr>
          <w:p w14:paraId="0BC32915" w14:textId="77777777" w:rsidR="00A37DFE" w:rsidRDefault="00A37DFE" w:rsidP="00A37DFE">
            <w:pPr>
              <w:pStyle w:val="BodyText"/>
              <w:numPr>
                <w:ilvl w:val="0"/>
                <w:numId w:val="12"/>
              </w:numPr>
              <w:ind w:left="0"/>
              <w:jc w:val="right"/>
              <w:rPr>
                <w:rFonts w:asciiTheme="majorHAnsi" w:hAnsiTheme="majorHAnsi" w:cstheme="majorHAnsi"/>
                <w:sz w:val="18"/>
                <w:szCs w:val="18"/>
              </w:rPr>
            </w:pPr>
          </w:p>
        </w:tc>
        <w:tc>
          <w:tcPr>
            <w:tcW w:w="13590" w:type="dxa"/>
            <w:gridSpan w:val="3"/>
            <w:shd w:val="clear" w:color="auto" w:fill="D9D9D9" w:themeFill="background1" w:themeFillShade="D9"/>
          </w:tcPr>
          <w:p w14:paraId="447FBCBB" w14:textId="3EF720F1" w:rsidR="00A37DFE" w:rsidRPr="00A37DFE" w:rsidRDefault="00A37DFE" w:rsidP="00A37DFE">
            <w:pPr>
              <w:keepNext/>
              <w:keepLines/>
              <w:tabs>
                <w:tab w:val="left" w:pos="360"/>
              </w:tabs>
              <w:spacing w:line="276" w:lineRule="auto"/>
              <w:rPr>
                <w:rFonts w:asciiTheme="majorHAnsi" w:hAnsiTheme="majorHAnsi" w:cstheme="majorHAnsi"/>
                <w:b/>
                <w:bCs/>
                <w:sz w:val="18"/>
                <w:szCs w:val="18"/>
                <w:lang w:val="en-US"/>
              </w:rPr>
            </w:pPr>
            <w:r>
              <w:rPr>
                <w:rFonts w:asciiTheme="majorHAnsi" w:hAnsiTheme="majorHAnsi" w:cstheme="majorHAnsi"/>
                <w:b/>
                <w:bCs/>
                <w:sz w:val="18"/>
                <w:szCs w:val="18"/>
                <w:lang w:val="en-US"/>
              </w:rPr>
              <w:t>Introduction</w:t>
            </w:r>
          </w:p>
        </w:tc>
      </w:tr>
      <w:tr w:rsidR="00A37DFE" w:rsidRPr="00DD537D" w14:paraId="0A88D9B3" w14:textId="22831282" w:rsidTr="00DC7DDC">
        <w:trPr>
          <w:trHeight w:val="3185"/>
        </w:trPr>
        <w:tc>
          <w:tcPr>
            <w:tcW w:w="625" w:type="dxa"/>
          </w:tcPr>
          <w:p w14:paraId="14CEFF7D" w14:textId="08A8D809" w:rsidR="00A37DFE" w:rsidRPr="00DD537D"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1.1 </w:t>
            </w:r>
          </w:p>
        </w:tc>
        <w:tc>
          <w:tcPr>
            <w:tcW w:w="5670" w:type="dxa"/>
          </w:tcPr>
          <w:p w14:paraId="642C175B" w14:textId="349E76F8" w:rsidR="00A37DFE" w:rsidRPr="009F4FCE" w:rsidRDefault="00A37DFE" w:rsidP="00A37DFE">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[1.1]</w:t>
            </w:r>
            <w:r>
              <w:rPr>
                <w:rFonts w:asciiTheme="majorHAnsi" w:hAnsiTheme="majorHAnsi" w:cstheme="majorHAnsi"/>
                <w:sz w:val="18"/>
                <w:szCs w:val="18"/>
              </w:rPr>
              <w:t xml:space="preserve"> 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w:t>
            </w:r>
          </w:p>
        </w:tc>
        <w:tc>
          <w:tcPr>
            <w:tcW w:w="2189" w:type="dxa"/>
          </w:tcPr>
          <w:p w14:paraId="1969CB36" w14:textId="408C8227" w:rsidR="00A37DFE" w:rsidRPr="004F79C9" w:rsidRDefault="004F79C9" w:rsidP="004F79C9">
            <w:pPr>
              <w:spacing w:line="276" w:lineRule="auto"/>
              <w:jc w:val="center"/>
              <w:rPr>
                <w:rFonts w:asciiTheme="majorHAnsi" w:hAnsiTheme="majorHAnsi" w:cstheme="majorHAnsi"/>
                <w:b/>
                <w:bCs/>
                <w:sz w:val="18"/>
                <w:szCs w:val="18"/>
              </w:rPr>
            </w:pPr>
            <w:r>
              <w:rPr>
                <w:rFonts w:asciiTheme="majorHAnsi" w:hAnsiTheme="majorHAnsi" w:cstheme="majorHAnsi"/>
                <w:b/>
                <w:bCs/>
                <w:sz w:val="18"/>
                <w:szCs w:val="18"/>
              </w:rPr>
              <w:t>None</w:t>
            </w:r>
          </w:p>
        </w:tc>
      </w:tr>
      <w:tr w:rsidR="00A37DFE" w:rsidRPr="00DD537D" w14:paraId="30FD51A3" w14:textId="77777777" w:rsidTr="00DC7DDC">
        <w:tc>
          <w:tcPr>
            <w:tcW w:w="625" w:type="dxa"/>
          </w:tcPr>
          <w:p w14:paraId="6AF94ACE" w14:textId="42E01203" w:rsidR="00A37DF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1.2</w:t>
            </w:r>
          </w:p>
        </w:tc>
        <w:tc>
          <w:tcPr>
            <w:tcW w:w="5670" w:type="dxa"/>
          </w:tcPr>
          <w:p w14:paraId="43A2C546" w14:textId="77777777" w:rsidR="00A37DFE" w:rsidRPr="009F4FCE" w:rsidRDefault="00A37DF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bank or merchant bank (hereafter collectively referred to as “Bank”) that has entered into or is planning to enter into, an arrangement for </w:t>
            </w:r>
            <w:r>
              <w:rPr>
                <w:rFonts w:asciiTheme="majorHAnsi" w:hAnsiTheme="majorHAnsi" w:cstheme="majorHAnsi"/>
                <w:sz w:val="18"/>
                <w:szCs w:val="18"/>
                <w:highlight w:val="yellow"/>
              </w:rPr>
              <w:t>ongoing outsourced relevant services</w:t>
            </w:r>
            <w:r>
              <w:rPr>
                <w:rFonts w:asciiTheme="majorHAnsi" w:hAnsiTheme="majorHAnsi" w:cstheme="majorHAnsi"/>
                <w:sz w:val="18"/>
                <w:szCs w:val="18"/>
              </w:rPr>
              <w:t xml:space="preserve"> (“outsourcing arrangement”)</w:t>
            </w:r>
            <w:r>
              <w:rPr>
                <w:rFonts w:asciiTheme="majorHAnsi" w:hAnsiTheme="majorHAnsi" w:cstheme="majorHAnsi"/>
                <w:sz w:val="18"/>
                <w:szCs w:val="18"/>
                <w:vertAlign w:val="superscript"/>
              </w:rPr>
              <w:t>1</w:t>
            </w:r>
            <w:r>
              <w:rPr>
                <w:rFonts w:asciiTheme="majorHAnsi" w:hAnsiTheme="majorHAnsi" w:cstheme="majorHAnsi"/>
                <w:sz w:val="18"/>
                <w:szCs w:val="18"/>
              </w:rPr>
              <w:t xml:space="preserve">, with the exception of exempted Outsourced Relevant Services in </w:t>
            </w:r>
            <w:r>
              <w:rPr>
                <w:rFonts w:asciiTheme="majorHAnsi" w:hAnsiTheme="majorHAnsi" w:cstheme="majorHAnsi"/>
                <w:sz w:val="18"/>
                <w:szCs w:val="18"/>
                <w:highlight w:val="yellow"/>
              </w:rPr>
              <w:t>Annex D of MAS Notices 658 and 1121</w:t>
            </w:r>
            <w:r>
              <w:rPr>
                <w:rFonts w:asciiTheme="majorHAnsi" w:hAnsiTheme="majorHAnsi" w:cstheme="majorHAnsi"/>
                <w:sz w:val="18"/>
                <w:szCs w:val="18"/>
              </w:rPr>
              <w:t xml:space="preserve"> (“Notices”). A Bank should conduct a self-assessment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9943DEE" w14:textId="77777777" w:rsidR="009F4FCE" w:rsidRPr="009F4FCE" w:rsidRDefault="009F4FCE" w:rsidP="00A37DFE">
            <w:pPr>
              <w:tabs>
                <w:tab w:val="left" w:pos="360"/>
              </w:tabs>
              <w:spacing w:line="276" w:lineRule="auto"/>
              <w:rPr>
                <w:rFonts w:asciiTheme="majorHAnsi" w:hAnsiTheme="majorHAnsi" w:cstheme="majorHAnsi"/>
                <w:sz w:val="18"/>
                <w:szCs w:val="18"/>
              </w:rPr>
            </w:pPr>
          </w:p>
          <w:p w14:paraId="48FA5831" w14:textId="77777777" w:rsidR="009F4FCE" w:rsidRPr="009F4FCE" w:rsidRDefault="009F4FCE" w:rsidP="009F4FCE">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w:t>
            </w:r>
            <w:r>
              <w:rPr>
                <w:rFonts w:asciiTheme="majorHAnsi" w:hAnsiTheme="majorHAnsi" w:cstheme="majorHAnsi"/>
                <w:sz w:val="16"/>
                <w:szCs w:val="16"/>
              </w:rPr>
              <w:t xml:space="preserve"> – Includes both material and non-material ongoing outsourcing arrangements.</w:t>
            </w:r>
          </w:p>
          <w:p w14:paraId="78B7BDBD" w14:textId="34BC5E48" w:rsidR="009F4FCE" w:rsidRPr="009F4FCE" w:rsidRDefault="009F4FCE" w:rsidP="009F4FCE">
            <w:pPr>
              <w:pStyle w:val="BodyText"/>
              <w:rPr>
                <w:rFonts w:asciiTheme="majorHAnsi" w:hAnsiTheme="majorHAnsi" w:cstheme="majorHAnsi"/>
                <w:sz w:val="18"/>
                <w:szCs w:val="18"/>
                <w:lang w:val="en-US"/>
              </w:rPr>
            </w:pPr>
            <w:r>
              <w:rPr>
                <w:rFonts w:asciiTheme="majorHAnsi" w:hAnsiTheme="majorHAnsi" w:cstheme="majorHAnsi"/>
                <w:sz w:val="16"/>
                <w:szCs w:val="16"/>
                <w:vertAlign w:val="superscript"/>
              </w:rPr>
              <w:t xml:space="preserve">2</w:t>
            </w:r>
            <w:r>
              <w:rPr>
                <w:rFonts w:asciiTheme="majorHAnsi" w:hAnsiTheme="majorHAnsi" w:cstheme="majorHAnsi"/>
                <w:sz w:val="16"/>
                <w:szCs w:val="16"/>
              </w:rPr>
              <w:t xml:space="preserve"> – This includes Banks which are bound by outsourcing arrangements as a result of an acquisition of the business of another institution.</w:t>
            </w:r>
          </w:p>
        </w:tc>
        <w:tc>
          <w:tcPr>
            <w:tcW w:w="5731" w:type="dxa"/>
          </w:tcPr>
          <w:p w14:paraId="20B173F6" w14:textId="7FDA7BFF"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[1.2] </w:t>
            </w:r>
            <w:r>
              <w:rPr>
                <w:rFonts w:asciiTheme="majorHAnsi" w:hAnsiTheme="majorHAnsi" w:cstheme="majorHAnsi"/>
                <w:sz w:val="18"/>
                <w:szCs w:val="18"/>
              </w:rPr>
              <w:t xml:space="preserve">These Guidelines on Outsourcing (“Guidelines”) set out the Monetary Authority of Singapore’s (MAS) expectations of a financial institution (other than a bank or merchant bank) that has entered into any </w:t>
            </w:r>
            <w:r>
              <w:rPr>
                <w:rFonts w:asciiTheme="majorHAnsi" w:hAnsiTheme="majorHAnsi" w:cstheme="majorHAnsi"/>
                <w:sz w:val="18"/>
                <w:szCs w:val="18"/>
                <w:highlight w:val="yellow"/>
              </w:rPr>
              <w:t>outsourcing arrangement or is planning to outsource its business activities</w:t>
            </w:r>
            <w:r>
              <w:rPr>
                <w:rFonts w:asciiTheme="majorHAnsi" w:hAnsiTheme="majorHAnsi" w:cstheme="majorHAnsi"/>
                <w:sz w:val="18"/>
                <w:szCs w:val="18"/>
                <w:highlight w:val="yellow"/>
                <w:vertAlign w:val="superscript"/>
              </w:rPr>
              <w:t>1</w:t>
            </w:r>
            <w:r>
              <w:rPr>
                <w:rFonts w:asciiTheme="majorHAnsi" w:hAnsiTheme="majorHAnsi" w:cstheme="majorHAnsi"/>
                <w:sz w:val="18"/>
                <w:szCs w:val="18"/>
              </w:rPr>
              <w:t xml:space="preserve"> to a service provider, with the exception of exempted outsourced services in </w:t>
            </w:r>
            <w:r>
              <w:rPr>
                <w:rFonts w:asciiTheme="majorHAnsi" w:hAnsiTheme="majorHAnsi" w:cstheme="majorHAnsi"/>
                <w:sz w:val="18"/>
                <w:szCs w:val="18"/>
                <w:highlight w:val="yellow"/>
              </w:rPr>
              <w:t>Annex 1</w:t>
            </w:r>
            <w:r>
              <w:rPr>
                <w:rFonts w:asciiTheme="majorHAnsi" w:hAnsiTheme="majorHAnsi" w:cstheme="majorHAnsi"/>
                <w:sz w:val="18"/>
                <w:szCs w:val="18"/>
              </w:rPr>
              <w:t>. An institution should conduct a self- 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5D27DEA" w14:textId="3390CED0" w:rsidR="004F79C9" w:rsidRPr="009F4FCE" w:rsidRDefault="009F4FCE" w:rsidP="00A37DFE">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w:t>
            </w:r>
            <w:r>
              <w:rPr>
                <w:rFonts w:asciiTheme="majorHAnsi" w:hAnsiTheme="majorHAnsi" w:cstheme="majorHAnsi"/>
                <w:sz w:val="16"/>
                <w:szCs w:val="16"/>
              </w:rPr>
              <w:t xml:space="preserve"> – Any reference in these Guidelines to “business activities” of an institution is to be construed as a reference to the business and operational functions and processes of the institution.</w:t>
            </w:r>
          </w:p>
          <w:p w14:paraId="3BF6F412" w14:textId="61E7EE33" w:rsidR="009F4FCE" w:rsidRPr="009F4FCE" w:rsidRDefault="009F4FCE" w:rsidP="00A37DFE">
            <w:pPr>
              <w:pStyle w:val="BodyText"/>
              <w:rPr>
                <w:rFonts w:asciiTheme="majorHAnsi" w:hAnsiTheme="majorHAnsi" w:cstheme="majorHAnsi"/>
                <w:sz w:val="18"/>
                <w:szCs w:val="18"/>
              </w:rPr>
            </w:pPr>
            <w:r>
              <w:rPr>
                <w:rFonts w:asciiTheme="majorHAnsi" w:hAnsiTheme="majorHAnsi" w:cstheme="majorHAnsi"/>
                <w:sz w:val="16"/>
                <w:szCs w:val="16"/>
                <w:vertAlign w:val="superscript"/>
              </w:rPr>
              <w:t xml:space="preserve">2</w:t>
            </w:r>
            <w:r>
              <w:rPr>
                <w:rFonts w:asciiTheme="majorHAnsi" w:hAnsiTheme="majorHAnsi" w:cstheme="majorHAnsi"/>
                <w:sz w:val="16"/>
                <w:szCs w:val="16"/>
              </w:rPr>
              <w:t xml:space="preserve"> – This includes institutions which are bound by outsourcing arrangements as a result of an acquisition of the business of another institution.</w:t>
            </w:r>
          </w:p>
        </w:tc>
        <w:tc>
          <w:tcPr>
            <w:tcW w:w="2189" w:type="dxa"/>
          </w:tcPr>
          <w:p w14:paraId="0E872C26"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Addressed to different people: banks and FIs.</w:t>
            </w:r>
          </w:p>
          <w:p w14:paraId="7FAA34CE"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Bank Guidelines imports the concept of “ongoing outsourced relevant services” from Notice 658 and 1121; the FI  Guidelines uses “outsourcing arrangement”, as defined within the document itself.</w:t>
            </w:r>
          </w:p>
          <w:p w14:paraId="0BFE2C7C" w14:textId="2D514C5B" w:rsidR="00571E63" w:rsidRP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The exemption lists are found in different places: Annex D of Notices 658 and 1121 from the Bank Guidelines, and Annex 1 from the FI Guidelines.</w:t>
            </w:r>
          </w:p>
        </w:tc>
      </w:tr>
      <w:tr w:rsidR="00A37DFE" w:rsidRPr="00DD537D" w14:paraId="4017719C" w14:textId="77777777" w:rsidTr="00DC7DDC">
        <w:tc>
          <w:tcPr>
            <w:tcW w:w="625" w:type="dxa"/>
          </w:tcPr>
          <w:p w14:paraId="702F119F" w14:textId="2762AD5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1.3</w:t>
            </w:r>
          </w:p>
        </w:tc>
        <w:tc>
          <w:tcPr>
            <w:tcW w:w="5670" w:type="dxa"/>
          </w:tcPr>
          <w:p w14:paraId="58C3FCFE" w14:textId="5C80F3D5" w:rsidR="00A37DFE" w:rsidRP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w="2189" w:type="dxa"/>
          </w:tcPr>
          <w:p w14:paraId="732A7D57" w14:textId="19CC74A9" w:rsidR="00B262CC" w:rsidRPr="00B262CC" w:rsidRDefault="00B262CC" w:rsidP="00B262CC">
            <w:pPr>
              <w:pStyle w:val="ListParagraph"/>
              <w:numPr>
                <w:ilvl w:val="0"/>
                <w:numId w:val="3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1.3 from the Bank Guidelines is found in 2.1 of the FI Guidelines, with the only changes being the relevant institutions (FIs and banks).</w:t>
            </w:r>
          </w:p>
        </w:tc>
      </w:tr>
      <w:tr w:rsidR="00A37DFE" w:rsidRPr="00DD537D" w14:paraId="034FEB83" w14:textId="77777777" w:rsidTr="00DC7DDC">
        <w:tc>
          <w:tcPr>
            <w:tcW w:w="625" w:type="dxa"/>
          </w:tcPr>
          <w:p w14:paraId="5E6E4303" w14:textId="50BD856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t>1.4</w:t>
            </w:r>
          </w:p>
        </w:tc>
        <w:tc>
          <w:tcPr>
            <w:tcW w:w="5670" w:type="dxa"/>
          </w:tcPr>
          <w:p w14:paraId="470DC605" w14:textId="0BDDA13E" w:rsidR="00A37DFE" w:rsidRPr="00A37DF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Theme="majorHAnsi" w:hAnsiTheme="majorHAnsi" w:cstheme="majorHAnsi"/>
                <w:sz w:val="18"/>
                <w:szCs w:val="18"/>
                <w:highlight w:val="yellow"/>
              </w:rPr>
              <w:t>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[2.2]</w:t>
            </w:r>
            <w:r>
              <w:rPr>
                <w:rFonts w:asciiTheme="majorHAnsi" w:hAnsiTheme="majorHAnsi" w:cstheme="majorHAnsi"/>
                <w:sz w:val="18"/>
                <w:szCs w:val="18"/>
              </w:rPr>
              <w:t xml:space="preserve"> Annex 1 provides a list of exempted outsourced services, for which the Guidelines do not apply. Annex 2 provides a non-exhaustive list of examples of outsourcing arrangements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w:t>
            </w:r>
            <w:r>
              <w:rPr>
                <w:rFonts w:asciiTheme="majorHAnsi" w:hAnsiTheme="majorHAnsi" w:cstheme="majorHAnsi"/>
                <w:highlight w:val="yellow"/>
                <w:sz w:val="18"/>
                <w:szCs w:val="18"/>
              </w:rPr>
              <w:t xml:space="preserve">Annex 4 provides a template for an institution to maintain a register of its outsourcing arrangements which is to be submitted to MAS, at least annually or upon request.</w:t>
            </w:r>
            <w:r>
              <w:rPr>
                <w:rFonts w:asciiTheme="majorHAnsi" w:hAnsiTheme="majorHAnsi" w:cstheme="majorHAnsi"/>
                <w:sz w:val="18"/>
                <w:szCs w:val="18"/>
              </w:rPr>
              <w:t xml:space="preserve"> Annex 5 provides guidance on use of cloud services.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Bank Guidelines 1.4 is comparable to FI Guidelines 2.2. The location of exemptions differs: bank and merchant-bank exemptions are in Annex D of the applicable Notice (Notice 658 or Notice 1121); Bank Guideline Annexes 1–3 cover materiality, cloud computing and applicability to categories of relevant services. FI Guideline Annex 1 contains the exemption list; FI Annexes 2–5 concern examples, materiality, the register and cloud computing.</w:t>
            </w:r>
          </w:p>
        </w:tc>
      </w:tr>
      <w:tr w:rsidR="009F4FCE" w:rsidRPr="00DD537D" w14:paraId="28AA0DFF" w14:textId="77777777" w:rsidTr="00DC7DDC">
        <w:tc>
          <w:tcPr>
            <w:tcW w:w="625" w:type="dxa"/>
          </w:tcPr>
          <w:p w14:paraId="352ED0C6" w14:textId="3C4605AC"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1.5</w:t>
            </w:r>
          </w:p>
        </w:tc>
        <w:tc>
          <w:tcPr>
            <w:tcW w:w="5670" w:type="dxa"/>
          </w:tcPr>
          <w:p w14:paraId="03CA6469" w14:textId="77777777" w:rsid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Theme="majorHAnsi" w:hAnsiTheme="majorHAnsi" w:cstheme="majorHAnsi"/>
                <w:sz w:val="18"/>
                <w:szCs w:val="18"/>
                <w:vertAlign w:val="superscript"/>
              </w:rPr>
              <w:t>3</w:t>
            </w:r>
            <w:r>
              <w:rPr>
                <w:rFonts w:asciiTheme="majorHAnsi" w:hAnsiTheme="majorHAnsi" w:cstheme="majorHAnsi"/>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14:paraId="2F957217" w14:textId="77777777" w:rsidR="009F4FCE" w:rsidRDefault="009F4FCE" w:rsidP="00A37DFE">
            <w:pPr>
              <w:tabs>
                <w:tab w:val="left" w:pos="360"/>
              </w:tabs>
              <w:spacing w:line="276" w:lineRule="auto"/>
              <w:rPr>
                <w:rFonts w:asciiTheme="majorHAnsi" w:hAnsiTheme="majorHAnsi" w:cstheme="majorHAnsi"/>
                <w:sz w:val="18"/>
                <w:szCs w:val="18"/>
              </w:rPr>
            </w:pPr>
          </w:p>
          <w:p w14:paraId="600C0EF3" w14:textId="33548459" w:rsidR="009F4FCE" w:rsidRPr="009F4FCE" w:rsidRDefault="009F4FCE" w:rsidP="009F4FCE">
            <w:pPr>
              <w:pStyle w:val="BodyText"/>
              <w:rPr>
                <w:rFonts w:asciiTheme="majorHAnsi" w:hAnsiTheme="majorHAnsi" w:cstheme="majorHAnsi"/>
                <w:sz w:val="18"/>
                <w:szCs w:val="18"/>
              </w:rPr>
            </w:pPr>
            <w:r>
              <w:rPr>
                <w:rFonts w:asciiTheme="majorHAnsi" w:hAnsiTheme="majorHAnsi" w:cstheme="majorHAnsi"/>
                <w:sz w:val="16"/>
                <w:szCs w:val="16"/>
                <w:highlight w:val="yellow"/>
                <w:vertAlign w:val="superscript"/>
              </w:rPr>
              <w:t xml:space="preserve">3</w:t>
            </w:r>
            <w:r>
              <w:rPr>
                <w:rFonts w:asciiTheme="majorHAnsi" w:hAnsiTheme="majorHAnsi" w:cstheme="majorHAnsi"/>
                <w:sz w:val="16"/>
                <w:szCs w:val="16"/>
                <w:highlight w:val="yellow"/>
              </w:rPr>
              <w:t xml:space="preserve"> – This includes MAS Information Paper on “Operational Risk Management – Third-Party Arrangements”, which sets out good practices relating to third-party risk management that MAS expects to see in banks.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[2.4]</w:t>
            </w:r>
            <w:r>
              <w:rPr>
                <w:rFonts w:asciiTheme="majorHAnsi" w:hAnsiTheme="majorHAnsi" w:cstheme="majorHAnsi"/>
                <w:sz w:val="18"/>
                <w:szCs w:val="18"/>
              </w:rPr>
              <w:t xml:space="preserve"> 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pursuant to the relevant legislation and subsidiary legislation. The Guidelines do not affect and should not be regarded as a statement of the standard of care owed by institutions to their customers. </w:t>
            </w:r>
            <w:r>
              <w:rPr>
                <w:rFonts w:asciiTheme="majorHAnsi" w:hAnsiTheme="majorHAnsi" w:cstheme="majorHAnsi"/>
                <w:highlight w:val="yellow"/>
                <w:sz w:val="18"/>
                <w:szCs w:val="18"/>
              </w:rPr>
              <w:t xml:space="preserve">[FI 2.4 omits the Bank Guidelines’ footnote 3.]</w:t>
            </w:r>
          </w:p>
        </w:tc>
        <w:tc>
          <w:tcPr>
            <w:tcW w:w="2189" w:type="dxa"/>
          </w:tcPr>
          <w:p w14:paraId="0F577181" w14:textId="67ED1359" w:rsidR="009F4FCE" w:rsidRPr="007D0594" w:rsidRDefault="00441C92" w:rsidP="007D0594">
            <w:pPr>
              <w:pStyle w:val="ListParagraph"/>
              <w:numPr>
                <w:ilvl w:val="0"/>
                <w:numId w:val="34"/>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Found in 2.4 under Application of Guidelines for Outsourcing (FI), worded identically.</w:t>
            </w:r>
          </w:p>
        </w:tc>
      </w:tr>
      <w:tr w:rsidR="009F4FCE" w:rsidRPr="00DD537D" w14:paraId="16AF2192" w14:textId="77777777" w:rsidTr="00DC7DDC">
        <w:tc>
          <w:tcPr>
            <w:tcW w:w="625" w:type="dxa"/>
          </w:tcPr>
          <w:p w14:paraId="4B79FDB7" w14:textId="0460403A"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t>1.6</w:t>
            </w:r>
          </w:p>
        </w:tc>
        <w:tc>
          <w:tcPr>
            <w:tcW w:w="5670" w:type="dxa"/>
          </w:tcPr>
          <w:p w14:paraId="22073E9B" w14:textId="5ABBCEF1" w:rsidR="009F4FCE" w:rsidRPr="009F4FCE" w:rsidRDefault="00571E63"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These Guidelines take effect on 11 December 2024.</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[1.4]</w:t>
            </w:r>
            <w:r>
              <w:rPr>
                <w:rFonts w:asciiTheme="majorHAnsi" w:hAnsiTheme="majorHAnsi" w:cstheme="majorHAnsi"/>
                <w:sz w:val="18"/>
                <w:szCs w:val="18"/>
              </w:rPr>
              <w:t xml:space="preserve"> These Guidelines take effect on 11 December 2024 </w:t>
            </w:r>
            <w:r>
              <w:rPr>
                <w:rFonts w:asciiTheme="majorHAnsi" w:hAnsiTheme="majorHAnsi" w:cstheme="majorHAnsi"/>
                <w:highlight w:val="yellow"/>
                <w:sz w:val="18"/>
                <w:szCs w:val="18"/>
              </w:rPr>
              <w:t xml:space="preserve">and last revised on 24 January 2025.</w:t>
            </w:r>
          </w:p>
        </w:tc>
        <w:tc>
          <w:tcPr>
            <w:tcW w:w="2189" w:type="dxa"/>
          </w:tcPr>
          <w:p w14:paraId="23B29FF4" w14:textId="296E322C" w:rsidR="009F4FCE" w:rsidRPr="007D0594" w:rsidRDefault="007D0594" w:rsidP="007D0594">
            <w:pPr>
              <w:pStyle w:val="ListParagraph"/>
              <w:numPr>
                <w:ilvl w:val="0"/>
                <w:numId w:val="35"/>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1.4 for the FI Guidelines, worded identically.</w:t>
            </w:r>
          </w:p>
        </w:tc>
      </w:tr>
      <w:tr w:rsidR="00B262CC" w:rsidRPr="00DD537D" w14:paraId="0BCCC127" w14:textId="77777777" w:rsidTr="00DC7DDC">
        <w:tc>
          <w:tcPr>
            <w:tcW w:w="625" w:type="dxa"/>
            <w:shd w:val="clear" w:color="auto" w:fill="D9D9D9" w:themeFill="background1" w:themeFillShade="D9"/>
          </w:tcPr>
          <w:p w14:paraId="6AACA063" w14:textId="158A8E70"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w:t>
            </w:r>
          </w:p>
        </w:tc>
        <w:tc>
          <w:tcPr>
            <w:tcW w:w="5670" w:type="dxa"/>
            <w:shd w:val="clear" w:color="auto" w:fill="D9D9D9" w:themeFill="background1" w:themeFillShade="D9"/>
          </w:tcPr>
          <w:p w14:paraId="7B91DE09" w14:textId="76F178F1" w:rsidR="00B262CC" w:rsidRPr="007D0594" w:rsidRDefault="007D0594" w:rsidP="00A37DFE">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Engagement with MAS</w:t>
            </w:r>
          </w:p>
        </w:tc>
        <w:tc>
          <w:tcPr>
            <w:tcW w:w="5731" w:type="dxa"/>
            <w:shd w:val="clear" w:color="auto" w:fill="D9D9D9" w:themeFill="background1" w:themeFillShade="D9"/>
          </w:tcPr>
          <w:p w14:paraId="26000AF0" w14:textId="58C016D7" w:rsidR="00B262CC" w:rsidRPr="000C51EC" w:rsidRDefault="007D0594" w:rsidP="00A37DFE">
            <w:pPr>
              <w:pStyle w:val="BodyText"/>
              <w:rPr>
                <w:rFonts w:asciiTheme="majorHAnsi" w:hAnsiTheme="majorHAnsi" w:cstheme="majorHAnsi"/>
                <w:b/>
                <w:bCs/>
                <w:sz w:val="18"/>
                <w:szCs w:val="18"/>
                <w:highlight w:val="yellow"/>
              </w:rPr>
            </w:pPr>
            <w:r>
              <w:rPr>
                <w:rFonts w:asciiTheme="majorHAnsi" w:hAnsiTheme="majorHAnsi" w:cstheme="majorHAnsi"/>
                <w:b/>
                <w:bCs/>
                <w:sz w:val="18"/>
                <w:szCs w:val="18"/>
                <w:highlight w:val="yellow"/>
              </w:rPr>
              <w:t>Application of Guidelines</w:t>
            </w:r>
          </w:p>
        </w:tc>
        <w:tc>
          <w:tcPr>
            <w:tcW w:w="2189" w:type="dxa"/>
            <w:shd w:val="clear" w:color="auto" w:fill="D9D9D9" w:themeFill="background1" w:themeFillShade="D9"/>
          </w:tcPr>
          <w:p w14:paraId="000836B5" w14:textId="77777777" w:rsidR="00B262CC"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1 of the Bank Guidelines roughly corresponds to Section 2 of the FI Guidelines.</w:t>
            </w:r>
          </w:p>
          <w:p w14:paraId="4420FFBC" w14:textId="77777777" w:rsidR="002B7735" w:rsidRDefault="002B7735" w:rsidP="00A37DFE">
            <w:pPr>
              <w:tabs>
                <w:tab w:val="left" w:pos="360"/>
              </w:tabs>
              <w:spacing w:line="276" w:lineRule="auto"/>
              <w:rPr>
                <w:rFonts w:asciiTheme="majorHAnsi" w:hAnsiTheme="majorHAnsi" w:cstheme="majorHAnsi"/>
                <w:sz w:val="18"/>
                <w:szCs w:val="18"/>
              </w:rPr>
            </w:pPr>
          </w:p>
          <w:p w14:paraId="6AB062D7" w14:textId="182AB8E1" w:rsidR="002B7735" w:rsidRPr="007D0594"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2 of the Bank Guidelines (“Engagement with MAS”) is found in Section 4 of the FI Guidelines.</w:t>
            </w:r>
          </w:p>
        </w:tc>
      </w:tr>
      <w:tr w:rsidR="00B262CC" w:rsidRPr="00DD537D" w14:paraId="71A4D290" w14:textId="77777777" w:rsidTr="00DC7DDC">
        <w:tc>
          <w:tcPr>
            <w:tcW w:w="625" w:type="dxa"/>
          </w:tcPr>
          <w:p w14:paraId="491AAFFD" w14:textId="2BD48839"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2.1</w:t>
            </w:r>
          </w:p>
        </w:tc>
        <w:tc>
          <w:tcPr>
            <w:tcW w:w="5670" w:type="dxa"/>
          </w:tcPr>
          <w:p w14:paraId="1FDE46F1" w14:textId="00380876" w:rsidR="00B262CC"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material ongoing outsourced relevant services (MOORS). MAS may also take non-observance into account in its assessment of the Bank, considering the potential impact of the outsourcing </w:t>
              <w:lastRenderedPageBreak/>
              <w:t>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[4.1.1]</w:t>
            </w:r>
            <w:r>
              <w:rPr>
                <w:rFonts w:asciiTheme="majorHAnsi" w:hAnsiTheme="majorHAnsi" w:cstheme="majorHAnsi"/>
                <w:sz w:val="18"/>
                <w:szCs w:val="18"/>
              </w:rPr>
              <w:t xml:space="preserve"> An institution should be able to demonstrate to MAS its observance of the expectations in these Guidelines. </w:t>
            </w:r>
            <w:r>
              <w:rPr>
                <w:rFonts w:asciiTheme="majorHAnsi" w:hAnsiTheme="majorHAnsi" w:cstheme="majorHAnsi"/>
                <w:highlight w:val="yellow"/>
                <w:sz w:val="18"/>
                <w:szCs w:val="18"/>
              </w:rPr>
              <w:t xml:space="preserve">This should include submission of its outsourcing register in the template set out in Annex 4 at least annually or upon request.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[4.1.2]</w:t>
            </w:r>
            <w:r>
              <w:rPr>
                <w:rFonts w:asciiTheme="majorHAnsi" w:hAnsiTheme="majorHAnsi" w:cstheme="majorHAnsi"/>
                <w:sz w:val="18"/>
                <w:szCs w:val="18"/>
              </w:rPr>
              <w:t xml:space="preserve"> Where MAS is not satisfied with the institution’s observance of the expectations in these Guidelines, MAS may require the institution to take additional measures to address the deficiencies noted, which could include pre-notification of new </w:t>
            </w:r>
            <w:r>
              <w:rPr>
                <w:rFonts w:asciiTheme="majorHAnsi" w:hAnsiTheme="majorHAnsi" w:cstheme="majorHAnsi"/>
                <w:highlight w:val="yellow"/>
                <w:sz w:val="18"/>
                <w:szCs w:val="18"/>
              </w:rPr>
              <w:t xml:space="preserve">material outsourcing arrangements</w:t>
            </w:r>
            <w:r>
              <w:rPr>
                <w:rFonts w:asciiTheme="majorHAnsi" w:hAnsiTheme="majorHAnsi" w:cstheme="majorHAnsi"/>
                <w:sz w:val="18"/>
                <w:szCs w:val="18"/>
              </w:rPr>
              <w:t xml:space="preserve">. MAS may also take non-observance into account in its assessment of the institution, considering the potential impact of </w:t>
            </w:r>
            <w:r>
              <w:rPr>
                <w:rFonts w:asciiTheme="majorHAnsi" w:hAnsiTheme="majorHAnsi" w:cstheme="majorHAnsi"/>
                <w:highlight w:val="yellow"/>
                <w:sz w:val="18"/>
                <w:szCs w:val="18"/>
              </w:rPr>
              <w:t xml:space="preserve">the outsourcing</w:t>
            </w:r>
            <w:r>
              <w:rPr>
                <w:rFonts w:asciiTheme="majorHAnsi" w:hAnsiTheme="majorHAnsi" w:cstheme="majorHAnsi"/>
                <w:sz w:val="18"/>
                <w:szCs w:val="18"/>
              </w:rPr>
              <w:t xml:space="preserve"> on the institution and the financial system, severity of the deficiencies noted, the institution’s track record in internal controls and risk management, and the circumstances of the case. MAS may directly communicate with the home or host regulators of the institution and the institution’s service provider, on their ability and willingness to cooperate with MAS.</w:t>
            </w:r>
          </w:p>
        </w:tc>
        <w:tc>
          <w:tcPr>
            <w:tcW w:w="2189" w:type="dxa"/>
          </w:tcPr>
          <w:p w14:paraId="34089943" w14:textId="3D9D6ABA" w:rsid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2.1 of the Bank Guidelines is found in 4.1.1-4.1.2 for the FI Guidelines, identically worded but split across two provisions.</w:t>
            </w:r>
          </w:p>
          <w:p w14:paraId="16A922B2" w14:textId="4678DA9B" w:rsidR="007D0594" w:rsidRP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2.1 of the FI Guidelines is identical to 1.3 of the Bank Guidelines; both pertain to proportionality in the same way.</w:t>
            </w:r>
          </w:p>
        </w:tc>
      </w:tr>
      <w:tr w:rsidR="007D0594" w:rsidRPr="00DD537D" w14:paraId="20CC7F04" w14:textId="77777777" w:rsidTr="00DC7DDC">
        <w:tc>
          <w:tcPr>
            <w:tcW w:w="625" w:type="dxa"/>
          </w:tcPr>
          <w:p w14:paraId="57D48785" w14:textId="0908FDCD"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2.2</w:t>
            </w:r>
          </w:p>
        </w:tc>
        <w:tc>
          <w:tcPr>
            <w:tcW w:w="5670" w:type="dxa"/>
          </w:tcPr>
          <w:p w14:paraId="0F5FCE97" w14:textId="74185A81" w:rsidR="007D0594"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[4.2.1]</w:t>
            </w:r>
            <w:r>
              <w:rPr>
                <w:rFonts w:asciiTheme="majorHAnsi" w:hAnsiTheme="majorHAnsi" w:cstheme="majorHAnsi"/>
                <w:sz w:val="18"/>
                <w:szCs w:val="18"/>
              </w:rPr>
              <w:t xml:space="preserve"> An institution should notify MAS as soon as possible of any adverse development arising from its outsourcing arrangements that could impact the institution. Such adverse developments include any event that could potentially lead to prolonged service failure or disruption in the outsourcing arrangement, or any breach of security and confidentiality of the institution’s customer information. An institution should also notify MAS of such adverse developments encountered within the institution’s group.</w:t>
            </w:r>
          </w:p>
        </w:tc>
        <w:tc>
          <w:tcPr>
            <w:tcW w:w="2189" w:type="dxa"/>
          </w:tcPr>
          <w:p w14:paraId="3306A3F3" w14:textId="75BC0F3D" w:rsidR="007D0594" w:rsidRPr="007D0594" w:rsidRDefault="007D0594" w:rsidP="007D0594">
            <w:pPr>
              <w:pStyle w:val="ListParagraph"/>
              <w:numPr>
                <w:ilvl w:val="0"/>
                <w:numId w:val="3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2.2 of the Bank Guidelines is found in 4.2.1 for the FI Guidelines.</w:t>
            </w:r>
          </w:p>
        </w:tc>
      </w:tr>
      <w:tr w:rsidR="007D0594" w:rsidRPr="00DD537D" w14:paraId="5661308E" w14:textId="77777777" w:rsidTr="00DC7DDC">
        <w:tc>
          <w:tcPr>
            <w:tcW w:w="625" w:type="dxa"/>
          </w:tcPr>
          <w:p w14:paraId="538AD158" w14:textId="0098C69E"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2.3</w:t>
            </w:r>
          </w:p>
        </w:tc>
        <w:tc>
          <w:tcPr>
            <w:tcW w:w="5670" w:type="dxa"/>
          </w:tcPr>
          <w:p w14:paraId="0F8DEF05" w14:textId="30A257C2" w:rsidR="007D0594" w:rsidRPr="000C51EC" w:rsidRDefault="000C51EC" w:rsidP="00A37DFE">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53174252" w14:textId="6D8C4028" w:rsidR="007D0594" w:rsidRPr="003130A0" w:rsidRDefault="000C51EC"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An institution incorporated in Singapore should also consider the impact of outsourcing arrangements by its branches and any corporation under its control, including those located outside Singapore, on its consolidated operations. 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14:paraId="3E5823C6" w14:textId="0ADB1287" w:rsidR="007D0594" w:rsidRPr="000C51EC" w:rsidRDefault="000C51EC" w:rsidP="000C51EC">
            <w:pPr>
              <w:pStyle w:val="ListParagraph"/>
              <w:numPr>
                <w:ilvl w:val="0"/>
                <w:numId w:val="4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Closest counterpart to 2.3 of FI Guidelines is 3.1.1 and Annex 1 of the Bank Guidelines.</w:t>
            </w:r>
          </w:p>
        </w:tc>
      </w:tr>
      <w:tr w:rsidR="002B7735" w:rsidRPr="00DD537D" w14:paraId="26E631E8" w14:textId="77777777" w:rsidTr="00DC7DDC">
        <w:tc>
          <w:tcPr>
            <w:tcW w:w="625" w:type="dxa"/>
            <w:shd w:val="clear" w:color="auto" w:fill="D9D9D9" w:themeFill="background1" w:themeFillShade="D9"/>
          </w:tcPr>
          <w:p w14:paraId="341E5C64" w14:textId="68CABEBD" w:rsidR="002B7735" w:rsidRDefault="002B7735" w:rsidP="000C51EC">
            <w:pPr>
              <w:pStyle w:val="BodyText"/>
              <w:rPr>
                <w:rFonts w:asciiTheme="majorHAnsi" w:hAnsiTheme="majorHAnsi" w:cstheme="majorHAnsi"/>
                <w:sz w:val="18"/>
                <w:szCs w:val="18"/>
              </w:rPr>
            </w:pPr>
            <w:r>
              <w:rPr>
                <w:rFonts w:asciiTheme="majorHAnsi" w:hAnsiTheme="majorHAnsi" w:cstheme="majorHAnsi"/>
                <w:sz w:val="18"/>
                <w:szCs w:val="18"/>
              </w:rPr>
              <w:t>3.</w:t>
            </w:r>
          </w:p>
        </w:tc>
        <w:tc>
          <w:tcPr>
            <w:tcW w:w="5670" w:type="dxa"/>
            <w:shd w:val="clear" w:color="auto" w:fill="D9D9D9" w:themeFill="background1" w:themeFillShade="D9"/>
          </w:tcPr>
          <w:p w14:paraId="0BCB495D" w14:textId="136CFEFA" w:rsidR="002B7735" w:rsidRPr="002B7735" w:rsidRDefault="002B7735" w:rsidP="000C51EC">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Risk Management Practices</w:t>
            </w:r>
          </w:p>
        </w:tc>
        <w:tc>
          <w:tcPr>
            <w:tcW w:w="5731" w:type="dxa"/>
            <w:shd w:val="clear" w:color="auto" w:fill="D9D9D9" w:themeFill="background1" w:themeFillShade="D9"/>
          </w:tcPr>
          <w:p w14:paraId="10CA30E1" w14:textId="4D0DC097" w:rsidR="002B7735" w:rsidRPr="002B7735" w:rsidRDefault="002B7735" w:rsidP="000C51EC">
            <w:pPr>
              <w:tabs>
                <w:tab w:val="left" w:pos="360"/>
              </w:tabs>
              <w:spacing w:line="276" w:lineRule="auto"/>
              <w:rPr>
                <w:rFonts w:asciiTheme="majorHAnsi" w:hAnsiTheme="majorHAnsi" w:cstheme="majorHAnsi"/>
                <w:sz w:val="18"/>
                <w:szCs w:val="18"/>
              </w:rPr>
            </w:pPr>
            <w:r>
              <w:rPr>
                <w:rFonts w:asciiTheme="majorHAnsi" w:hAnsiTheme="majorHAnsi" w:cstheme="majorHAnsi"/>
                <w:b/>
                <w:bCs/>
                <w:sz w:val="18"/>
                <w:szCs w:val="18"/>
                <w:highlight w:val="yellow"/>
              </w:rPr>
              <w:t>Definitions</w:t>
            </w:r>
          </w:p>
        </w:tc>
        <w:tc>
          <w:tcPr>
            <w:tcW w:w="2189" w:type="dxa"/>
            <w:shd w:val="clear" w:color="auto" w:fill="D9D9D9" w:themeFill="background1" w:themeFillShade="D9"/>
          </w:tcPr>
          <w:p w14:paraId="37C1F524" w14:textId="6646BBC4" w:rsidR="002B7735" w:rsidRPr="002B7735" w:rsidRDefault="002B7735" w:rsidP="002B7735">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There is no comparable Definitions section in the Bank Guidelines. The “Risk Management Practices” section is found in section 5 of the FI Guidelines instead.</w:t>
            </w:r>
          </w:p>
          <w:p>
            <w:pPr>
              <w:pStyle w:val="BodyText"/>
              <w:rPr>
                <w:rFonts w:asciiTheme="majorHAnsi" w:hAnsiTheme="majorHAnsi" w:cstheme="majorHAnsi"/>
                <w:sz w:val="18"/>
                <w:szCs w:val="18"/>
              </w:rPr>
            </w:pPr>
            <w:r>
              <w:rPr>
                <w:rFonts w:asciiTheme="majorHAnsi" w:hAnsiTheme="majorHAnsi" w:cstheme="majorHAnsi"/>
                <w:sz w:val="18"/>
                <w:szCs w:val="18"/>
              </w:rPr>
              <w:t xml:space="preserve">Note also 5.1.1 of the FI Guidelines (Overview), which has no Bank counterpart: in supervising an institution, MAS will review its implementation of these Guidelines, the quality of its board and senior management oversight and governance, internal controls and risk management.</w:t>
            </w:r>
          </w:p>
        </w:tc>
      </w:tr>
      <w:tr w:rsidR="008A5CCF" w:rsidRPr="00DD537D" w14:paraId="3349B585" w14:textId="77777777" w:rsidTr="00DC7DDC">
        <w:tc>
          <w:tcPr>
            <w:tcW w:w="625" w:type="dxa"/>
          </w:tcPr>
          <w:p w14:paraId="317CD60F" w14:textId="1A2E0F0E"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w:t>
            </w:r>
          </w:p>
        </w:tc>
        <w:tc>
          <w:tcPr>
            <w:tcW w:w="5670" w:type="dxa"/>
          </w:tcPr>
          <w:p w14:paraId="1D2CD950" w14:textId="4C584719" w:rsidR="008A5CCF" w:rsidRPr="000C51EC" w:rsidRDefault="008A5CCF"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Responsibilities of the Board and Senior Management</w:t>
            </w:r>
          </w:p>
        </w:tc>
        <w:tc>
          <w:tcPr>
            <w:tcW w:w="5731" w:type="dxa"/>
            <w:vMerge w:val="restart"/>
          </w:tcPr>
          <w:p w14:paraId="15B5EBC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In these Guidelines on Outsourcing, unless the context otherwise requires: “benchmark administrator” means a benchmark administrator authorised under section 123F of the Securities and Futures Act 2001 (SFA) or a benchmark administrator exempt under section 123K of the SFA;</w:t>
            </w:r>
          </w:p>
          <w:p w14:paraId="2275E36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p>
          <w:p w14:paraId="3851A7F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“board” or “board of directors” means –</w:t>
            </w:r>
          </w:p>
          <w:p w14:paraId="163EFD31" w14:textId="0FCC6652"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 xml:space="preserve">(a) in the case of an institution incorporated in Singapore, the board of directors; and</w:t>
            </w:r>
          </w:p>
          <w:p w14:paraId="59FCE971" w14:textId="44CD72A0"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highlight w:val="yellow"/>
              </w:rPr>
              <w:t xml:space="preserve">(b) in the case of an institution incorporated or established outside Singapore, a management committee or body beyond local management charged with oversight and supervision responsibilities for the institution in Singapore;</w:t>
            </w:r>
          </w:p>
          <w:p w14:paraId="64E98F7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“bridge-institution” means an institution, whether incorporated in Singapore or outside Singapore, to temporarily take over and maintain certain assets, liabilities and operations of a distressed financial institution, as part of a resolution Authority’s exercise of a resolution power;</w:t>
            </w:r>
          </w:p>
          <w:p w14:paraId="3F87855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“business relations” –</w:t>
            </w:r>
          </w:p>
          <w:p w14:paraId="1899470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in relation to an insurer, means</w:t>
            </w:r>
          </w:p>
          <w:p w14:paraId="1E083AE3"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issuance of a policy or reinsurance cover by the insurer to; or</w:t>
            </w:r>
          </w:p>
          <w:p w14:paraId="1218036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insurer to,</w:t>
            </w:r>
          </w:p>
          <w:p w14:paraId="657F41D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5DABEA37"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(b) in relation to a CMI, means</w:t>
            </w:r>
          </w:p>
          <w:p w14:paraId="2837FA94" w14:textId="1D21A8C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CMI in the name of; or</w:t>
            </w:r>
          </w:p>
          <w:p w14:paraId="3607710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CMI to; or</w:t>
            </w:r>
          </w:p>
          <w:p w14:paraId="5BF96212"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(iii) the provision of fund management services by the CMI to,</w:t>
            </w:r>
          </w:p>
          <w:p w14:paraId="37C26B0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79828681" w14:textId="77777777" w:rsidR="008A5CCF" w:rsidRDefault="008A5CCF" w:rsidP="000C51EC">
            <w:pPr>
              <w:tabs>
                <w:tab w:val="left" w:pos="360"/>
              </w:tabs>
              <w:spacing w:line="276" w:lineRule="auto"/>
              <w:rPr>
                <w:rFonts w:asciiTheme="majorHAnsi" w:hAnsiTheme="majorHAnsi" w:cstheme="majorHAnsi"/>
                <w:sz w:val="18"/>
                <w:szCs w:val="18"/>
              </w:rPr>
            </w:pPr>
          </w:p>
          <w:p w14:paraId="6B814FF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in relation to a financial adviser, means</w:t>
            </w:r>
          </w:p>
          <w:p w14:paraId="68DA57B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financial adviser in the name of; or</w:t>
            </w:r>
          </w:p>
          <w:p w14:paraId="505C77F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financial adviser to,</w:t>
            </w:r>
          </w:p>
          <w:p w14:paraId="2822F78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3892AF48" w14:textId="77777777" w:rsidR="008A5CCF" w:rsidRDefault="008A5CCF" w:rsidP="000C51EC">
            <w:pPr>
              <w:tabs>
                <w:tab w:val="left" w:pos="360"/>
              </w:tabs>
              <w:spacing w:line="276" w:lineRule="auto"/>
              <w:rPr>
                <w:rFonts w:asciiTheme="majorHAnsi" w:hAnsiTheme="majorHAnsi" w:cstheme="majorHAnsi"/>
                <w:sz w:val="18"/>
                <w:szCs w:val="18"/>
              </w:rPr>
            </w:pPr>
          </w:p>
          <w:p w14:paraId="5C99A010" w14:textId="5048AC61" w:rsidR="008A5CCF" w:rsidRPr="000C51EC"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in relation to a credit card or charge card licensee licensed under section 57B of the Banking Act 1970, means the opening or maintenance of an account by the credit card or charge card licensee in the name of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(e) in relation to a benchmark administrator, means (i) the collection of information from a person (whether a natural person, legal person or legal arrangement) by the benchmark administrator for the purpose of administering a designated benchmark under the SFA; or (ii) the provision of a designated benchmark by the benchmark administrator to,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“CMI” means a person holding a capital markets services licence under the SFA, a fund management company registered under paragraph 5(1)(i) of the Second Schedule to the Securities and Futures (Licensing and Conduct of Business) Regulations (SF(LCB)R) or a person exempted from the requirement to hold such a licence under paragraph 7(1)(b) of the Second Schedule to the SF(LCB)R;</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means – (a) in relation to any trustee for a collective investment scheme authorised under section 286 of the SFA, that is approved under that Act, the managers and participants of the collective investment scheme; (b) in relation to an approved exchange, recognised market operator, licensed trade repository, licensed foreign trade repository, approved clearing house, recognised clearing house, and central depository system under the SFA, a person who may participate in one or more of the services provided by such entities; (c) in relation to a licensed trust company under the Trust Companies Act 2005, a trust for which the trust company provides trust business services and includes the settlor and any beneficiary under the trust; (d) in relation to an insurer, means a person (whether a natural person, legal person or legal arrangement) with whom the insurer establishes or intends to establish business relations, including, in the case of a group policy, the owner of the master policy issued or intended to be issued; (e) in relation to an insurance intermediary, means a person (whether a natural person, legal person or a legal arrangement) with whom the insurance intermediary arranges or intends to arrange for such persons, contracts of insurance in Singapore with one or more insurers; (f) in relation to a financial adviser, means a person (whether a natural person, legal person or a legal arrangement) with whom the financial adviser establishes or intends to establish business relations and includes in the case where the financial adviser arranges a group life insurance policy, the owner of the master policy; (g) in relation to a CMI, means a person (whether a natural person, legal person or a legal arrangement) – (i) with whom the CMI establishes or intends to establish business relations; (ii) for whom the CMI undertakes or intends to undertake any transaction without an account being opened; or (iii) who invests into an investment vehicle to which the CMI provides the regulated activities of fund management and real estate investment trust management; (h) in relation to a credit card or charge card licensee licensed under section 57B of the Banking Act 1970, means a person (whether a natural person, legal person or legal arrangement) with whom the credit card or charge card licensee establishes or intends to establish business relations; (i) in relation to money-changers and remittance businesses, means a person (whether a natural, legal person or legal arrangement) – (i) with whom the licensee establishes or intends to establish an account relationship; or (ii) for whom the licensee undertakes or intends to undertake a relevant business transaction without an account being opened, including in the case of an inward remittance transaction, the person to whom the licensee pays out funds in cash or cash equivalent in Singapore and the person on behalf of whom such funds are paid out in Singapore; (j) in relation to a benchmark administrator, means a person (whether a natural, legal person or legal arrangement) – (i) who provides information to the benchmark administrator in relation to a designated benchmark; or (ii) with whom the benchmark administrator establishes or intends to establish business relations;</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information” means – (a) in relation to an approved exchange, recognised market operator, approved clearing house and recognised clearing house, “user information” as defined in section 2 of the SFA; (b) in relation to a licensed trade repository and licensed foreign trade repository, “user information” and “transaction information” as defined in section 2 of the SFA; or (c) in the case of any other institution, information that relates to its customers and these include customers’ accounts, particulars, transaction details and dealings with the financial institutions, but does not include any information that is public, anonymised, or encrypted in a secure manner such that the identities of the customers cannot be readily inferred;</w:t>
            </w:r>
          </w:p>
          <w:p>
            <w:pPr>
              <w:pStyle w:val="BodyText"/>
              <w:rPr>
                <w:rFonts w:asciiTheme="majorHAnsi" w:hAnsiTheme="majorHAnsi" w:cstheme="majorHAnsi"/>
                <w:sz w:val="18"/>
                <w:szCs w:val="18"/>
              </w:rPr>
            </w:pPr>
            <w:r>
              <w:rPr>
                <w:rFonts w:asciiTheme="majorHAnsi" w:hAnsiTheme="majorHAnsi" w:cstheme="majorHAnsi"/>
                <w:sz w:val="18"/>
                <w:szCs w:val="18"/>
              </w:rPr>
              <w:t xml:space="preserve">“financial adviser” means a licensed financial adviser under the Financial Advisers Act 2001 (FAA) or a person exempt, under section 20(1)(g) of the FAA read with regulation 27(1)(d) of the Financial Advisers Regulations, from holding a financial adviser’s licence to act as a financial adviser in Singapore in respect of any financial advisory service; [Amended on 24 January 2025]</w:t>
            </w:r>
          </w:p>
          <w:p>
            <w:pPr>
              <w:pStyle w:val="BodyText"/>
              <w:rPr>
                <w:rFonts w:asciiTheme="majorHAnsi" w:hAnsiTheme="majorHAnsi" w:cstheme="majorHAnsi"/>
                <w:sz w:val="18"/>
                <w:szCs w:val="18"/>
              </w:rPr>
            </w:pPr>
            <w:r>
              <w:rPr>
                <w:rFonts w:asciiTheme="majorHAnsi" w:hAnsiTheme="majorHAnsi" w:cstheme="majorHAnsi"/>
                <w:sz w:val="18"/>
                <w:szCs w:val="18"/>
              </w:rPr>
              <w:t xml:space="preserve">“institution” means any financial institution as defined in Section 2 of the Financial Services and Markets Act 2022 other than a bank licensed under the Banking Act 1970 or a merchant bank licensed under the Banking Act 1970;</w:t>
            </w:r>
          </w:p>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 means an outsourcing arrangement – (a) which, in the event of a service failure or security breach, has the potential to either materially impact an institution’s– (i) business operations, reputation or profitability; or (ii) ability to manage risk and comply with applicable laws and regulations, or (b) which involves customer information and, in the event of any unauthorised access or disclosure, loss or theft of customer information, may have a material impact on an institution’s customers;</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arrangement” means a trust or other similar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person” means an entity other than a natural person that can establish a permanent customer relationship with a financial institution or otherwise own property;</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agreement” means a written agreement setting out the contractual terms and conditions governing relationships, obligations, responsibilities, rights and expectations of the contracting parties in an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arrangement” means an arrangement in which a service provider provides the institution with a service that may currently or potentially be performed by the institution itself and which includes the following characteristics – (a) the institution is dependent on the service on an ongoing basis; and (b) the service is integral to the provision of a financial service by the institution or the service is provided to the market by the service provider in the name of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“relevant business transaction” – (a) in relation to a holder of a money-changer’s licence means – (i) a money-changing transaction of an aggregate value not less than S$5,000; or (ii) an inward remittance transaction from another country or jurisdiction to Singapore; or (b) in relation to a holder of a remittance license means, a remittance transaction whether from Singapore to another country or jurisdiction or from another country or jurisdiction to Singapore;</w:t>
            </w:r>
          </w:p>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means any party which provides a service to the institution, including any entity within the institution’s group4, whether it is located in Singapore or elsewhere;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4</w:t>
            </w:r>
            <w:r>
              <w:rPr>
                <w:rFonts w:asciiTheme="majorHAnsi" w:hAnsiTheme="majorHAnsi" w:cstheme="majorHAnsi"/>
                <w:sz w:val="16"/>
                <w:szCs w:val="16"/>
              </w:rPr>
              <w:t xml:space="preserve"> – This refers to the institution’s Head Office or parent institution, subsidiaries, affiliates, and any entity (including their subsidiaries, affiliates and special purpose entities) that the institution exerts control over or that exerts control over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“sub-contracting” means an arrangement where a service provider which has an outsourcing arrangement with an institution, further outsources the services or part of the services covered under the outsourcing arrangement to another service provider.</w:t>
            </w:r>
          </w:p>
        </w:tc>
        <w:tc>
          <w:tcPr>
            <w:tcW w:w="2189" w:type="dxa"/>
            <w:vMerge w:val="restart"/>
          </w:tcPr>
          <w:p w14:paraId="30391481" w14:textId="77777777" w:rsidR="008A5CCF"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3.1.1 of the Bank Guidelines corresponds to 5.2.1 of the FI Guidelines.</w:t>
            </w:r>
          </w:p>
          <w:p w14:paraId="662B16D2" w14:textId="77777777" w:rsidR="008A5CCF" w:rsidRDefault="008A5CCF" w:rsidP="004F6066">
            <w:pPr>
              <w:tabs>
                <w:tab w:val="left" w:pos="360"/>
              </w:tabs>
              <w:spacing w:line="276" w:lineRule="auto"/>
              <w:rPr>
                <w:rFonts w:asciiTheme="majorHAnsi" w:hAnsiTheme="majorHAnsi" w:cstheme="majorHAnsi"/>
                <w:sz w:val="18"/>
                <w:szCs w:val="18"/>
              </w:rPr>
            </w:pPr>
          </w:p>
          <w:p w14:paraId="0C9E6307" w14:textId="4C1F4BA3" w:rsidR="008A5CCF" w:rsidRPr="004F6066"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Definitions section of the FI Guidelines has no counterpart in the Bank Guidelines; the Bank Guidelines rely on the definitions in Notices 658 and 1121 instead (see 1.4 of the Bank Guidelines).</w:t>
            </w:r>
          </w:p>
        </w:tc>
      </w:tr>
      <w:tr w:rsidR="008A5CCF" w:rsidRPr="00DD537D" w14:paraId="6371BAE7" w14:textId="77777777" w:rsidTr="00DC7DDC">
        <w:tc>
          <w:tcPr>
            <w:tcW w:w="625" w:type="dxa"/>
          </w:tcPr>
          <w:p w14:paraId="7D6AD680" w14:textId="55674CC7"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3.1.1</w:t>
            </w:r>
          </w:p>
        </w:tc>
        <w:tc>
          <w:tcPr>
            <w:tcW w:w="5670" w:type="dxa"/>
          </w:tcPr>
          <w:p w14:paraId="06B3F4CC" w14:textId="23577C38" w:rsidR="008A5CCF" w:rsidRPr="003130A0"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w="5731" w:type="dxa"/>
            <w:vMerge/>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[5.2.1]</w:t>
            </w:r>
            <w:r>
              <w:rPr>
                <w:rFonts w:asciiTheme="majorHAnsi" w:hAnsiTheme="majorHAnsi" w:cstheme="majorHAnsi"/>
                <w:sz w:val="18"/>
                <w:szCs w:val="18"/>
              </w:rPr>
              <w:t xml:space="preserve"> The board and senior management of an institution play pivotal roles in ensuring a sound risk management culture and environment. While an institution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institution, its board and senior management. The board and senior management of an institution should ensure there are adequate processes to provide a comprehensive institution-wide view of the institution’s risk exposures from outsourcing, and incorporate the assessment and mitigation of such risks into the institution’s outsourcing risk management framework.</w:t>
            </w:r>
          </w:p>
        </w:tc>
        <w:tc>
          <w:tcPr>
            <w:tcW w:w="2189" w:type="dxa"/>
            <w:vMerge/>
          </w:tcPr>
          <w:p>
            <w:pPr>
              <w:pStyle w:val="BodyText"/>
              <w:rPr>
                <w:rFonts w:asciiTheme="majorHAnsi" w:hAnsiTheme="majorHAnsi" w:cstheme="majorHAnsi"/>
                <w:sz w:val="18"/>
                <w:szCs w:val="18"/>
              </w:rPr>
            </w:pPr>
            <w:r>
              <w:rPr>
                <w:rFonts w:asciiTheme="majorHAnsi" w:hAnsiTheme="majorHAnsi" w:cstheme="majorHAnsi"/>
                <w:sz w:val="18"/>
                <w:szCs w:val="18"/>
              </w:rPr>
              <w:t xml:space="preserve">3.1.1 of the Bank Guidelines corresponds verbatim to 5.2.1 of the FI Guidelines (“institution-wide” for “bank-wide”).</w:t>
            </w:r>
          </w:p>
        </w:tc>
      </w:tr>
      <w:tr w:rsidR="008A5CCF" w:rsidRPr="00DD537D" w14:paraId="36B14ACE" w14:textId="77777777" w:rsidTr="00DC7DDC">
        <w:tc>
          <w:tcPr>
            <w:tcW w:w="625" w:type="dxa"/>
          </w:tcPr>
          <w:p w14:paraId="38B135BB" w14:textId="0DC8DD9D"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3.1.2</w:t>
            </w:r>
          </w:p>
        </w:tc>
        <w:tc>
          <w:tcPr>
            <w:tcW w:w="5670" w:type="dxa"/>
          </w:tcPr>
          <w:p w14:paraId="742D0792" w14:textId="77777777" w:rsidR="008A5CCF"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board, or a committee delegated by it, is responsible for:</w:t>
            </w:r>
          </w:p>
          <w:p w14:paraId="6AEF62C8" w14:textId="77777777" w:rsidR="008A5CCF" w:rsidRPr="008A5CCF" w:rsidRDefault="008A5CCF" w:rsidP="003130A0">
            <w:pPr>
              <w:pStyle w:val="Level4Number"/>
              <w:rPr>
                <w:sz w:val="18"/>
                <w:szCs w:val="18"/>
              </w:rPr>
            </w:pPr>
            <w:r>
              <w:rPr>
                <w:sz w:val="18"/>
                <w:szCs w:val="18"/>
              </w:rPr>
              <w:t>approving a framework to evaluate the risks and materiality of all existing and prospective outsourcing arrangements and the policies that apply to such arrangements;</w:t>
            </w:r>
          </w:p>
          <w:p w14:paraId="482E9275" w14:textId="77777777" w:rsidR="008A5CCF" w:rsidRPr="008A5CCF" w:rsidRDefault="008A5CCF" w:rsidP="003130A0">
            <w:pPr>
              <w:pStyle w:val="Level4Number"/>
              <w:rPr>
                <w:sz w:val="18"/>
                <w:szCs w:val="18"/>
              </w:rPr>
            </w:pPr>
            <w:r>
              <w:rPr>
                <w:sz w:val="18"/>
                <w:szCs w:val="18"/>
              </w:rPr>
              <w:t xml:space="preserve">setting a suitable risk appetite to define the nature and extent of risks that the Bank is willing and </w:t>
              <w:lastRenderedPageBreak/>
              <w:t>able to assume from its outsourcing arrangements;</w:t>
            </w:r>
          </w:p>
          <w:p w14:paraId="267E6AEC" w14:textId="3F8C59B1" w:rsidR="008A5CCF" w:rsidRPr="008A5CCF" w:rsidRDefault="008A5CCF" w:rsidP="003130A0">
            <w:pPr>
              <w:pStyle w:val="Level4Number"/>
              <w:rPr>
                <w:sz w:val="18"/>
                <w:szCs w:val="18"/>
              </w:rPr>
            </w:pPr>
            <w:r>
              <w:rPr>
                <w:sz w:val="18"/>
                <w:szCs w:val="18"/>
              </w:rPr>
              <w:t>laying down appropriate approval authorities for outsourcing arrangements consistent with its established strategy and risk appetite;</w:t>
            </w:r>
          </w:p>
          <w:p w14:paraId="2226710B" w14:textId="05B4F388" w:rsidR="008A5CCF" w:rsidRPr="008A5CCF" w:rsidRDefault="008A5CCF" w:rsidP="003130A0">
            <w:pPr>
              <w:pStyle w:val="Level4Number"/>
              <w:rPr>
                <w:sz w:val="18"/>
                <w:szCs w:val="18"/>
              </w:rPr>
            </w:pPr>
            <w:r>
              <w:rPr>
                <w:sz w:val="18"/>
                <w:szCs w:val="18"/>
              </w:rPr>
              <w:t xml:space="preserve">assessing management competencies for developing sound and responsive outsourcing risk management policies and procedures that are commensurate with the nature, scope and complexity of the outsourcing arrangements;</w:t>
            </w:r>
          </w:p>
          <w:p w14:paraId="40F865EC" w14:textId="52F46FEC" w:rsidR="008A5CCF" w:rsidRPr="008A5CCF" w:rsidRDefault="008A5CCF" w:rsidP="003130A0">
            <w:pPr>
              <w:pStyle w:val="Level4Number"/>
              <w:rPr>
                <w:sz w:val="18"/>
                <w:szCs w:val="18"/>
              </w:rPr>
            </w:pPr>
            <w:r>
              <w:rPr>
                <w:sz w:val="18"/>
                <w:szCs w:val="18"/>
              </w:rPr>
              <w:t>ensuring that senior management establishes appropriate governance structures and processes for sound and prudent risk management, such as a management body that reviews controls for consistency and alignment with a comprehensive bank-wide view of risk; and</w:t>
            </w:r>
          </w:p>
          <w:p w14:paraId="016720B4" w14:textId="1A3C5D1A" w:rsidR="008A5CCF" w:rsidRPr="008A5CCF" w:rsidRDefault="008A5CCF" w:rsidP="003130A0">
            <w:pPr>
              <w:pStyle w:val="Level4Number"/>
              <w:rPr>
                <w:sz w:val="18"/>
                <w:szCs w:val="18"/>
              </w:rPr>
            </w:pPr>
            <w:r>
              <w:rPr>
                <w:sz w:val="18"/>
                <w:szCs w:val="18"/>
              </w:rPr>
              <w:t>undertaking regular reviews of strategies relating to outsourcing arrangements and outsourcing arrangements for their continued relevance, and safety and soundness.</w:t>
            </w:r>
          </w:p>
        </w:tc>
        <w:tc>
          <w:tcPr>
            <w:tcW w:w="5731" w:type="dxa"/>
            <w:vMerge/>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[5.2.2]</w:t>
            </w:r>
            <w:r>
              <w:rPr>
                <w:rFonts w:asciiTheme="majorHAnsi" w:hAnsiTheme="majorHAnsi" w:cstheme="majorHAnsi"/>
                <w:sz w:val="18"/>
                <w:szCs w:val="18"/>
              </w:rPr>
              <w:t xml:space="preserve"> 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institution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institution-wide view of risk; and (f) undertaking regular reviews of strategies relating to outsourcing and arrangements for their continued relevance, and safety and soundness.</w:t>
            </w:r>
          </w:p>
        </w:tc>
        <w:tc>
          <w:tcPr>
            <w:tcW w:w="2189" w:type="dxa"/>
          </w:tcPr>
          <w:p w14:paraId="76730C71" w14:textId="7DBAE5ED" w:rsidR="008A5CCF"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3.1.2 of the Bank Guidelines corresponds to 5.2.2 of the FI Guidelines.</w:t>
            </w:r>
          </w:p>
        </w:tc>
      </w:tr>
      <w:tr w:rsidR="002B7735" w:rsidRPr="00DD537D" w14:paraId="4D2FFF9E" w14:textId="77777777" w:rsidTr="00DC7DDC">
        <w:tc>
          <w:tcPr>
            <w:tcW w:w="625" w:type="dxa"/>
          </w:tcPr>
          <w:p w14:paraId="08BCEFE0" w14:textId="7C7B248B" w:rsidR="002B7735"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3.1.3</w:t>
            </w:r>
          </w:p>
        </w:tc>
        <w:tc>
          <w:tcPr>
            <w:tcW w:w="5670" w:type="dxa"/>
          </w:tcPr>
          <w:p w14:paraId="266C8B98"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Senior management is responsible for: </w:t>
            </w:r>
          </w:p>
          <w:p w14:paraId="3E666EAE" w14:textId="77777777" w:rsidR="00DC7DDC" w:rsidRDefault="00DC7DDC" w:rsidP="000C51EC">
            <w:pPr>
              <w:tabs>
                <w:tab w:val="left" w:pos="360"/>
              </w:tabs>
              <w:spacing w:line="276" w:lineRule="auto"/>
            </w:pPr>
            <w:r>
              <w:rPr>
                <w:rFonts w:asciiTheme="majorHAnsi" w:hAnsiTheme="majorHAnsi" w:cstheme="majorHAnsi"/>
                <w:sz w:val="18"/>
                <w:szCs w:val="18"/>
              </w:rPr>
              <w:t>(a) evaluating the materiality and risks from all existing and prospective outsourcing arrangements, based on the framework approved by the board;</w:t>
            </w:r>
            <w:r>
              <w:t xml:space="preserve"> </w:t>
            </w:r>
          </w:p>
          <w:p w14:paraId="6FB57360"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developing sound and prudent outsourcing policies and procedures that are commensurate with the nature, scope and complexity of the outsourcing arrangements as well as ensuring that such policies and procedures are implemented effectively; </w:t>
            </w:r>
          </w:p>
          <w:p w14:paraId="79363F7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(c) reviewing regularly the effectiveness of, and appropriately adjusting, policies, standards and procedures to reflect changes in the Bank’s overall risk profile and risk environment; </w:t>
            </w:r>
          </w:p>
          <w:p w14:paraId="70BC5247"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(d) monitoring and maintaining effective control of all risks from its MOORS on a bank-wide basis;</w:t>
            </w:r>
          </w:p>
          <w:p w14:paraId="0EE5D21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ensuring that contingency plans, based on realistic and probable disruptive scenarios, are in place and tested; </w:t>
            </w:r>
          </w:p>
          <w:p w14:paraId="125223B2"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ensuring that there is independent review and audit for compliance with outsourcing policies and procedures; </w:t>
            </w:r>
          </w:p>
          <w:p w14:paraId="534B16A7" w14:textId="21BAB22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(g) ensuring that appropriate and timely remedial actions are taken to address audit findings; (h) and communicating information pertaining to risks arising from its MOORS to the board in a timely manner.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[5.2.3]</w:t>
            </w:r>
            <w:r>
              <w:rPr>
                <w:rFonts w:asciiTheme="majorHAnsi" w:hAnsiTheme="majorHAnsi" w:cstheme="majorHAnsi"/>
                <w:sz w:val="18"/>
                <w:szCs w:val="18"/>
              </w:rPr>
              <w:t xml:space="preserve"> 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institution’s overall risk profile and risk environment; (d) monitoring and maintaining effective control of all risks from its material outsourcing arrangements on an institution-wide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material outsourcing arrangements to the board in a timely manner.</w:t>
            </w:r>
          </w:p>
        </w:tc>
        <w:tc>
          <w:tcPr>
            <w:tcW w:w="2189" w:type="dxa"/>
          </w:tcPr>
          <w:p w14:paraId="55A59AC9" w14:textId="44B7D451"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3.1.3 of the Bank Guidelines corresponds verbatim to 5.2.3 of the FI Guidelines.</w:t>
            </w:r>
          </w:p>
        </w:tc>
      </w:tr>
      <w:tr w:rsidR="002B7735" w:rsidRPr="00DD537D" w14:paraId="29B6C9FE" w14:textId="77777777" w:rsidTr="00DC7DDC">
        <w:tc>
          <w:tcPr>
            <w:tcW w:w="625" w:type="dxa"/>
          </w:tcPr>
          <w:p w14:paraId="0AF1DD3B" w14:textId="462C2A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3.1.4</w:t>
            </w:r>
          </w:p>
        </w:tc>
        <w:tc>
          <w:tcPr>
            <w:tcW w:w="5670" w:type="dxa"/>
          </w:tcPr>
          <w:p w14:paraId="7BC0D4F4" w14:textId="42C3C59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[5.2.4]</w:t>
            </w:r>
            <w:r>
              <w:rPr>
                <w:rFonts w:asciiTheme="majorHAnsi" w:hAnsiTheme="majorHAnsi" w:cstheme="majorHAnsi"/>
                <w:sz w:val="18"/>
                <w:szCs w:val="18"/>
              </w:rPr>
              <w:t xml:space="preserve"> Where the board delegates its responsibility to a committee as described in paragraph 5.2.2,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paragraphs 5.2.3. Notwithstanding the delegation of responsibility to a committee, the board shall remain responsible for the performance of its responsibilities by that committee.</w:t>
            </w:r>
          </w:p>
        </w:tc>
        <w:tc>
          <w:tcPr>
            <w:tcW w:w="2189" w:type="dxa"/>
          </w:tcPr>
          <w:p w14:paraId="0C5EBE4A" w14:textId="12CF9EED"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3.1.4 of the Bank Guidelines corresponds verbatim to 5.2.4 of the FI Guidelines.</w:t>
            </w:r>
          </w:p>
        </w:tc>
      </w:tr>
      <w:tr w:rsidR="002B7735" w:rsidRPr="00DD537D" w14:paraId="2D323348" w14:textId="77777777" w:rsidTr="00DC7DDC">
        <w:tc>
          <w:tcPr>
            <w:tcW w:w="625" w:type="dxa"/>
          </w:tcPr>
          <w:p w14:paraId="646FD616" w14:textId="723DF69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3.1.5</w:t>
            </w:r>
          </w:p>
        </w:tc>
        <w:tc>
          <w:tcPr>
            <w:tcW w:w="5670" w:type="dxa"/>
          </w:tcPr>
          <w:p w14:paraId="3174E867" w14:textId="05AE5AF9"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[5.2.5]</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Theme="majorHAnsi" w:hAnsiTheme="majorHAnsi" w:cstheme="majorHAnsi"/>
                <w:sz w:val="18"/>
                <w:szCs w:val="18"/>
              </w:rPr>
              <w:t xml:space="preserve"> The functions of senior management in paragraph 5.2.3 lie with local management. Local management of an institution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institution in a prudent and professional manner.</w:t>
            </w:r>
          </w:p>
        </w:tc>
        <w:tc>
          <w:tcPr>
            <w:tcW w:w="2189" w:type="dxa"/>
          </w:tcPr>
          <w:p w14:paraId="6281EB71" w14:textId="68475BE9"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3.1.5 of the Bank Guidelines does not address whether foreign-incorporated institutions can delegate board functions beyond local management.</w:t>
            </w:r>
          </w:p>
        </w:tc>
      </w:tr>
      <w:tr w:rsidR="002B7735" w:rsidRPr="00DD537D" w14:paraId="760C76C0" w14:textId="77777777" w:rsidTr="00DC7DDC">
        <w:tc>
          <w:tcPr>
            <w:tcW w:w="625" w:type="dxa"/>
          </w:tcPr>
          <w:p w14:paraId="79E613D7" w14:textId="250AF7A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w:t>
            </w:r>
          </w:p>
        </w:tc>
        <w:tc>
          <w:tcPr>
            <w:tcW w:w="5670" w:type="dxa"/>
          </w:tcPr>
          <w:p w14:paraId="0A941246" w14:textId="43192B2A" w:rsidR="002B7735" w:rsidRPr="004F6066" w:rsidRDefault="004F6066" w:rsidP="000C51EC">
            <w:pPr>
              <w:tabs>
                <w:tab w:val="left" w:pos="360"/>
              </w:tabs>
              <w:spacing w:line="276" w:lineRule="auto"/>
              <w:rPr>
                <w:rFonts w:asciiTheme="majorHAnsi" w:hAnsiTheme="majorHAnsi" w:cstheme="majorHAnsi"/>
                <w:sz w:val="18"/>
                <w:szCs w:val="18"/>
              </w:rPr>
            </w:pPr>
            <w:r>
              <w:rPr>
                <w:rFonts w:asciiTheme="majorHAnsi" w:hAnsiTheme="majorHAnsi" w:cstheme="majorHAnsi"/>
                <w:i/>
                <w:iCs/>
                <w:sz w:val="18"/>
                <w:szCs w:val="18"/>
              </w:rPr>
              <w:t>Evaluation of Risks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[5.3]</w:t>
            </w:r>
            <w:r>
              <w:rPr>
                <w:rFonts w:asciiTheme="majorHAnsi" w:hAnsiTheme="majorHAnsi" w:cstheme="majorHAnsi"/>
                <w:i/>
                <w:iCs/>
                <w:sz w:val="18"/>
                <w:szCs w:val="18"/>
              </w:rPr>
              <w:t xml:space="preserve"> Evaluation of risks</w:t>
            </w:r>
          </w:p>
        </w:tc>
        <w:tc>
          <w:tcPr>
            <w:tcW w:w="2189" w:type="dxa"/>
          </w:tcPr>
          <w:p w14:paraId="72565BCB" w14:textId="0027478B"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5.3 of the FI Guidelines.</w:t>
            </w:r>
          </w:p>
        </w:tc>
      </w:tr>
      <w:tr w:rsidR="002B7735" w:rsidRPr="00DD537D" w14:paraId="48ECC0C8" w14:textId="77777777" w:rsidTr="00DC7DDC">
        <w:tc>
          <w:tcPr>
            <w:tcW w:w="625" w:type="dxa"/>
          </w:tcPr>
          <w:p w14:paraId="57349544" w14:textId="72994DB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3.2.1</w:t>
            </w:r>
          </w:p>
        </w:tc>
        <w:tc>
          <w:tcPr>
            <w:tcW w:w="5670" w:type="dxa"/>
          </w:tcPr>
          <w:p w14:paraId="17206893" w14:textId="77777777" w:rsidR="00DC7DDC" w:rsidRDefault="00DC7DDC" w:rsidP="000C51EC">
            <w:pPr>
              <w:tabs>
                <w:tab w:val="left" w:pos="360"/>
              </w:tabs>
              <w:spacing w:line="276" w:lineRule="auto"/>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w:t>
              <w:lastRenderedPageBreak/>
              <w:t>from outsourcing. The bank should establish a framework for risk evaluation that includes the following steps:</w:t>
            </w:r>
            <w:r>
              <w:t xml:space="preserve"> </w:t>
            </w:r>
          </w:p>
          <w:p w14:paraId="4DC6CAB5"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identifying the role of outsourcing in the overall business strategy and objectives of the Bank; </w:t>
            </w:r>
          </w:p>
          <w:p w14:paraId="4A69B6CE"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performing comprehensive due diligence on the nature, scope and complexity of the outsourcing arrangement to identify and mitigate key risks;</w:t>
            </w:r>
          </w:p>
          <w:p w14:paraId="61905D89"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assessing</w:t>
            </w:r>
            <w:r>
              <w:rPr>
                <w:rFonts w:asciiTheme="majorHAnsi" w:hAnsiTheme="majorHAnsi" w:cstheme="majorHAnsi"/>
                <w:sz w:val="18"/>
                <w:szCs w:val="18"/>
                <w:vertAlign w:val="superscript"/>
              </w:rPr>
              <w:t xml:space="preserve">5 </w:t>
            </w:r>
            <w:r>
              <w:rPr>
                <w:rFonts w:asciiTheme="majorHAnsi" w:hAnsiTheme="majorHAnsi" w:cstheme="majorHAnsi"/>
                <w:sz w:val="18"/>
                <w:szCs w:val="18"/>
              </w:rPr>
              <w:t>the service provider’s ability to employ a high standard of care in performing the outsourced relevant service and meet regulatory standards as expected of the Bank, as if the service is performed by the Bank;</w:t>
            </w:r>
          </w:p>
          <w:p w14:paraId="130EC554"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analysing the impact of the outsourcing arrangement on the overall risk profile of the Bank, and whether there are adequate internal expertise and resources to mitigate the risks identified;</w:t>
            </w:r>
          </w:p>
          <w:p w14:paraId="0A50CC96"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analysing the Bank’s as well as the Bank’s group aggregate exposure to the outsourcing arrangement, to manage concentration risk; and</w:t>
            </w:r>
          </w:p>
          <w:p w14:paraId="174F32BD" w14:textId="026B5237" w:rsidR="00DC7DDC"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5 – Please see paragraph 3.3 on assessment of service providers.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[5.3.1]</w:t>
            </w:r>
            <w:r>
              <w:rPr>
                <w:rFonts w:asciiTheme="majorHAnsi" w:hAnsiTheme="majorHAnsi" w:cstheme="majorHAnsi"/>
                <w:sz w:val="18"/>
                <w:szCs w:val="18"/>
              </w:rPr>
              <w:t xml:space="preserve"> In order to be satisfied that an outsourcing arrangement does not result in the risk management, internal control, business conduct or reputation of an institution being compromised or weakened, the board and senior management would need to fully appreciate the risks arising from outsourcing. The institution should establish a framework for risk evaluation that includes the following steps: (a) identifying the role of outsourcing in the overall business strategy and objectives of the institution; (b) performing comprehensive due diligence on the nature, scope and complexity of the outsourcing arrangement to identify and mitigate key risks; (c) assessing</w:t>
            </w:r>
            <w:r>
              <w:rPr>
                <w:rFonts w:asciiTheme="majorHAnsi" w:hAnsiTheme="majorHAnsi" w:cstheme="majorHAnsi"/>
                <w:sz w:val="18"/>
                <w:szCs w:val="18"/>
                <w:vertAlign w:val="superscript"/>
              </w:rPr>
              <w:t xml:space="preserve">5</w:t>
            </w:r>
            <w:r>
              <w:rPr>
                <w:rFonts w:asciiTheme="majorHAnsi" w:hAnsiTheme="majorHAnsi" w:cstheme="majorHAnsi"/>
                <w:sz w:val="18"/>
                <w:szCs w:val="18"/>
              </w:rPr>
              <w:t xml:space="preserve"> the service provider’s ability to employ a high standard of care in performing the outsourced service and meet regulatory standards as expected of the institution, as if the outsourcing arrangement is performed by the institution; (d) analysing the impact of the outsourcing arrangement on the overall risk profile of the institution, and whether there are adequate internal expertise and resources to mitigate the risks identified; (e) analysing the institution’s as well as the institution’s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in the outsourcing arrangement, and whether for strategic and internal control reasons, the institution should not enter into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5</w:t>
            </w:r>
            <w:r>
              <w:rPr>
                <w:rFonts w:asciiTheme="majorHAnsi" w:hAnsiTheme="majorHAnsi" w:cstheme="majorHAnsi"/>
                <w:sz w:val="16"/>
                <w:szCs w:val="16"/>
              </w:rPr>
              <w:t xml:space="preserve"> – Please see paragraph 5.4 on 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3.2.1 of the Bank Guidelines corresponds to 5.3.1 of the FI Guidelines, with minor drafting differences: 5.3.1(c) reads “outsourced service” and “as if the outsourcing arrangement is performed by the institution”, and 5.3.1(f) reads “unexpected termination in the outsourcing arrangement”.</w:t>
            </w:r>
          </w:p>
        </w:tc>
      </w:tr>
      <w:tr w:rsidR="002B7735" w:rsidRPr="00DD537D" w14:paraId="7EBB9B6E" w14:textId="77777777" w:rsidTr="00DC7DDC">
        <w:tc>
          <w:tcPr>
            <w:tcW w:w="625" w:type="dxa"/>
          </w:tcPr>
          <w:p w14:paraId="3DAC8B9A" w14:textId="1D47159C"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3.2.2</w:t>
            </w:r>
          </w:p>
        </w:tc>
        <w:tc>
          <w:tcPr>
            <w:tcW w:w="5670" w:type="dxa"/>
          </w:tcPr>
          <w:p w14:paraId="1F746FB5" w14:textId="36DCD47C"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[5.3.2]</w:t>
            </w:r>
            <w:r>
              <w:rPr>
                <w:rFonts w:asciiTheme="majorHAnsi" w:hAnsiTheme="majorHAnsi" w:cstheme="majorHAnsi"/>
                <w:sz w:val="18"/>
                <w:szCs w:val="18"/>
              </w:rPr>
              <w:t xml:space="preserve"> Such risk evaluations should be performed when an institution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institution.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3.2.2 of the Bank Guidelines corresponds verbatim to 5.3.2 of the FI Guidelines.</w:t>
            </w:r>
          </w:p>
        </w:tc>
      </w:tr>
      <w:tr w:rsidR="002B7735" w:rsidRPr="00DD537D" w14:paraId="4A429E1E" w14:textId="77777777" w:rsidTr="00DC7DDC">
        <w:tc>
          <w:tcPr>
            <w:tcW w:w="625" w:type="dxa"/>
          </w:tcPr>
          <w:p w14:paraId="456E1EC6" w14:textId="7070E2F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3.2.3</w:t>
            </w:r>
          </w:p>
        </w:tc>
        <w:tc>
          <w:tcPr>
            <w:tcW w:w="5670" w:type="dxa"/>
          </w:tcPr>
          <w:p w14:paraId="2C9F6B9F" w14:textId="07589B02"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w:t>
              <w:lastRenderedPageBreak/>
              <w:t>decision on obtaining legal advice and the frequency for obtaining such advice should be approved by the Bank’s board, or a committee delegated by it, and whenever there are significant changes in the relevant law(s) overseas.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expectation to consider independent legal advice on disclosing customer information overseas applies to Banks only, given banking secrecy under the Banking Act.</w:t>
            </w:r>
          </w:p>
        </w:tc>
      </w:tr>
      <w:tr w:rsidR="002B7735" w:rsidRPr="00DD537D" w14:paraId="4E92E5C8" w14:textId="77777777" w:rsidTr="00DC7DDC">
        <w:tc>
          <w:tcPr>
            <w:tcW w:w="625" w:type="dxa"/>
          </w:tcPr>
          <w:p w14:paraId="78B8BEBC" w14:textId="5E65C8E6"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w:t>
            </w:r>
          </w:p>
        </w:tc>
        <w:tc>
          <w:tcPr>
            <w:tcW w:w="5670" w:type="dxa"/>
          </w:tcPr>
          <w:p w14:paraId="627A2A55" w14:textId="4DC4802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Assessment of service providers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[5.4]</w:t>
            </w:r>
            <w:r>
              <w:rPr>
                <w:rFonts w:asciiTheme="majorHAnsi" w:hAnsiTheme="majorHAnsi" w:cstheme="majorHAnsi"/>
                <w:i/>
                <w:iCs/>
                <w:sz w:val="18"/>
                <w:szCs w:val="18"/>
              </w:rPr>
              <w:t xml:space="preserve"> 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5.4 of the FI Guidelines.</w:t>
            </w:r>
          </w:p>
        </w:tc>
      </w:tr>
      <w:tr w:rsidR="002B7735" w:rsidRPr="00DD537D" w14:paraId="2AD872D9" w14:textId="77777777" w:rsidTr="00DC7DDC">
        <w:tc>
          <w:tcPr>
            <w:tcW w:w="625" w:type="dxa"/>
          </w:tcPr>
          <w:p w14:paraId="7485F661" w14:textId="1AAF4B7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3.3.1</w:t>
            </w:r>
          </w:p>
        </w:tc>
        <w:tc>
          <w:tcPr>
            <w:tcW w:w="5670" w:type="dxa"/>
          </w:tcPr>
          <w:p w14:paraId="5249E771" w14:textId="162EC0F6"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In considering, renegotiating or renewing an outsourcing arrangement, a Bank should subject the service provider to appropriate due diligence processes to assess the risks associated with the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[5.4.1]</w:t>
            </w:r>
            <w:r>
              <w:rPr>
                <w:rFonts w:asciiTheme="majorHAnsi" w:hAnsiTheme="majorHAnsi" w:cstheme="majorHAnsi"/>
                <w:sz w:val="18"/>
                <w:szCs w:val="18"/>
              </w:rPr>
              <w:t xml:space="preserve"> In considering, renegotiating or renewing an outsourcing arrangement, an institution should subject the service provider to appropriate due diligence processes to assess the risks associated with the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3.3.1 of the Bank Guidelines corresponds verbatim to 5.4.1 of the FI Guidelines.</w:t>
            </w:r>
          </w:p>
        </w:tc>
      </w:tr>
      <w:tr w:rsidR="002B7735" w:rsidRPr="00DD537D" w14:paraId="2E2BAD94" w14:textId="77777777" w:rsidTr="00DC7DDC">
        <w:tc>
          <w:tcPr>
            <w:tcW w:w="625" w:type="dxa"/>
          </w:tcPr>
          <w:p w14:paraId="4A8F8F23" w14:textId="32DF73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3.3.2</w:t>
            </w:r>
          </w:p>
        </w:tc>
        <w:tc>
          <w:tcPr>
            <w:tcW w:w="5670" w:type="dxa"/>
          </w:tcPr>
          <w:p w14:paraId="00730471" w14:textId="3B55FE0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Bank’s assessment. Onsite visits should be conducted by persons who possess the requisite knowledge and skills to conduct the assessment.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[5.4.2]</w:t>
            </w:r>
            <w:r>
              <w:rPr>
                <w:rFonts w:asciiTheme="majorHAnsi" w:hAnsiTheme="majorHAnsi" w:cstheme="majorHAnsi"/>
                <w:sz w:val="18"/>
                <w:szCs w:val="18"/>
              </w:rPr>
              <w:t xml:space="preserve"> An institution should assess all relevant aspects of the service provider, including its capability to employ a high standard of care in the performance of the outsourcing arrangement as if the service is performed by the institution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institution’s assessment. Onsite visits should be conducted by persons who possess the requisite knowledge and skills to conduct the assessment.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3.3.2 of the Bank Guidelines corresponds verbatim to 5.4.2 of the FI Guidelines.</w:t>
            </w:r>
          </w:p>
        </w:tc>
      </w:tr>
      <w:tr w:rsidR="002B7735" w:rsidRPr="00DD537D" w14:paraId="39278E9F" w14:textId="77777777" w:rsidTr="00DC7DDC">
        <w:tc>
          <w:tcPr>
            <w:tcW w:w="625" w:type="dxa"/>
          </w:tcPr>
          <w:p w14:paraId="5CAEBFC9" w14:textId="550FBF37"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w:t>
            </w:r>
            <w:r>
              <w:rPr>
                <w:rFonts w:asciiTheme="majorHAnsi" w:hAnsiTheme="majorHAnsi" w:cstheme="majorHAnsi"/>
                <w:sz w:val="18"/>
                <w:szCs w:val="18"/>
                <w:vertAlign w:val="superscript"/>
              </w:rPr>
              <w:t xml:space="preserve">6</w:t>
            </w:r>
            <w:r>
              <w:rPr>
                <w:rFonts w:asciiTheme="majorHAnsi" w:hAnsiTheme="majorHAnsi" w:cstheme="majorHAnsi"/>
                <w:sz w:val="18"/>
                <w:szCs w:val="18"/>
              </w:rPr>
              <w:t xml:space="preserve"> and business continuity management</w:t>
            </w:r>
            <w:r>
              <w:rPr>
                <w:rFonts w:asciiTheme="majorHAnsi" w:hAnsiTheme="majorHAnsi" w:cstheme="majorHAnsi"/>
                <w:sz w:val="18"/>
                <w:szCs w:val="18"/>
                <w:vertAlign w:val="superscript"/>
              </w:rPr>
              <w:t xml:space="preserve">7</w:t>
            </w:r>
            <w:r>
              <w:rPr>
                <w:rFonts w:asciiTheme="majorHAnsi" w:hAnsiTheme="majorHAnsi" w:cstheme="majorHAnsi"/>
                <w:sz w:val="18"/>
                <w:szCs w:val="18"/>
              </w:rPr>
              <w:t xml:space="preserve">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6</w:t>
            </w:r>
            <w:r>
              <w:rPr>
                <w:rFonts w:asciiTheme="majorHAnsi" w:hAnsiTheme="majorHAnsi" w:cstheme="majorHAnsi"/>
                <w:sz w:val="16"/>
                <w:szCs w:val="16"/>
              </w:rPr>
              <w:t xml:space="preserve">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7</w:t>
            </w:r>
            <w:r>
              <w:rPr>
                <w:rFonts w:asciiTheme="majorHAnsi" w:hAnsiTheme="majorHAnsi" w:cstheme="majorHAnsi"/>
                <w:sz w:val="16"/>
                <w:szCs w:val="16"/>
              </w:rPr>
              <w:t xml:space="preserve"> – Standards should be commensurate with that expected of the institution as set out in MAS’ Business Continuity Management Guidelines. Please also see paragraph 3.7 for more guidance.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[5.4.3]</w:t>
            </w:r>
            <w:r>
              <w:rPr>
                <w:rFonts w:asciiTheme="majorHAnsi" w:hAnsiTheme="majorHAnsi" w:cstheme="majorHAnsi"/>
                <w:sz w:val="18"/>
                <w:szCs w:val="18"/>
              </w:rPr>
              <w:t xml:space="preserve"> 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w:t>
            </w:r>
            <w:r>
              <w:rPr>
                <w:rFonts w:asciiTheme="majorHAnsi" w:hAnsiTheme="majorHAnsi" w:cstheme="majorHAnsi"/>
                <w:sz w:val="18"/>
                <w:szCs w:val="18"/>
                <w:vertAlign w:val="superscript"/>
              </w:rPr>
              <w:t xml:space="preserve">6</w:t>
            </w:r>
            <w:r>
              <w:rPr>
                <w:rFonts w:asciiTheme="majorHAnsi" w:hAnsiTheme="majorHAnsi" w:cstheme="majorHAnsi"/>
                <w:sz w:val="18"/>
                <w:szCs w:val="18"/>
              </w:rPr>
              <w:t xml:space="preserve"> and business continuity management</w:t>
            </w:r>
            <w:r>
              <w:rPr>
                <w:rFonts w:asciiTheme="majorHAnsi" w:hAnsiTheme="majorHAnsi" w:cstheme="majorHAnsi"/>
                <w:sz w:val="18"/>
                <w:szCs w:val="18"/>
                <w:vertAlign w:val="superscript"/>
              </w:rPr>
              <w:t xml:space="preserve">7</w:t>
            </w:r>
            <w:r>
              <w:rPr>
                <w:rFonts w:asciiTheme="majorHAnsi" w:hAnsiTheme="majorHAnsi" w:cstheme="majorHAnsi"/>
                <w:sz w:val="18"/>
                <w:szCs w:val="18"/>
              </w:rPr>
              <w:t xml:space="preserve">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6</w:t>
            </w:r>
            <w:r>
              <w:rPr>
                <w:rFonts w:asciiTheme="majorHAnsi" w:hAnsiTheme="majorHAnsi" w:cstheme="majorHAnsi"/>
                <w:sz w:val="16"/>
                <w:szCs w:val="16"/>
              </w:rPr>
              <w:t xml:space="preserve">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7</w:t>
            </w:r>
            <w:r>
              <w:rPr>
                <w:rFonts w:asciiTheme="majorHAnsi" w:hAnsiTheme="majorHAnsi" w:cstheme="majorHAnsi"/>
                <w:sz w:val="16"/>
                <w:szCs w:val="16"/>
              </w:rPr>
              <w:t xml:space="preserve"> – Standards should be commensurate with that expected of the institution as set out in MAS’ Business Continuity Management Guidelines. Please also see paragraph 5.7 of the Guidelines on Outsourcing for more guidance.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3.3.3 of the Bank Guidelines corresponds verbatim to 5.4.3 of the FI Guidelines, including footnotes 6 and 7.</w:t>
            </w:r>
          </w:p>
        </w:tc>
      </w:tr>
      <w:tr w:rsidR="002B7735" w:rsidRPr="00DD537D" w14:paraId="1DBF20B8" w14:textId="77777777" w:rsidTr="00DC7DDC">
        <w:tc>
          <w:tcPr>
            <w:tcW w:w="625" w:type="dxa"/>
          </w:tcPr>
          <w:p w14:paraId="1D1C25B5" w14:textId="5A0AC40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[5.4.4]</w:t>
            </w:r>
            <w:r>
              <w:rPr>
                <w:rFonts w:asciiTheme="majorHAnsi" w:hAnsiTheme="majorHAnsi" w:cstheme="majorHAnsi"/>
                <w:sz w:val="18"/>
                <w:szCs w:val="18"/>
              </w:rPr>
              <w:t xml:space="preserve"> An institution should ensure that the employees of the service provider undertaking any part of the outsourcing arrangement have been assessed to meet the institution’s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3.3.4 of the Bank Guidelines corresponds verbatim to 5.4.4 of the FI Guidelines.</w:t>
            </w:r>
          </w:p>
        </w:tc>
      </w:tr>
      <w:tr w:rsidR="004F6066" w:rsidRPr="00DD537D" w14:paraId="3F9566BF" w14:textId="77777777" w:rsidTr="00DC7DDC">
        <w:tc>
          <w:tcPr>
            <w:tcW w:w="625" w:type="dxa"/>
          </w:tcPr>
          <w:p w14:paraId="5A78413A" w14:textId="1B4B5811"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lastRenderedPageBreak/>
              <w:t>3.3.5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Theme="majorHAnsi" w:hAnsiTheme="majorHAnsi" w:cstheme="majorHAnsi"/>
                <w:highlight w:val="yellow"/>
                <w:sz w:val="18"/>
                <w:szCs w:val="18"/>
              </w:rPr>
              <w:t xml:space="preserve">service</w:t>
            </w:r>
            <w:r>
              <w:rPr>
                <w:rFonts w:asciiTheme="majorHAnsi" w:hAnsiTheme="majorHAnsi" w:cstheme="majorHAnsi"/>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8</w:t>
            </w:r>
            <w:r>
              <w:rPr>
                <w:rFonts w:asciiTheme="majorHAnsi" w:hAnsiTheme="majorHAnsi" w:cstheme="majorHAnsi"/>
                <w:sz w:val="16"/>
                <w:szCs w:val="16"/>
              </w:rPr>
              <w:t xml:space="preserve"> – Please see paragraph 3.11 on provision of outsourced relevant services within a group.</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[5.4.5]</w:t>
            </w:r>
            <w:r>
              <w:rPr>
                <w:rFonts w:asciiTheme="majorHAnsi" w:hAnsiTheme="majorHAnsi" w:cstheme="majorHAnsi"/>
                <w:sz w:val="18"/>
                <w:szCs w:val="18"/>
              </w:rPr>
              <w:t xml:space="preserve"> 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arrangement and impact to the institution in the event of a disruption to service or breach of security and confidentiality (e.g. reduced due diligence may be sufficient where the outsourcing arrangements are made within the institution’s group8). An institution should ensure that the information used for due diligence evaluation is sufficiently current. An institution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8</w:t>
            </w:r>
            <w:r>
              <w:rPr>
                <w:rFonts w:asciiTheme="majorHAnsi" w:hAnsiTheme="majorHAnsi" w:cstheme="majorHAnsi"/>
                <w:sz w:val="16"/>
                <w:szCs w:val="16"/>
              </w:rPr>
              <w:t xml:space="preserve"> – Please see paragraph 5.11 on arrangements relating to 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3.3.5 of the Bank Guidelines corresponds to 5.4.5 of the FI Guidelines; 5.4.5 reads “risk of the arrangement” for “risk of the service”.</w:t>
            </w:r>
          </w:p>
        </w:tc>
      </w:tr>
      <w:tr w:rsidR="004F6066" w:rsidRPr="00DD537D" w14:paraId="3A21747E" w14:textId="77777777" w:rsidTr="00DC7DDC">
        <w:tc>
          <w:tcPr>
            <w:tcW w:w="625" w:type="dxa"/>
          </w:tcPr>
          <w:p w14:paraId="61938341" w14:textId="37FCE060"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3.3.6</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3.3.6 interprets paragraph 5.2(b) of the Notices, which applies to Banks only. The closest FI analogue is the annual review of material outsourcing arrangements in 5.8.2(d) of the FI Guidelines.</w:t>
            </w:r>
          </w:p>
        </w:tc>
      </w:tr>
      <w:tr w:rsidR="004F6066" w:rsidRPr="00DD537D" w14:paraId="3130258A" w14:textId="77777777" w:rsidTr="00DC7DDC">
        <w:tc>
          <w:tcPr>
            <w:tcW w:w="625" w:type="dxa"/>
          </w:tcPr>
          <w:p w14:paraId="307EE3CF" w14:textId="2F43D67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[5.5]</w:t>
            </w:r>
            <w:r>
              <w:rPr>
                <w:rFonts w:asciiTheme="majorHAnsi" w:hAnsiTheme="majorHAnsi" w:cstheme="majorHAnsi"/>
                <w:i/>
                <w:iCs/>
                <w:sz w:val="18"/>
                <w:szCs w:val="18"/>
              </w:rPr>
              <w:t xml:space="preserve"> Outsourcing agreement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 of the FI Guidelines.</w:t>
            </w:r>
          </w:p>
        </w:tc>
      </w:tr>
      <w:tr w:rsidR="004F6066" w:rsidRPr="00DD537D" w14:paraId="4F6A76F5" w14:textId="77777777" w:rsidTr="00DC7DDC">
        <w:tc>
          <w:tcPr>
            <w:tcW w:w="625" w:type="dxa"/>
          </w:tcPr>
          <w:p w14:paraId="1F1CE81E" w14:textId="070E42A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[5.5.1]</w:t>
            </w:r>
            <w:r>
              <w:rPr>
                <w:rFonts w:asciiTheme="majorHAnsi" w:hAnsiTheme="majorHAnsi" w:cstheme="majorHAnsi"/>
                <w:sz w:val="18"/>
                <w:szCs w:val="18"/>
              </w:rPr>
              <w:t xml:space="preserve"> 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institutions’ legal counsel) on their legality and enforceability.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3.4.1 of the Bank Guidelines corresponds verbatim to 5.5.1 of the FI Guidelines.</w:t>
            </w:r>
          </w:p>
        </w:tc>
      </w:tr>
      <w:tr w:rsidR="004F6066" w:rsidRPr="00DD537D" w14:paraId="6D5C074A" w14:textId="77777777" w:rsidTr="00DC7DDC">
        <w:tc>
          <w:tcPr>
            <w:tcW w:w="625" w:type="dxa"/>
          </w:tcPr>
          <w:p w14:paraId="42628193" w14:textId="1B20688D"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security9; (d) business continuity management</w:t>
            </w:r>
            <w:r>
              <w:rPr>
                <w:rFonts w:asciiTheme="majorHAnsi" w:hAnsiTheme="majorHAnsi" w:cstheme="majorHAnsi"/>
                <w:sz w:val="18"/>
                <w:szCs w:val="18"/>
                <w:vertAlign w:val="superscript"/>
              </w:rPr>
              <w:t xml:space="preserve">10</w:t>
            </w:r>
            <w:r>
              <w:rPr>
                <w:rFonts w:asciiTheme="majorHAnsi" w:hAnsiTheme="majorHAnsi" w:cstheme="majorHAnsi"/>
                <w:sz w:val="18"/>
                <w:szCs w:val="18"/>
              </w:rPr>
              <w:t xml:space="preserve">; (e) monitoring and control</w:t>
            </w:r>
            <w:r>
              <w:rPr>
                <w:rFonts w:asciiTheme="majorHAnsi" w:hAnsiTheme="majorHAnsi" w:cstheme="majorHAnsi"/>
                <w:sz w:val="18"/>
                <w:szCs w:val="18"/>
                <w:vertAlign w:val="superscript"/>
              </w:rPr>
              <w:t xml:space="preserve">11</w:t>
            </w:r>
            <w:r>
              <w:rPr>
                <w:rFonts w:asciiTheme="majorHAnsi" w:hAnsiTheme="majorHAnsi" w:cstheme="majorHAnsi"/>
                <w:sz w:val="18"/>
                <w:szCs w:val="18"/>
              </w:rPr>
              <w:t xml:space="preserve">; (f) audit and inspection12;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exit13; (j) applicable laws — Agreements should include choice-of-law provisions, agreement covenants and jurisdictional covenants that provide for adjudication of disputes between the parties under the laws of a specific jurisdiction.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9</w:t>
            </w:r>
            <w:r>
              <w:rPr>
                <w:rFonts w:asciiTheme="majorHAnsi" w:hAnsiTheme="majorHAnsi" w:cstheme="majorHAnsi"/>
                <w:sz w:val="16"/>
                <w:szCs w:val="16"/>
              </w:rPr>
              <w:t xml:space="preserve"> – The provisions of the outsourcing agreement for a MOORS that relate to confidentiality and security should include the requirements set out in paragraph 7.1(a) to (c) of the Notices. Refer also to paragraph 3.6.</w:t>
            </w:r>
          </w:p>
          <w:p>
            <w:pPr>
              <w:pStyle w:val="BodyText"/>
              <w:rPr>
                <w:rFonts w:asciiTheme="majorHAnsi" w:hAnsiTheme="majorHAnsi" w:cstheme="majorHAnsi"/>
                <w:sz w:val="16"/>
                <w:szCs w:val="16"/>
              </w:rPr>
            </w:pPr>
            <w:r>
              <w:rPr>
                <w:rFonts w:asciiTheme="majorHAnsi" w:hAnsiTheme="majorHAnsi" w:cstheme="majorHAnsi"/>
                <w:sz w:val="16"/>
                <w:szCs w:val="16"/>
              </w:rPr>
              <w:t xml:space="preserve">10 – Refer to paragraph 3.7.</w:t>
            </w:r>
          </w:p>
          <w:p>
            <w:pPr>
              <w:pStyle w:val="BodyText"/>
              <w:rPr>
                <w:rFonts w:asciiTheme="majorHAnsi" w:hAnsiTheme="majorHAnsi" w:cstheme="majorHAnsi"/>
                <w:sz w:val="16"/>
                <w:szCs w:val="16"/>
              </w:rPr>
            </w:pPr>
            <w:r>
              <w:rPr>
                <w:rFonts w:asciiTheme="majorHAnsi" w:hAnsiTheme="majorHAnsi" w:cstheme="majorHAnsi"/>
                <w:sz w:val="16"/>
                <w:szCs w:val="16"/>
              </w:rPr>
              <w:t xml:space="preserve">11 – Refer to paragraph 3.8.</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12</w:t>
            </w:r>
            <w:r>
              <w:rPr>
                <w:rFonts w:asciiTheme="majorHAnsi" w:hAnsiTheme="majorHAnsi" w:cstheme="majorHAnsi"/>
                <w:sz w:val="16"/>
                <w:szCs w:val="16"/>
              </w:rPr>
              <w:t xml:space="preserve"> – The provisions of the outsourcing agreement for a MOORS that relate to audit and inspection should include the requirements set out in paragraph 7.1(d) of the Notices. Refer also to paragraph 3.9.</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13</w:t>
            </w:r>
            <w:r>
              <w:rPr>
                <w:rFonts w:asciiTheme="majorHAnsi" w:hAnsiTheme="majorHAnsi" w:cstheme="majorHAnsi"/>
                <w:sz w:val="16"/>
                <w:szCs w:val="16"/>
              </w:rPr>
              <w:t xml:space="preserve"> – Refer to paragraphs 3.4.3 to 3.4.8.</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 </w:t>
            </w: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w:t>
            </w:r>
            <w:r>
              <w:rPr>
                <w:rFonts w:asciiTheme="majorHAnsi" w:hAnsiTheme="majorHAnsi" w:cstheme="majorHAnsi"/>
                <w:sz w:val="18"/>
                <w:szCs w:val="18"/>
                <w:vertAlign w:val="superscript"/>
              </w:rPr>
              <w:t xml:space="preserve">9</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w:t>
            </w:r>
            <w:r>
              <w:rPr>
                <w:rFonts w:asciiTheme="majorHAnsi" w:hAnsiTheme="majorHAnsi" w:cstheme="majorHAnsi"/>
                <w:sz w:val="18"/>
                <w:szCs w:val="18"/>
                <w:vertAlign w:val="superscript"/>
              </w:rPr>
              <w:t xml:space="preserve">10</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w:t>
            </w:r>
            <w:r>
              <w:rPr>
                <w:rFonts w:asciiTheme="majorHAnsi" w:hAnsiTheme="majorHAnsi" w:cstheme="majorHAnsi"/>
                <w:sz w:val="18"/>
                <w:szCs w:val="18"/>
                <w:vertAlign w:val="superscript"/>
              </w:rPr>
              <w:t xml:space="preserve">11</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w:t>
            </w:r>
            <w:r>
              <w:rPr>
                <w:rFonts w:asciiTheme="majorHAnsi" w:hAnsiTheme="majorHAnsi" w:cstheme="majorHAnsi"/>
                <w:sz w:val="18"/>
                <w:szCs w:val="18"/>
                <w:vertAlign w:val="superscript"/>
              </w:rPr>
              <w:t xml:space="preserve">12</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w:t>
            </w:r>
            <w:r>
              <w:rPr>
                <w:rFonts w:asciiTheme="majorHAnsi" w:hAnsiTheme="majorHAnsi" w:cstheme="majorHAnsi"/>
                <w:sz w:val="18"/>
                <w:szCs w:val="18"/>
                <w:vertAlign w:val="superscript"/>
              </w:rPr>
              <w:t xml:space="preserve">13</w:t>
            </w:r>
            <w:r>
              <w:rPr>
                <w:rFonts w:asciiTheme="majorHAnsi" w:hAnsiTheme="majorHAnsi" w:cstheme="majorHAnsi"/>
                <w:sz w:val="18"/>
                <w:szCs w:val="18"/>
              </w:rPr>
              <w:t xml:space="preserve">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3.4.2 of the Bank Guidelines corresponds to 5.5.2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(j) on sub-contracting; the Bank Guidelines deal with sub-contracting separately in section 3.5.</w:t>
            </w:r>
          </w:p>
          <w:p>
            <w:pPr>
              <w:pStyle w:val="BodyText"/>
              <w:rPr>
                <w:rFonts w:asciiTheme="majorHAnsi" w:hAnsiTheme="majorHAnsi" w:cstheme="majorHAnsi"/>
                <w:sz w:val="18"/>
                <w:szCs w:val="18"/>
              </w:rPr>
            </w:pPr>
            <w:r>
              <w:rPr>
                <w:rFonts w:asciiTheme="majorHAnsi" w:hAnsiTheme="majorHAnsi" w:cstheme="majorHAnsi"/>
                <w:sz w:val="18"/>
                <w:szCs w:val="18"/>
              </w:rPr>
              <w:t xml:space="preserve">2. Footnotes 9 and 12 of the Bank Guidelines require MOORS agreements to include the requirements of paragraphs 7.1(a)–(c) and 7.1(d) of the Notices; there is no FI equivalent.</w:t>
            </w:r>
          </w:p>
          <w:p>
            <w:pPr>
              <w:pStyle w:val="BodyText"/>
              <w:rPr>
                <w:rFonts w:asciiTheme="majorHAnsi" w:hAnsiTheme="majorHAnsi" w:cstheme="majorHAnsi"/>
                <w:sz w:val="18"/>
                <w:szCs w:val="18"/>
              </w:rPr>
            </w:pPr>
            <w:r>
              <w:rPr>
                <w:rFonts w:asciiTheme="majorHAnsi" w:hAnsiTheme="majorHAnsi" w:cstheme="majorHAnsi"/>
                <w:sz w:val="18"/>
                <w:szCs w:val="18"/>
              </w:rPr>
              <w:t xml:space="preserve">3. The FI Guidelines set out the termination and sub-contracting content in full within 5.5.2 itself (items (i) and (j)); the Bank Guidelines elaborate in 3.4.3–3.4.8 and 3.5.</w:t>
            </w:r>
          </w:p>
        </w:tc>
      </w:tr>
      <w:tr w:rsidR="004F6066" w:rsidRPr="00DD537D" w14:paraId="7A32CD09" w14:textId="77777777" w:rsidTr="00DC7DDC">
        <w:tc>
          <w:tcPr>
            <w:tcW w:w="625" w:type="dxa"/>
          </w:tcPr>
          <w:p w14:paraId="7E908994" w14:textId="57FB7AAB"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have the right to terminate the outsourcing agreement in the event of default, or under any of the following circumstances: </w:t>
            </w:r>
            <w:r>
              <w:rPr>
                <w:rFonts w:asciiTheme="majorHAnsi" w:hAnsiTheme="majorHAnsi" w:cstheme="majorHAnsi"/>
                <w:highlight w:val="yellow"/>
                <w:sz w:val="18"/>
                <w:szCs w:val="18"/>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[5.5.2(i)]</w:t>
            </w:r>
            <w:r>
              <w:rPr>
                <w:rFonts w:asciiTheme="majorHAnsi" w:hAnsiTheme="majorHAnsi" w:cstheme="majorHAnsi"/>
                <w:sz w:val="18"/>
                <w:szCs w:val="18"/>
              </w:rPr>
              <w:t xml:space="preserve">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termination mechanics that follow in 5.5.2(i) are set out at row 3.4.4.)</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5.5.2(i) of the FI Guidelines (quoted at 3.4.2 above). The termination triggers differ: the FI Guidelines allow termination on change in ownership, insolvency or liquidation, receivership or judicial management, breach of security or confidentiality, or deterioration in ability to perform the contracted service; the Bank Guidelines focus instead on failure to safeguard the confidentiality or integrity of customer information (including by sub-contractors) and add termination by reasonable notice. The Bank Guidelines do not set out the corporate-event triggers; the binding contractual requirements for Banks are in paragraph 7.1 of the Notices.</w:t>
            </w:r>
          </w:p>
        </w:tc>
      </w:tr>
      <w:tr w:rsidR="004F6066" w:rsidRPr="00DD537D" w14:paraId="5D24ECD7" w14:textId="77777777" w:rsidTr="00DC7DDC">
        <w:tc>
          <w:tcPr>
            <w:tcW w:w="625" w:type="dxa"/>
          </w:tcPr>
          <w:p w14:paraId="09F0C4EA" w14:textId="2E7AC065"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w:t>
            </w:r>
            <w:r>
              <w:rPr>
                <w:rFonts w:asciiTheme="majorHAnsi" w:hAnsiTheme="majorHAnsi" w:cstheme="majorHAnsi"/>
                <w:sz w:val="18"/>
                <w:szCs w:val="18"/>
                <w:vertAlign w:val="superscript"/>
              </w:rPr>
              <w:t xml:space="preserve">14</w:t>
            </w:r>
            <w:r>
              <w:rPr>
                <w:rFonts w:asciiTheme="majorHAnsi" w:hAnsiTheme="majorHAnsi" w:cstheme="majorHAnsi"/>
                <w:sz w:val="18"/>
                <w:szCs w:val="18"/>
              </w:rPr>
              <w:t xml:space="preserve">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14</w:t>
            </w:r>
            <w:r>
              <w:rPr>
                <w:rFonts w:asciiTheme="majorHAnsi" w:hAnsiTheme="majorHAnsi" w:cstheme="majorHAnsi"/>
                <w:sz w:val="16"/>
                <w:szCs w:val="16"/>
              </w:rPr>
              <w:t xml:space="preserve">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[5.5.2(i)]</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w:t>
            </w:r>
            <w:r>
              <w:rPr>
                <w:rFonts w:asciiTheme="majorHAnsi" w:hAnsiTheme="majorHAnsi" w:cstheme="majorHAnsi"/>
                <w:sz w:val="18"/>
                <w:szCs w:val="18"/>
                <w:vertAlign w:val="superscript"/>
              </w:rPr>
              <w:t xml:space="preserve">13</w:t>
            </w:r>
            <w:r>
              <w:rPr>
                <w:rFonts w:asciiTheme="majorHAnsi" w:hAnsiTheme="majorHAnsi" w:cstheme="majorHAnsi"/>
                <w:sz w:val="18"/>
                <w:szCs w:val="18"/>
              </w:rPr>
              <w:t xml:space="preserve">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13</w:t>
            </w:r>
            <w:r>
              <w:rPr>
                <w:rFonts w:asciiTheme="majorHAnsi" w:hAnsiTheme="majorHAnsi" w:cstheme="majorHAnsi"/>
                <w:sz w:val="16"/>
                <w:szCs w:val="16"/>
              </w:rPr>
              <w:t xml:space="preserve">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the closing text of 5.5.2(i) of the FI Guidelines, worded identically (“bridge-institution” is defined identically at footnote 13 of the FI Guidelines).</w:t>
            </w:r>
          </w:p>
        </w:tc>
      </w:tr>
      <w:tr w:rsidR="004F6066" w:rsidRPr="00DD537D" w14:paraId="291BAB9D" w14:textId="77777777" w:rsidTr="00DC7DDC">
        <w:tc>
          <w:tcPr>
            <w:tcW w:w="625" w:type="dxa"/>
          </w:tcPr>
          <w:p w14:paraId="6C9EDF7A" w14:textId="2AE3086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3.4.5</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7.1(g) in the Notices, MAS will consider directing a Bank to terminate the contract, or to stop obtaining or receiving the MOORS15, when</w:t>
            </w:r>
            <w:r>
              <w:rPr>
                <w:rFonts w:asciiTheme="majorHAnsi" w:hAnsiTheme="majorHAnsi" w:cstheme="majorHAnsi"/>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Theme="majorHAnsi" w:hAnsiTheme="majorHAnsi" w:cstheme="majorHAnsi"/>
                <w:highlight w:val="yellow"/>
                <w:sz w:val="18"/>
                <w:szCs w:val="18"/>
              </w:rPr>
              <w:t xml:space="preserve">MAS or an auditor appointed by MAS, is prevented by the service provider from auditing the books, systems and premises of the service provider for any of the purposes mentioned in section 47A(10) of the Banking Act 1970 (the “Act”)</w:t>
            </w:r>
            <w:r>
              <w:rPr>
                <w:rFonts w:asciiTheme="majorHAnsi" w:hAnsiTheme="majorHAnsi" w:cstheme="majorHAnsi"/>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15</w:t>
            </w:r>
            <w:r>
              <w:rPr>
                <w:rFonts w:asciiTheme="majorHAnsi" w:hAnsiTheme="majorHAnsi" w:cstheme="majorHAnsi"/>
                <w:sz w:val="16"/>
                <w:szCs w:val="16"/>
              </w:rPr>
              <w:t xml:space="preserve">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[4.1.3]</w:t>
            </w:r>
            <w:r>
              <w:rPr>
                <w:rFonts w:asciiTheme="majorHAnsi" w:hAnsiTheme="majorHAnsi" w:cstheme="majorHAnsi"/>
                <w:sz w:val="18"/>
                <w:szCs w:val="18"/>
              </w:rPr>
              <w:t xml:space="preserve"> MAS may require an institution to </w:t>
            </w:r>
            <w:r>
              <w:rPr>
                <w:rFonts w:asciiTheme="majorHAnsi" w:hAnsiTheme="majorHAnsi" w:cstheme="majorHAnsi"/>
                <w:highlight w:val="yellow"/>
                <w:sz w:val="18"/>
                <w:szCs w:val="18"/>
              </w:rPr>
              <w:t xml:space="preserve">modify, make alternative arrangements or re-integrate an outsourced service into the institution</w:t>
            </w:r>
            <w:r>
              <w:rPr>
                <w:rFonts w:asciiTheme="majorHAnsi" w:hAnsiTheme="majorHAnsi" w:cstheme="majorHAnsi"/>
                <w:sz w:val="18"/>
                <w:szCs w:val="18"/>
              </w:rPr>
              <w:t xml:space="preserve"> where one of the following circumstances arises: (a) An institution fails or is unable to demonstrate a satisfactory level of understanding of the nature and extent of risk arising from the outsourcing arrangement; (b) An institution fails or is unable to implement adequate measures to address the risks arising from its outsourcing arrangements in a satisfactory and timely manner; (c) Adverse developments arise from the outsourcing arrangement that could impact an institution; </w:t>
            </w:r>
            <w:r>
              <w:rPr>
                <w:rFonts w:asciiTheme="majorHAnsi" w:hAnsiTheme="majorHAnsi" w:cstheme="majorHAnsi"/>
                <w:highlight w:val="yellow"/>
                <w:sz w:val="18"/>
                <w:szCs w:val="18"/>
              </w:rPr>
              <w:t xml:space="preserve">(d) MAS’ supervisory powers over the institution and ability to carry out MAS’ supervisory functions in respect of the institution’s services are hindered;</w:t>
            </w:r>
            <w:r>
              <w:rPr>
                <w:rFonts w:asciiTheme="majorHAnsi" w:hAnsiTheme="majorHAnsi" w:cstheme="majorHAnsi"/>
                <w:sz w:val="18"/>
                <w:szCs w:val="18"/>
              </w:rPr>
              <w:t xml:space="preserve"> or </w:t>
            </w:r>
            <w:r>
              <w:rPr>
                <w:rFonts w:asciiTheme="majorHAnsi" w:hAnsiTheme="majorHAnsi" w:cstheme="majorHAnsi"/>
                <w:highlight w:val="yellow"/>
                <w:sz w:val="18"/>
                <w:szCs w:val="18"/>
              </w:rPr>
              <w:t xml:space="preserve">(e) The security and confidentiality of the institution’s customer information is lowered due to changes in the control environment of the service provider.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Closest counterpart is 4.1.3 of the FI Guidelines: MAS may require an institution to modify, make alternative arrangements or re-integrate an outsourced service where (a) the institution fails to demonstrate a satisfactory understanding of the risks; (b) it fails to implement adequate measures in a satisfactory and timely manner; (c) adverse developments arise; (d) MAS’ supervisory powers or functions are hindered; or (e) the security and confidentiality of customer information is lowered due to changes in the service provider’s control environment.</w:t>
            </w:r>
          </w:p>
          <w:p>
            <w:pPr>
              <w:pStyle w:val="BodyText"/>
              <w:rPr>
                <w:rFonts w:asciiTheme="majorHAnsi" w:hAnsiTheme="majorHAnsi" w:cstheme="majorHAnsi"/>
                <w:sz w:val="18"/>
                <w:szCs w:val="18"/>
              </w:rPr>
            </w:pPr>
            <w:r>
              <w:rPr>
                <w:rFonts w:asciiTheme="majorHAnsi" w:hAnsiTheme="majorHAnsi" w:cstheme="majorHAnsi"/>
                <w:sz w:val="18"/>
                <w:szCs w:val="18"/>
              </w:rPr>
              <w:t xml:space="preserve">The FI Guidelines do not provide for MAS-directed termination, the audit-obstruction grounds (section 47A(10) of the Banking Act), or the last-resort assurance in footnote 15.</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will endeavour to provide the Bank reasonable notice of MAS’ intent to direct the Bank to terminate its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reasonable-notice assurance attaches to the powers in 4.1.3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3.4.7</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Theme="majorHAnsi" w:hAnsiTheme="majorHAnsi" w:cstheme="majorHAnsi"/>
                <w:sz w:val="18"/>
                <w:szCs w:val="18"/>
              </w:rPr>
              <w:t xml:space="preserve"> The Bank should also ensure the minimum period to execute a termination provision is specified in the 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only FI deletion expectation is the business continuity provision in 5.7.2(c) (which corresponds to 3.7.2(c)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16</w:t>
            </w:r>
            <w:r>
              <w:rPr>
                <w:rFonts w:asciiTheme="majorHAnsi" w:hAnsiTheme="majorHAnsi" w:cstheme="majorHAnsi"/>
                <w:sz w:val="16"/>
                <w:szCs w:val="16"/>
              </w:rPr>
              <w:t xml:space="preserve"> – Refer to paragraph 3.10.</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[5.5.3]</w:t>
            </w:r>
            <w:r>
              <w:rPr>
                <w:rFonts w:asciiTheme="majorHAnsi" w:hAnsiTheme="majorHAnsi" w:cstheme="majorHAnsi"/>
                <w:sz w:val="18"/>
                <w:szCs w:val="18"/>
              </w:rPr>
              <w:t xml:space="preserve"> Each agreement should be tailored to address issues arising from country risks and potential obstacles in exercising oversight and management of the outsourcing arrangements made with a service provider outside Singapore14.</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14</w:t>
            </w:r>
            <w:r>
              <w:rPr>
                <w:rFonts w:asciiTheme="majorHAnsi" w:hAnsiTheme="majorHAnsi" w:cstheme="majorHAnsi"/>
                <w:sz w:val="16"/>
                <w:szCs w:val="16"/>
              </w:rPr>
              <w:t xml:space="preserve"> – Refer to paragraph 5.10.</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 of the Bank Guidelines corresponds verbatim to 5.5.3 of the FI Guidelines.</w:t>
            </w:r>
          </w:p>
        </w:tc>
      </w:tr>
      <w:tr w:rsidR="004F6066" w:rsidRPr="00DD537D" w14:paraId="79BF7B15" w14:textId="77777777" w:rsidTr="00DC7DDC">
        <w:tc>
          <w:tcPr>
            <w:tcW w:w="625" w:type="dxa"/>
          </w:tcPr>
          <w:p w14:paraId="25937E27" w14:textId="0617D48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Use of sub-contractor(s)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[5.5.2(j)]</w:t>
            </w:r>
            <w:r>
              <w:rPr>
                <w:rFonts w:asciiTheme="majorHAnsi" w:hAnsiTheme="majorHAnsi" w:cstheme="majorHAnsi"/>
                <w:i/>
                <w:iCs/>
                <w:sz w:val="18"/>
                <w:szCs w:val="18"/>
              </w:rPr>
              <w:t xml:space="preserve"> sub-contracting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sub-contracting provisions are found in 5.5.2(j) of the FI Guidelines (quoted at 3.4.2 above).</w:t>
            </w:r>
          </w:p>
        </w:tc>
      </w:tr>
      <w:tr w:rsidR="004F6066" w:rsidRPr="00DD537D" w14:paraId="2C3DB652"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is subject to the Bank’s prior approval.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[5.5.2(j)]</w:t>
            </w:r>
            <w:r>
              <w:rPr>
                <w:rFonts w:asciiTheme="majorHAnsi" w:hAnsiTheme="majorHAnsi" w:cstheme="majorHAnsi"/>
                <w:sz w:val="18"/>
                <w:szCs w:val="18"/>
              </w:rPr>
              <w:t xml:space="preserve"> An institution should retain the ability to </w:t>
            </w:r>
            <w:r>
              <w:rPr>
                <w:rFonts w:asciiTheme="majorHAnsi" w:hAnsiTheme="majorHAnsi" w:cstheme="majorHAnsi"/>
                <w:highlight w:val="yellow"/>
                <w:sz w:val="18"/>
                <w:szCs w:val="18"/>
              </w:rPr>
              <w:t xml:space="preserve">monitor and control its outsourcing arrangements</w:t>
            </w:r>
            <w:r>
              <w:rPr>
                <w:rFonts w:asciiTheme="majorHAnsi" w:hAnsiTheme="majorHAnsi" w:cstheme="majorHAnsi"/>
                <w:sz w:val="18"/>
                <w:szCs w:val="18"/>
              </w:rPr>
              <w:t xml:space="preserve">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w:t>
            </w:r>
            <w:r>
              <w:rPr>
                <w:rFonts w:asciiTheme="majorHAnsi" w:hAnsiTheme="majorHAnsi" w:cstheme="majorHAnsi"/>
                <w:highlight w:val="yellow"/>
                <w:sz w:val="18"/>
                <w:szCs w:val="18"/>
              </w:rPr>
              <w:t xml:space="preserve">material outsourcing arrangements</w:t>
            </w:r>
            <w:r>
              <w:rPr>
                <w:rFonts w:asciiTheme="majorHAnsi" w:hAnsiTheme="majorHAnsi" w:cstheme="majorHAnsi"/>
                <w:sz w:val="18"/>
                <w:szCs w:val="18"/>
              </w:rPr>
              <w:t xml:space="preserve"> is subject to the institution’s prior approval.</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 of the Bank Guidelines corresponds to 5.5.2(j) of the FI Guidelines, worded identically (“material outsourcing arrangements” for “MOORS”).</w:t>
            </w:r>
          </w:p>
        </w:tc>
      </w:tr>
      <w:tr w:rsidR="004F6066" w:rsidRPr="00DD537D" w14:paraId="2A966C94"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17</w:t>
            </w:r>
            <w:r>
              <w:rPr>
                <w:rFonts w:asciiTheme="majorHAnsi" w:hAnsiTheme="majorHAnsi" w:cstheme="majorHAnsi"/>
                <w:sz w:val="16"/>
                <w:szCs w:val="16"/>
              </w:rPr>
              <w:t xml:space="preserve"> – For instance, the consent can be obtained via the terms and conditions at the point of onboarding but Banks should take reasonable steps to ensure customers are apprised that they are granting such consent to the Bank.</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 the word “consent” does not appear anywhere in the FI Guidelines. The written-consent requirement flows from banking secrecy under the Banking Act.</w:t>
            </w:r>
          </w:p>
        </w:tc>
      </w:tr>
      <w:tr w:rsidR="004F6066" w:rsidRPr="00DD537D" w14:paraId="5F585E20"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Theme="majorHAnsi" w:hAnsiTheme="majorHAnsi" w:cstheme="majorHAnsi"/>
                <w:highlight w:val="yellow"/>
                <w:sz w:val="18"/>
                <w:szCs w:val="18"/>
              </w:rPr>
              <w:t xml:space="preserve">MAS, or an auditor appointed by MAS, be allowed to audit the sub-contractor</w:t>
            </w:r>
            <w:r>
              <w:rPr>
                <w:rFonts w:asciiTheme="majorHAnsi" w:hAnsiTheme="majorHAnsi" w:cstheme="majorHAnsi"/>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Theme="majorHAnsi" w:hAnsiTheme="majorHAnsi" w:cstheme="majorHAnsi"/>
                <w:highlight w:val="yellow"/>
                <w:sz w:val="18"/>
                <w:szCs w:val="18"/>
              </w:rPr>
              <w:t xml:space="preserve">customer information</w:t>
            </w:r>
            <w:r>
              <w:rPr>
                <w:rFonts w:asciiTheme="majorHAnsi" w:hAnsiTheme="majorHAnsi" w:cstheme="majorHAnsi"/>
                <w:highlight w:val="yellow"/>
                <w:sz w:val="18"/>
                <w:szCs w:val="18"/>
                <w:vertAlign w:val="superscript"/>
              </w:rPr>
              <w:t xml:space="preserve">18</w:t>
            </w:r>
            <w:r>
              <w:rPr>
                <w:rFonts w:asciiTheme="majorHAnsi" w:hAnsiTheme="majorHAnsi" w:cstheme="majorHAnsi"/>
                <w:highlight w:val="yellow"/>
                <w:sz w:val="18"/>
                <w:szCs w:val="18"/>
              </w:rPr>
              <w:t xml:space="preserve"> given to the sub-contractor are deleted, destroyed or rendered unusable as soon as possible</w:t>
            </w:r>
            <w:r>
              <w:rPr>
                <w:rFonts w:asciiTheme="majorHAnsi" w:hAnsiTheme="majorHAnsi" w:cstheme="majorHAnsi"/>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18</w:t>
            </w:r>
            <w:r>
              <w:rPr>
                <w:rFonts w:asciiTheme="majorHAnsi" w:hAnsiTheme="majorHAnsi" w:cstheme="majorHAnsi"/>
                <w:sz w:val="16"/>
                <w:szCs w:val="16"/>
              </w:rPr>
              <w:t xml:space="preserve"> – Banks may provide flexibility to sub-contractors on the deletion of non-customer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do not prescribe the contents of the sub-contract itself; sub-contractors are reached through the service-provider liability clause in 5.5.2(j) and the audit and access clauses in 5.9.2–5.9.4.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6.3(a) of the Notices, MAS expects the notification</w:t>
            </w:r>
            <w:r>
              <w:rPr>
                <w:rFonts w:asciiTheme="majorHAnsi" w:hAnsiTheme="majorHAnsi" w:cstheme="majorHAnsi"/>
                <w:highlight w:val="yellow"/>
                <w:sz w:val="18"/>
                <w:szCs w:val="18"/>
                <w:vertAlign w:val="superscript"/>
              </w:rPr>
              <w:t xml:space="preserve">19</w:t>
            </w:r>
            <w:r>
              <w:rPr>
                <w:rFonts w:asciiTheme="majorHAnsi" w:hAnsiTheme="majorHAnsi" w:cstheme="majorHAnsi"/>
                <w:highlight w:val="yellow"/>
                <w:sz w:val="18"/>
                <w:szCs w:val="18"/>
              </w:rPr>
              <w:t xml:space="preserve"> to take place no later than 30 days.</w:t>
            </w:r>
            <w:r>
              <w:rPr>
                <w:rFonts w:asciiTheme="majorHAnsi" w:hAnsiTheme="majorHAnsi" w:cstheme="majorHAnsi"/>
                <w:sz w:val="18"/>
                <w:szCs w:val="18"/>
              </w:rPr>
              <w:t xml:space="preserve"> Where a notification occurs after 30 days, Banks should assess if the service provider has good reasons to do so and work with the service provider to ensure notifications are provided more promptly in the future.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19</w:t>
            </w:r>
            <w:r>
              <w:rPr>
                <w:rFonts w:asciiTheme="majorHAnsi" w:hAnsiTheme="majorHAnsi" w:cstheme="majorHAnsi"/>
                <w:sz w:val="16"/>
                <w:szCs w:val="16"/>
              </w:rPr>
              <w:t xml:space="preserve"> – This refers to the service provider’s notification to the Bank of its engagement of a sub-contractor.</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30-day (or any) period for notification of sub-contractor engagement appears in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[5.6]</w:t>
            </w:r>
            <w:r>
              <w:rPr>
                <w:rFonts w:asciiTheme="majorHAnsi" w:hAnsiTheme="majorHAnsi" w:cstheme="majorHAnsi"/>
                <w:i/>
                <w:iCs/>
                <w:sz w:val="18"/>
                <w:szCs w:val="18"/>
              </w:rPr>
              <w:t xml:space="preserve"> Confidentiality and Security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5.6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[5.6.1]</w:t>
            </w:r>
            <w:r>
              <w:rPr>
                <w:rFonts w:asciiTheme="majorHAnsi" w:hAnsiTheme="majorHAnsi" w:cstheme="majorHAnsi"/>
                <w:sz w:val="18"/>
                <w:szCs w:val="18"/>
              </w:rPr>
              <w:t xml:space="preserve"> As public confidence in financial institutions is a cornerstone in the stability and reputation of the financial industry, it is vital that an institution satisfies itself that the service provider’s security policies, procedures and controls will enable the institution to protect the confidentiality and security of customer information.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 of the Bank Guidelines corresponds verbatim to 5.6.1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w:t>
            </w:r>
            <w:r>
              <w:rPr>
                <w:rFonts w:asciiTheme="majorHAnsi" w:hAnsiTheme="majorHAnsi" w:cstheme="majorHAnsi"/>
                <w:sz w:val="18"/>
                <w:szCs w:val="18"/>
                <w:vertAlign w:val="superscript"/>
              </w:rPr>
              <w:t xml:space="preserve">20</w:t>
            </w:r>
            <w:r>
              <w:rPr>
                <w:rFonts w:asciiTheme="majorHAnsi" w:hAnsiTheme="majorHAnsi" w:cstheme="majorHAnsi"/>
                <w:sz w:val="18"/>
                <w:szCs w:val="18"/>
              </w:rPr>
              <w:t xml:space="preserve">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20</w:t>
            </w:r>
            <w:r>
              <w:rPr>
                <w:rFonts w:asciiTheme="majorHAnsi" w:hAnsiTheme="majorHAnsi" w:cstheme="majorHAnsi"/>
                <w:sz w:val="16"/>
                <w:szCs w:val="16"/>
              </w:rPr>
              <w:t xml:space="preserve"> – Multi-tenancy generally refers to a mode of operation adopted by service providers where a single computing infrastructure (e.g. servers, databases) is used to serve multiple customers (tenants).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[5.6.2]</w:t>
            </w:r>
            <w:r>
              <w:rPr>
                <w:rFonts w:asciiTheme="majorHAnsi" w:hAnsiTheme="majorHAnsi" w:cstheme="majorHAnsi"/>
                <w:sz w:val="18"/>
                <w:szCs w:val="18"/>
              </w:rPr>
              <w:t xml:space="preserve"> An institution should be proactive in identifying and specifying requirements for confidentiality and security in the outsourcing arrangement. An institution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institution;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w:t>
            </w:r>
            <w:r>
              <w:rPr>
                <w:rFonts w:asciiTheme="majorHAnsi" w:hAnsiTheme="majorHAnsi" w:cstheme="majorHAnsi"/>
                <w:sz w:val="18"/>
                <w:szCs w:val="18"/>
                <w:vertAlign w:val="superscript"/>
              </w:rPr>
              <w:t xml:space="preserve">15</w:t>
            </w:r>
            <w:r>
              <w:rPr>
                <w:rFonts w:asciiTheme="majorHAnsi" w:hAnsiTheme="majorHAnsi" w:cstheme="majorHAnsi"/>
                <w:sz w:val="18"/>
                <w:szCs w:val="18"/>
              </w:rPr>
              <w:t xml:space="preserve">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institution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15</w:t>
            </w:r>
            <w:r>
              <w:rPr>
                <w:rFonts w:asciiTheme="majorHAnsi" w:hAnsiTheme="majorHAnsi" w:cstheme="majorHAnsi"/>
                <w:sz w:val="16"/>
                <w:szCs w:val="16"/>
              </w:rPr>
              <w:t xml:space="preserve"> – Multi-tenancy generally refers to a mode of operation adopted by service providers where a single computing infrastructure (e.g. servers, databases) is used to serve multiple customers (tenants).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 of the Bank Guidelines corresponds verbatim to 5.6.2 of the FI Guidelines (“in the outsourcing arrangement” for “for the outsourcing arrangement”; multi-tenancy is defined identically at footnote 15 of the FI Guidelines). Footnote 9 of the Bank Guidelines additionally anchors MOORS agreement provisions to paragraphs 7.1(a)–(c) of the Notices; no FI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[5.7]</w:t>
            </w:r>
            <w:r>
              <w:rPr>
                <w:rFonts w:asciiTheme="majorHAnsi" w:hAnsiTheme="majorHAnsi" w:cstheme="majorHAnsi"/>
                <w:i/>
                <w:iCs/>
                <w:sz w:val="18"/>
                <w:szCs w:val="18"/>
              </w:rPr>
              <w:t xml:space="preserve"> Business Continuity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[5.7.1]</w:t>
            </w:r>
            <w:r>
              <w:rPr>
                <w:rFonts w:asciiTheme="majorHAnsi" w:hAnsiTheme="majorHAnsi" w:cstheme="majorHAnsi"/>
                <w:sz w:val="18"/>
                <w:szCs w:val="18"/>
              </w:rPr>
              <w:t xml:space="preserve"> An institution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An institution should adopt the sound practices and standards contained in the BCM Guidelines, in evaluating the impact of outsourcing on its risk profile and for effective BCM.</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 of the Bank Guidelines corresponds verbatim to 5.7.1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[5.7.2]</w:t>
            </w:r>
            <w:r>
              <w:rPr>
                <w:rFonts w:asciiTheme="majorHAnsi" w:hAnsiTheme="majorHAnsi" w:cstheme="majorHAnsi"/>
                <w:sz w:val="18"/>
                <w:szCs w:val="18"/>
              </w:rPr>
              <w:t xml:space="preserve"> In line with the BCM Guidelines, an institution should take steps to evaluate and satisfy itself that the interdependency risk arising from the outsourcing arrangement can be adequately mitigated such that the institution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institution should require the service provider to notify it of any test finding that may affect the service provider’s performance. The institution should also require the service provider to notify it of any substantial changes in the service provider’s BCP and of any adverse development that could substantially impact the service provided to the institution; and (c) Ensure that there are plans and procedures in place to address adverse conditions or termination of the outsourcing arrangement such that the institution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 of the Bank Guidelines corresponds verbatim to 5.7.2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[5.7.3]</w:t>
            </w:r>
            <w:r>
              <w:rPr>
                <w:rFonts w:asciiTheme="majorHAnsi" w:hAnsiTheme="majorHAnsi" w:cstheme="majorHAnsi"/>
                <w:sz w:val="18"/>
                <w:szCs w:val="18"/>
              </w:rPr>
              <w:t xml:space="preserve"> An institution should involve its service providers, where applicable, in the validation and testing of its BCPs to ensure that BCP testing is complete and meaningful, and to gain assurance on the functionality and effectiveness of its BCPs. Similarly, an institution could take part in its service providers’ business continuity and disaster recovery tests. Such tests would also serve to familiarise the institution and the service provider with the recovery processes, as well as improve the coordination between the parties involved.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 of the Bank Guidelines corresponds verbatim to 5.7.3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[5.7.4]</w:t>
            </w:r>
            <w:r>
              <w:rPr>
                <w:rFonts w:asciiTheme="majorHAnsi" w:hAnsiTheme="majorHAnsi" w:cstheme="majorHAnsi"/>
                <w:sz w:val="18"/>
                <w:szCs w:val="18"/>
              </w:rPr>
              <w:t xml:space="preserve"> An institution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institution and the service provider. Where the interdependency on an institution in the financial system is high, the institution should maintain a higher state of business continuity preparedness. The identification of viable alternatives for resuming operations without incurring prohibitive costs is also essential to mitigate interdependency risk.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 of the Bank Guidelines corresponds verbatim to 5.7.4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[5.8]</w:t>
            </w:r>
            <w:r>
              <w:rPr>
                <w:rFonts w:asciiTheme="majorHAnsi" w:hAnsiTheme="majorHAnsi" w:cstheme="majorHAnsi"/>
                <w:i/>
                <w:iCs/>
                <w:sz w:val="18"/>
                <w:szCs w:val="18"/>
              </w:rPr>
              <w:t xml:space="preserve"> 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5.8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[5.8.1]</w:t>
            </w:r>
            <w:r>
              <w:rPr>
                <w:rFonts w:asciiTheme="majorHAnsi" w:hAnsiTheme="majorHAnsi" w:cstheme="majorHAnsi"/>
                <w:sz w:val="18"/>
                <w:szCs w:val="18"/>
              </w:rPr>
              <w:t xml:space="preserve"> An institution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An institution also has to be more proactive in its relationship with the service provider (e.g. having frequent meetings) to ensure that performance, operational, internal control and risk management standards are upheld. An institution should ensure that outsourcing agreements with service providers contain clauses to address the institution’s 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 of the Bank Guidelines corresponds verbatim to 5.8.1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put in place all the following measures for effective monitoring and control of any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(a) Maintain a register</w:t>
            </w: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w:t>
            </w:r>
            <w:r>
              <w:rPr>
                <w:rFonts w:asciiTheme="majorHAnsi" w:hAnsiTheme="majorHAnsi" w:cstheme="majorHAnsi"/>
                <w:sz w:val="18"/>
                <w:szCs w:val="18"/>
                <w:vertAlign w:val="superscript"/>
              </w:rPr>
              <w:t xml:space="preserve">22</w:t>
            </w:r>
            <w:r>
              <w:rPr>
                <w:rFonts w:asciiTheme="majorHAnsi" w:hAnsiTheme="majorHAnsi" w:cstheme="majorHAnsi"/>
                <w:sz w:val="18"/>
                <w:szCs w:val="18"/>
              </w:rPr>
              <w:t xml:space="preserve">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21</w:t>
            </w:r>
            <w:r>
              <w:rPr>
                <w:rFonts w:asciiTheme="majorHAnsi" w:hAnsiTheme="majorHAnsi" w:cstheme="majorHAnsi"/>
                <w:sz w:val="16"/>
                <w:szCs w:val="16"/>
              </w:rPr>
              <w:t xml:space="preserve"> – Banks should submit their registers according to the template set out at this link.</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22</w:t>
            </w:r>
            <w:r>
              <w:rPr>
                <w:rFonts w:asciiTheme="majorHAnsi" w:hAnsiTheme="majorHAnsi" w:cstheme="majorHAnsi"/>
                <w:sz w:val="16"/>
                <w:szCs w:val="16"/>
              </w:rPr>
              <w:t xml:space="preserve"> – Refer to paragraph 3.1.3.</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[5.8.2] </w:t>
            </w: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w:t>
            </w:r>
            <w:r>
              <w:rPr>
                <w:rFonts w:asciiTheme="majorHAnsi" w:hAnsiTheme="majorHAnsi" w:cstheme="majorHAnsi"/>
                <w:sz w:val="18"/>
                <w:szCs w:val="18"/>
                <w:vertAlign w:val="superscript"/>
              </w:rPr>
              <w:t xml:space="preserve">16</w:t>
            </w:r>
            <w:r>
              <w:rPr>
                <w:rFonts w:asciiTheme="majorHAnsi" w:hAnsiTheme="majorHAnsi" w:cstheme="majorHAnsi"/>
                <w:sz w:val="18"/>
                <w:szCs w:val="18"/>
              </w:rPr>
              <w:t xml:space="preserve">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16</w:t>
            </w:r>
            <w:r>
              <w:rPr>
                <w:rFonts w:asciiTheme="majorHAnsi" w:hAnsiTheme="majorHAnsi" w:cstheme="majorHAnsi"/>
                <w:sz w:val="16"/>
                <w:szCs w:val="16"/>
              </w:rPr>
              <w:t xml:space="preserve">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 of the Bank Guidelines corresponds to 5.8.2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(d): periodic reviews of all material outsourcing arrangements at least annually. The Bank Guidelines require periodic reviews at Annex 1(3), but set no fixed annual minimum.</w:t>
            </w:r>
          </w:p>
          <w:p>
            <w:pPr>
              <w:pStyle w:val="BodyText"/>
              <w:rPr>
                <w:rFonts w:asciiTheme="majorHAnsi" w:hAnsiTheme="majorHAnsi" w:cstheme="majorHAnsi"/>
                <w:sz w:val="18"/>
                <w:szCs w:val="18"/>
              </w:rPr>
            </w:pPr>
            <w:r>
              <w:rPr>
                <w:rFonts w:asciiTheme="majorHAnsi" w:hAnsiTheme="majorHAnsi" w:cstheme="majorHAnsi"/>
                <w:sz w:val="18"/>
                <w:szCs w:val="18"/>
              </w:rPr>
              <w:t xml:space="preserve">2. The register: the Bank Guidelines point to a template link (footnote 21) with no stated frequency; the FI Guidelines require the register to contain the Annex 4 information and to be submitted at least annually or upon request (4.1.1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[5.9]</w:t>
            </w:r>
            <w:r>
              <w:rPr>
                <w:rFonts w:asciiTheme="majorHAnsi" w:hAnsiTheme="majorHAnsi" w:cstheme="majorHAnsi"/>
                <w:i/>
                <w:iCs/>
                <w:sz w:val="18"/>
                <w:szCs w:val="18"/>
              </w:rPr>
              <w:t xml:space="preserve"> Audit and inspection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Bank’s outsourcing arrangements should not interfere with the ability of the Bank to effectively manage its business activities or impede MAS in carrying out its supervisory functions.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[5.9.1]</w:t>
            </w:r>
            <w:r>
              <w:rPr>
                <w:rFonts w:asciiTheme="majorHAnsi" w:hAnsiTheme="majorHAnsi" w:cstheme="majorHAnsi"/>
                <w:sz w:val="18"/>
                <w:szCs w:val="18"/>
              </w:rPr>
              <w:t xml:space="preserve"> An institution’s outsourcing arrangements should not interfere with the ability of the institution to effectively manage its business activities or impede MAS in carrying out its supervisory functions.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 of the Bank Guidelines corresponds verbatim to 5.9.1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[5.9.2] </w:t>
            </w: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5.9.3: 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 of the Bank Guidelines corresponds to 5.9.2(a) of the FI Guidelines.</w:t>
            </w:r>
          </w:p>
          <w:p>
            <w:pPr>
              <w:pStyle w:val="BodyText"/>
              <w:rPr>
                <w:rFonts w:asciiTheme="majorHAnsi" w:hAnsiTheme="majorHAnsi" w:cstheme="majorHAnsi"/>
                <w:sz w:val="18"/>
                <w:szCs w:val="18"/>
              </w:rPr>
            </w:pPr>
            <w:r>
              <w:rPr>
                <w:rFonts w:asciiTheme="majorHAnsi" w:hAnsiTheme="majorHAnsi" w:cstheme="majorHAnsi"/>
                <w:sz w:val="18"/>
                <w:szCs w:val="18"/>
              </w:rPr>
              <w:t xml:space="preserve">1. 5.9.2(b) of the FI Guidelines (clauses allowing MAS or its agents to exercise the institution’s access and inspection rights) has no Bank counterpart: for Banks, MAS has statutory inspection powers over service providers under section 47A(10) of the Banking Act, and paragraph 7.1(d) of the Notices prescribes the audit clauses.</w:t>
            </w:r>
          </w:p>
          <w:p>
            <w:pPr>
              <w:pStyle w:val="BodyText"/>
              <w:rPr>
                <w:rFonts w:asciiTheme="majorHAnsi" w:hAnsiTheme="majorHAnsi" w:cstheme="majorHAnsi"/>
                <w:sz w:val="18"/>
                <w:szCs w:val="18"/>
              </w:rPr>
            </w:pPr>
            <w:r>
              <w:rPr>
                <w:rFonts w:asciiTheme="majorHAnsi" w:hAnsiTheme="majorHAnsi" w:cstheme="majorHAnsi"/>
                <w:sz w:val="18"/>
                <w:szCs w:val="18"/>
              </w:rPr>
              <w:t xml:space="preserve">2. 5.9.3 of the FI Guidelines (service provider to submit security and control reports to MAS on request) also has 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w:t>
            </w:r>
            <w:r>
              <w:rPr>
                <w:rFonts w:asciiTheme="majorHAnsi" w:hAnsiTheme="majorHAnsi" w:cstheme="majorHAnsi"/>
                <w:highlight w:val="yellow"/>
                <w:sz w:val="18"/>
                <w:szCs w:val="18"/>
              </w:rPr>
              <w:t xml:space="preserve">endeavour to subject</w:t>
            </w:r>
            <w:r>
              <w:rPr>
                <w:rFonts w:asciiTheme="majorHAnsi" w:hAnsiTheme="majorHAnsi" w:cstheme="majorHAnsi"/>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[5.9.4]</w:t>
            </w:r>
            <w:r>
              <w:rPr>
                <w:rFonts w:asciiTheme="majorHAnsi" w:hAnsiTheme="majorHAnsi" w:cstheme="majorHAnsi"/>
                <w:sz w:val="18"/>
                <w:szCs w:val="18"/>
              </w:rPr>
              <w:t xml:space="preserve"> 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5.9.4 of the FI Guidelines, with two differences: the Bank should “endeavour to subject” sub-contractors to the audit requirements, while the institution should “ensure that these expectations are met” (stricter); and “these expectations” in 5.9.4 covers both 5.9.2 and 5.9.3, so the FI obligation is broader than audit alone.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w:t>
            </w:r>
            <w:r>
              <w:rPr>
                <w:rFonts w:asciiTheme="majorHAnsi" w:hAnsiTheme="majorHAnsi" w:cstheme="majorHAnsi"/>
                <w:sz w:val="18"/>
                <w:szCs w:val="18"/>
                <w:vertAlign w:val="superscript"/>
              </w:rPr>
              <w:t xml:space="preserve">23</w:t>
            </w:r>
            <w:r>
              <w:rPr>
                <w:rFonts w:asciiTheme="majorHAnsi" w:hAnsiTheme="majorHAnsi" w:cstheme="majorHAnsi"/>
                <w:sz w:val="18"/>
                <w:szCs w:val="18"/>
              </w:rPr>
              <w:t xml:space="preserve"> and control environment, incident management process (for material breaches, service disruptions or other material issues) and the Bank’s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23</w:t>
            </w:r>
            <w:r>
              <w:rPr>
                <w:rFonts w:asciiTheme="majorHAnsi" w:hAnsiTheme="majorHAnsi" w:cstheme="majorHAnsi"/>
                <w:sz w:val="16"/>
                <w:szCs w:val="16"/>
              </w:rPr>
              <w:t xml:space="preserve"> – The security environment refers to both the physical and IT security environments.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[5.9.5]</w:t>
            </w:r>
            <w:r>
              <w:rPr>
                <w:rFonts w:asciiTheme="majorHAnsi" w:hAnsiTheme="majorHAnsi" w:cstheme="majorHAnsi"/>
                <w:sz w:val="18"/>
                <w:szCs w:val="18"/>
              </w:rPr>
              <w:t xml:space="preserve"> An institution should ensure that independent audits and/or expert assessments of all its outsourcing arrangements are conducted. In determining the frequency of audit and expert assessment, the institution should consider the nature and extent of risk and impact to the institution from the outsourcing arrangements. The scope of the audits and expert assessments should include an assessment of the service providers’ and its sub-contractors’ security</w:t>
            </w:r>
            <w:r>
              <w:rPr>
                <w:rFonts w:asciiTheme="majorHAnsi" w:hAnsiTheme="majorHAnsi" w:cstheme="majorHAnsi"/>
                <w:sz w:val="18"/>
                <w:szCs w:val="18"/>
                <w:vertAlign w:val="superscript"/>
              </w:rPr>
              <w:t xml:space="preserve">17</w:t>
            </w:r>
            <w:r>
              <w:rPr>
                <w:rFonts w:asciiTheme="majorHAnsi" w:hAnsiTheme="majorHAnsi" w:cstheme="majorHAnsi"/>
                <w:sz w:val="18"/>
                <w:szCs w:val="18"/>
              </w:rPr>
              <w:t xml:space="preserve"> and control environment incident management process (for material breaches, service disruptions or other material issues) and the institution’s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17</w:t>
            </w:r>
            <w:r>
              <w:rPr>
                <w:rFonts w:asciiTheme="majorHAnsi" w:hAnsiTheme="majorHAnsi" w:cstheme="majorHAnsi"/>
                <w:sz w:val="16"/>
                <w:szCs w:val="16"/>
              </w:rPr>
              <w:t xml:space="preserve"> – The security environment refers to both the physical and IT security environments.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 of the Bank Guidelines corresponds verbatim to 5.9.5 of the FI Guidelines, save that 5.9.5 reads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Bank’s internal or external auditors, the service provider’s external auditors</w:t>
            </w:r>
            <w:r>
              <w:rPr>
                <w:rFonts w:asciiTheme="majorHAnsi" w:hAnsiTheme="majorHAnsi" w:cstheme="majorHAnsi"/>
                <w:sz w:val="18"/>
                <w:szCs w:val="18"/>
                <w:vertAlign w:val="superscript"/>
              </w:rPr>
              <w:t xml:space="preserve">24</w:t>
            </w:r>
            <w:r>
              <w:rPr>
                <w:rFonts w:asciiTheme="majorHAnsi" w:hAnsiTheme="majorHAnsi" w:cstheme="majorHAnsi"/>
                <w:sz w:val="18"/>
                <w:szCs w:val="18"/>
              </w:rPr>
              <w:t xml:space="preserve"> or by agents appointed by the Bank </w:t>
            </w:r>
            <w:r>
              <w:rPr>
                <w:rFonts w:asciiTheme="majorHAnsi" w:hAnsiTheme="majorHAnsi" w:cstheme="majorHAnsi"/>
                <w:highlight w:val="yellow"/>
                <w:sz w:val="18"/>
                <w:szCs w:val="18"/>
              </w:rPr>
              <w:t xml:space="preserve">(e.g. audits commissioned by multiple Banks using the same service provider)</w:t>
            </w:r>
            <w:r>
              <w:rPr>
                <w:rFonts w:asciiTheme="majorHAnsi" w:hAnsiTheme="majorHAnsi" w:cstheme="majorHAnsi"/>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findings25.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24</w:t>
            </w:r>
            <w:r>
              <w:rPr>
                <w:rFonts w:asciiTheme="majorHAnsi" w:hAnsiTheme="majorHAnsi" w:cstheme="majorHAnsi"/>
                <w:sz w:val="16"/>
                <w:szCs w:val="16"/>
              </w:rPr>
              <w:t xml:space="preserve"> – </w:t>
            </w:r>
            <w:r>
              <w:rPr>
                <w:rFonts w:asciiTheme="majorHAnsi" w:hAnsiTheme="majorHAnsi" w:cstheme="majorHAnsi"/>
                <w:highlight w:val="yellow"/>
                <w:sz w:val="16"/>
                <w:szCs w:val="16"/>
              </w:rPr>
              <w:t xml:space="preserve">While audits need not be procured by banks</w:t>
            </w:r>
            <w:r>
              <w:rPr>
                <w:rFonts w:asciiTheme="majorHAnsi" w:hAnsiTheme="majorHAnsi" w:cstheme="majorHAnsi"/>
                <w:sz w:val="16"/>
                <w:szCs w:val="16"/>
              </w:rPr>
              <w:t xml:space="preserve">, a bank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25</w:t>
            </w:r>
            <w:r>
              <w:rPr>
                <w:rFonts w:asciiTheme="majorHAnsi" w:hAnsiTheme="majorHAnsi" w:cstheme="majorHAnsi"/>
                <w:sz w:val="16"/>
                <w:szCs w:val="16"/>
              </w:rPr>
              <w:t xml:space="preserve"> – Please refer to paragraph 3.1 on Responsibilities of Board and Senior Management.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[5.9.6]</w:t>
            </w:r>
            <w:r>
              <w:rPr>
                <w:rFonts w:asciiTheme="majorHAnsi" w:hAnsiTheme="majorHAnsi" w:cstheme="majorHAnsi"/>
                <w:sz w:val="18"/>
                <w:szCs w:val="18"/>
              </w:rPr>
              <w:t xml:space="preserve"> The independent audit and/or expert assessment on the service provider and its sub-contractors may be performed by the institution’s internal or external auditors, the service provider’s external auditors</w:t>
            </w:r>
            <w:r>
              <w:rPr>
                <w:rFonts w:asciiTheme="majorHAnsi" w:hAnsiTheme="majorHAnsi" w:cstheme="majorHAnsi"/>
                <w:sz w:val="18"/>
                <w:szCs w:val="18"/>
                <w:vertAlign w:val="superscript"/>
              </w:rPr>
              <w:t xml:space="preserve">18</w:t>
            </w:r>
            <w:r>
              <w:rPr>
                <w:rFonts w:asciiTheme="majorHAnsi" w:hAnsiTheme="majorHAnsi" w:cstheme="majorHAnsi"/>
                <w:sz w:val="18"/>
                <w:szCs w:val="18"/>
              </w:rPr>
              <w:t xml:space="preserve"> or by agents appointed by the institution.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findings19. Institutions and the service providers should have adequate processes in place to ensure that remedial actions are satisfactorily completed. Actions taken by the service provider to address the audit findings should be appropriately validated by the institution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18</w:t>
            </w:r>
            <w:r>
              <w:rPr>
                <w:rFonts w:asciiTheme="majorHAnsi" w:hAnsiTheme="majorHAnsi" w:cstheme="majorHAnsi"/>
                <w:sz w:val="16"/>
                <w:szCs w:val="16"/>
              </w:rPr>
              <w:t xml:space="preserve"> – An institution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19</w:t>
            </w:r>
            <w:r>
              <w:rPr>
                <w:rFonts w:asciiTheme="majorHAnsi" w:hAnsiTheme="majorHAnsi" w:cstheme="majorHAnsi"/>
                <w:sz w:val="16"/>
                <w:szCs w:val="16"/>
              </w:rPr>
              <w:t xml:space="preserve"> – Please refer to para 5.2 on Responsibilities of Board and Senior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 of the Bank Guidelines corresponds to 5.9.6 of the FI Guidelines, with two differences: the pooled-audit example “(e.g. audits commissioned by multiple Banks using the same service provider)” is Bank-only; and footnote 24 of the Bank Guidelines opens with “While audits need not be procured by banks”, a concession footnote 18 of the FI Guidelines omits.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[5.9.7]</w:t>
            </w:r>
            <w:r>
              <w:rPr>
                <w:rFonts w:asciiTheme="majorHAnsi" w:hAnsiTheme="majorHAnsi" w:cstheme="majorHAnsi"/>
                <w:sz w:val="18"/>
                <w:szCs w:val="18"/>
              </w:rPr>
              <w:t xml:space="preserve"> Significant issues and concerns should be brought to the attention of the senior management of the institution and service provider, or to the institution’s board, where warranted, on a timely basis. Actions should be taken by the institution to review the outsourcing arrangement if the risk posed is no longer within the institution’s risk tolerance.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 of the Bank Guidelines corresponds verbatim to 5.9.7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3.9.7</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Bank to MAS </w:t>
            </w:r>
            <w:r>
              <w:rPr>
                <w:rFonts w:asciiTheme="majorHAnsi" w:hAnsiTheme="majorHAnsi" w:cstheme="majorHAnsi"/>
                <w:highlight w:val="yellow"/>
                <w:sz w:val="18"/>
                <w:szCs w:val="18"/>
              </w:rPr>
              <w:t xml:space="preserve">upon request</w:t>
            </w:r>
            <w:r>
              <w:rPr>
                <w:rFonts w:asciiTheme="majorHAnsi" w:hAnsiTheme="majorHAnsi" w:cstheme="majorHAnsi"/>
                <w:sz w:val="18"/>
                <w:szCs w:val="18"/>
              </w:rPr>
              <w:t xml:space="preserve">. A Bank should also, upon request, provide MAS with other reports or information on the Bank and service provider that is related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[5.9.8]</w:t>
            </w:r>
            <w:r>
              <w:rPr>
                <w:rFonts w:asciiTheme="majorHAnsi" w:hAnsiTheme="majorHAnsi" w:cstheme="majorHAnsi"/>
                <w:sz w:val="18"/>
                <w:szCs w:val="18"/>
              </w:rPr>
              <w:t xml:space="preserve"> Copies of audit reports should be submitted by the institution to MAS</w:t>
            </w:r>
            <w:r>
              <w:rPr>
                <w:rFonts w:asciiTheme="majorHAnsi" w:hAnsiTheme="majorHAnsi" w:cstheme="majorHAnsi"/>
                <w:highlight w:val="yellow"/>
                <w:sz w:val="18"/>
                <w:szCs w:val="18"/>
              </w:rPr>
              <w:t xml:space="preserve">.</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5.9.8 of the FI Guidelines, save that the FI Guidelines omit “upon request” for audit reports – on its face, the FI expectation to submit audit reports is unconditional. Both retain “upon request” for other reports and information.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Audits and/or expert assessments performed as part of a certification process (but not self-attestations) may be relied on to meet requirements or expectations on audit</w:t>
            </w:r>
            <w:r>
              <w:rPr>
                <w:rFonts w:asciiTheme="majorHAnsi" w:hAnsiTheme="majorHAnsi" w:cstheme="majorHAnsi"/>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Theme="majorHAnsi" w:hAnsiTheme="majorHAnsi" w:cstheme="majorHAnsi"/>
                <w:highlight w:val="yellow"/>
                <w:sz w:val="18"/>
                <w:szCs w:val="18"/>
              </w:rPr>
              <w:t xml:space="preserve">Banks may also rely on pooled audits or third-party certification (of their service providers) performed by independent parties.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are silent on reliance on certification-based audits, pooled audits and third-party certification.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[5.10]</w:t>
            </w:r>
            <w:r>
              <w:rPr>
                <w:rFonts w:asciiTheme="majorHAnsi" w:hAnsiTheme="majorHAnsi" w:cstheme="majorHAnsi"/>
                <w:i/>
                <w:iCs/>
                <w:sz w:val="18"/>
                <w:szCs w:val="18"/>
              </w:rPr>
              <w:t xml:space="preserve"> Outsourcing outside Singapore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5.10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[5.10.1]</w:t>
            </w:r>
            <w:r>
              <w:rPr>
                <w:rFonts w:asciiTheme="majorHAnsi" w:hAnsiTheme="majorHAnsi" w:cstheme="majorHAnsi"/>
                <w:sz w:val="18"/>
                <w:szCs w:val="18"/>
              </w:rPr>
              <w:t xml:space="preserve"> The engagement of a service provider in a foreign country, or an outsourcing arrangement whereby the outsourced function is performed in a foreign country, may expose an institution to country risk - economic, social and political conditions and events in a foreign country that may adversely affect the institution. Such conditions and events could prevent the service provider from carrying out the terms of its agreement with the institution. In its risk management of such outsourcing arrangements, an institution should take into account, as part of its due diligence, and on a continuous basis: (a) government policies; (b) political, social, economic conditions; (c) legal and regulatory developments in the foreign country; and (d) the institution’s ability to effectively monitor the service provider, and execute its business continuity management plans and exit strategy. An institution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 of the Bank Guidelines corresponds verbatim to 5.10.1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[5.10.2] </w:t>
            </w: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 of the Bank Guidelines corresponds to 5.10.2(a) and the first part of 5.10.2(b) of the FI Guidelines. Two FI-only additions: the institution should confirm in writing to MAS that its agreements provide MAS the inspection and access rights in 5.9; and item (c) requires notification to MAS if any overseas authority seeks access to customer information, or if the access rights of the institution and MAS are restricted or denied. Neither appears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[5.11]</w:t>
            </w:r>
            <w:r>
              <w:rPr>
                <w:rFonts w:asciiTheme="majorHAnsi" w:hAnsiTheme="majorHAnsi" w:cstheme="majorHAnsi"/>
                <w:i/>
                <w:iCs/>
                <w:sz w:val="18"/>
                <w:szCs w:val="18"/>
              </w:rPr>
              <w:t xml:space="preserve"> 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 Bank’s group, </w:t>
            </w:r>
            <w:r>
              <w:rPr>
                <w:rFonts w:asciiTheme="majorHAnsi" w:hAnsiTheme="majorHAnsi" w:cstheme="majorHAnsi"/>
                <w:highlight w:val="yellow"/>
                <w:sz w:val="18"/>
                <w:szCs w:val="18"/>
              </w:rPr>
              <w:t xml:space="preserve">including subsidiaries of Singapore-incorporated banks</w:t>
            </w:r>
            <w:r>
              <w:rPr>
                <w:rFonts w:asciiTheme="majorHAnsi" w:hAnsiTheme="majorHAnsi" w:cstheme="majorHAnsi"/>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[5.11.1]</w:t>
            </w:r>
            <w:r>
              <w:rPr>
                <w:rFonts w:asciiTheme="majorHAnsi" w:hAnsiTheme="majorHAnsi" w:cstheme="majorHAnsi"/>
                <w:sz w:val="18"/>
                <w:szCs w:val="18"/>
              </w:rPr>
              <w:t xml:space="preserve"> These Guidelines are applicable to outsourcing arrangements with parties within an institution’s group. The expectations may be addressed within group-wide risk management policies and procedures. The institution would be expected to provide, when requested, information demonstrating the structure and processes by which its board and senior management discharge their role in the oversight and management of outsourcing risks on a group-wide basis. For an institution incorporated or established outside Singapore, the roles and responsibilities of the local management are set out in paragraph 5.2.5.</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 of the Bank Guidelines corresponds to 5.11.1 of the FI Guidelines, save that the phrase “including subsidiaries of Singapore-incorporated banks” is Bank-only (the FI group-wide duty is at 2.3 of the FI Guidelines instead) and 5.11.1 reads “policies and procedures” (plural).</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[5.11.2]</w:t>
            </w:r>
            <w:r>
              <w:rPr>
                <w:rFonts w:asciiTheme="majorHAnsi" w:hAnsiTheme="majorHAnsi" w:cstheme="majorHAnsi"/>
                <w:sz w:val="18"/>
                <w:szCs w:val="18"/>
              </w:rPr>
              <w:t xml:space="preserve"> Due diligence on an intra-group service provider may take the form of evaluating qualitative aspects of the service provider’s ability to address risks specific to the institution, particularly those relating to business continuity management, monitoring and control, audit and inspection, including confirmation on the right of access to be provided to MAS, to retain effective supervision over the institution, and compliance with local regulatory standards. The respective roles and responsibilities of each office in the outsourcing arrangement should be documented in writing in a service level agreement or an equivalent document.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 of the Bank Guidelines corresponds verbatim to 5.11.2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[5.12]</w:t>
            </w:r>
            <w:r>
              <w:rPr>
                <w:rFonts w:asciiTheme="majorHAnsi" w:hAnsiTheme="majorHAnsi" w:cstheme="majorHAnsi"/>
                <w:i/>
                <w:iCs/>
                <w:sz w:val="18"/>
                <w:szCs w:val="18"/>
              </w:rPr>
              <w:t xml:space="preserve"> Outsourcing of Internal Audit to External Auditors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26</w:t>
            </w:r>
            <w:r>
              <w:rPr>
                <w:rFonts w:asciiTheme="majorHAnsi" w:hAnsiTheme="majorHAnsi" w:cstheme="majorHAnsi"/>
                <w:sz w:val="16"/>
                <w:szCs w:val="16"/>
              </w:rPr>
              <w:t xml:space="preserve"> – Any departure from this best practice should remain within the bounds of the applicable ethical standards for the statutory or external auditor.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[5.12.1]</w:t>
            </w:r>
            <w:r>
              <w:rPr>
                <w:rFonts w:asciiTheme="majorHAnsi" w:hAnsiTheme="majorHAnsi" w:cstheme="majorHAnsi"/>
                <w:sz w:val="18"/>
                <w:szCs w:val="18"/>
              </w:rPr>
              <w:t xml:space="preserve"> Where the outsourced service is the internal audit function of an institution, there are additional issues that an institution should deliberate upon. One of these is the lack of independence or the appearance of impaired independence, when a service provider is handling multiple engagements for an institution, such as internal and external audits, and consulting work. There is doubt that the service provider, in its internal audit role, would criticise itself for the quality of the external audit or consultancy services provided to the institution. In addition, as operations of an institution could be complex and involve large transaction volumes and amounts, it should ensure service providers have the expertise to adequately complete the engagement. An institution should address these and other relevant issues before outsourcing the internal audit function. In addition, as a sound practice, institutions should not outsource their internal audit function to the institution’s external audit firm20.</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20</w:t>
            </w:r>
            <w:r>
              <w:rPr>
                <w:rFonts w:asciiTheme="majorHAnsi" w:hAnsiTheme="majorHAnsi" w:cstheme="majorHAnsi"/>
                <w:sz w:val="16"/>
                <w:szCs w:val="16"/>
              </w:rPr>
              <w:t xml:space="preserve"> – Any departure from this best practice should be </w:t>
            </w:r>
            <w:r>
              <w:rPr>
                <w:rFonts w:asciiTheme="majorHAnsi" w:hAnsiTheme="majorHAnsi" w:cstheme="majorHAnsi"/>
                <w:highlight w:val="yellow"/>
                <w:sz w:val="16"/>
                <w:szCs w:val="16"/>
              </w:rPr>
              <w:t xml:space="preserve">limited to small institutions</w:t>
            </w:r>
            <w:r>
              <w:rPr>
                <w:rFonts w:asciiTheme="majorHAnsi" w:hAnsiTheme="majorHAnsi" w:cstheme="majorHAnsi"/>
                <w:sz w:val="16"/>
                <w:szCs w:val="16"/>
              </w:rPr>
              <w:t xml:space="preserve"> and should remain within the bounds of the applicable ethical standards for the statutory or external auditor.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 of the Bank Guidelines corresponds to 5.12.1 of the FI Guidelines. The departure footnotes differ: footnote 20 of the FI Guidelines limits departures from this best practice to </w:t>
            </w:r>
            <w:r>
              <w:rPr>
                <w:rFonts w:asciiTheme="majorHAnsi" w:hAnsiTheme="majorHAnsi" w:cstheme="majorHAnsi"/>
                <w:highlight w:val="yellow"/>
                <w:sz w:val="18"/>
                <w:szCs w:val="18"/>
              </w:rPr>
              <w:t xml:space="preserve">small institutions</w:t>
            </w:r>
            <w:r>
              <w:rPr>
                <w:rFonts w:asciiTheme="majorHAnsi" w:hAnsiTheme="majorHAnsi" w:cstheme="majorHAnsi"/>
                <w:sz w:val="18"/>
                <w:szCs w:val="18"/>
              </w:rPr>
              <w:t xml:space="preserve">; footnote 26 of the Bank Guidelines contains no size limit.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[5.12.2]</w:t>
            </w:r>
            <w:r>
              <w:rPr>
                <w:rFonts w:asciiTheme="majorHAnsi" w:hAnsiTheme="majorHAnsi" w:cstheme="majorHAnsi"/>
                <w:sz w:val="18"/>
                <w:szCs w:val="18"/>
              </w:rPr>
              <w:t xml:space="preserve"> Before outsourcing the internal audit function to external auditors, an institution should satisfy itself that the external auditor would be in compliance with the relevant auditor independence standards of the Singapore accounting profession.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 of the Bank Guidelines corresponds verbatim to 5.12.2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[5.12.3]</w:t>
            </w:r>
            <w:r>
              <w:rPr>
                <w:rFonts w:asciiTheme="majorHAnsi" w:hAnsiTheme="majorHAnsi" w:cstheme="majorHAnsi"/>
                <w:sz w:val="18"/>
                <w:szCs w:val="18"/>
              </w:rPr>
              <w:t xml:space="preserve"> An institution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 of the Bank Guidelines corresponds verbatim to 5.12.3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 ↔ Annex 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[FI Annex 3]</w:t>
            </w:r>
            <w:r>
              <w:rPr>
                <w:rFonts w:asciiTheme="majorHAnsi" w:hAnsiTheme="majorHAnsi" w:cstheme="majorHAnsi"/>
                <w:sz w:val="18"/>
                <w:szCs w:val="18"/>
              </w:rPr>
              <w:t xml:space="preserve"> Worded identically to Bank Annex 1 (Material Outsourcing), with “institution” for “Bank”.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Materiality. Bank Annex 1 corresponds to FI Annex 3, worded identically.</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 ↔ Annex 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Cloud Computing.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Banks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Banks are adopting CS to fulfil their business and operational requirements. These CS deployments may be operated in-house or off-premises by service providers. While the latter can take the form of a private</w:t>
            </w:r>
            <w:r>
              <w:rPr>
                <w:rFonts w:asciiTheme="majorHAnsi" w:hAnsiTheme="majorHAnsi" w:cstheme="majorHAnsi"/>
                <w:sz w:val="18"/>
                <w:szCs w:val="18"/>
                <w:vertAlign w:val="superscript"/>
              </w:rPr>
              <w:t xml:space="preserve">27</w:t>
            </w:r>
            <w:r>
              <w:rPr>
                <w:rFonts w:asciiTheme="majorHAnsi" w:hAnsiTheme="majorHAnsi" w:cstheme="majorHAnsi"/>
                <w:sz w:val="18"/>
                <w:szCs w:val="18"/>
              </w:rPr>
              <w:t xml:space="preserve"> or public</w:t>
            </w:r>
            <w:r>
              <w:rPr>
                <w:rFonts w:asciiTheme="majorHAnsi" w:hAnsiTheme="majorHAnsi" w:cstheme="majorHAnsi"/>
                <w:sz w:val="18"/>
                <w:szCs w:val="18"/>
                <w:vertAlign w:val="superscript"/>
              </w:rPr>
              <w:t xml:space="preserve">28</w:t>
            </w:r>
            <w:r>
              <w:rPr>
                <w:rFonts w:asciiTheme="majorHAnsi" w:hAnsiTheme="majorHAnsi" w:cstheme="majorHAnsi"/>
                <w:sz w:val="18"/>
                <w:szCs w:val="18"/>
              </w:rPr>
              <w:t xml:space="preserve"> cloud, there is a growing trend for Banks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Banks to protect sensitive customer data. In this regard, a number of CS providers have implemented strong authentication, access controls, tokenisation techniques and data encryption to bolster security to meet Banks’ requirements. 5. MAS considers CS operated by service providers as a form of outsourcing and recognises that Banks may leverage on such a service to enhance their operations and service efficiency while reaping the benefits of CS’ scalable, standardised and secured infrastructure. 6. The types of risks in CS that confront Banks are not distinct from that of other forms of outsourcing arrangements. Banks should perform the necessary due diligence and apply sound governance and risk management practices articulated in this set of Guidelines when subscribing to CS. 7. Banks should be aware of CS’ typical characteristics such as multi-tenancy, data commingling and the higher propensity for processing to be carried out in multiple locations. Hence, Banks should take active steps to address the risks associated with data access, confidentiality, integrity, sovereignty, recoverability, regulatory compliance and auditing. In particular, Banks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Banks are ultimately responsible and accountable for maintaining oversight of CS and managing the attendant risks of adopting CS, as in any other form of outsourcing arrangements. A risk-based approach should be taken by Banks to ensure that the level of oversight and controls are commensurate with the materiality of the risks posed by the CS.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27</w:t>
            </w:r>
            <w:r>
              <w:rPr>
                <w:rFonts w:asciiTheme="majorHAnsi" w:hAnsiTheme="majorHAnsi" w:cstheme="majorHAnsi"/>
                <w:sz w:val="16"/>
                <w:szCs w:val="16"/>
              </w:rPr>
              <w:t xml:space="preserve"> – A cloud infrastructure operated solely for an organisation.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28</w:t>
            </w:r>
            <w:r>
              <w:rPr>
                <w:rFonts w:asciiTheme="majorHAnsi" w:hAnsiTheme="majorHAnsi" w:cstheme="majorHAnsi"/>
                <w:sz w:val="16"/>
                <w:szCs w:val="16"/>
              </w:rPr>
              <w:t xml:space="preserve"> – A cloud infrastructure made available to the general public or an industry group, and is owned by a third-party service provider.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[FI Annex 5]</w:t>
            </w:r>
            <w:r>
              <w:rPr>
                <w:rFonts w:asciiTheme="majorHAnsi" w:hAnsiTheme="majorHAnsi" w:cstheme="majorHAnsi"/>
                <w:sz w:val="18"/>
                <w:szCs w:val="18"/>
              </w:rPr>
              <w:t xml:space="preserve"> Worded identically to Bank Annex 2 (Cloud Computing), with “institutions” for “Banks”.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Cloud computing. Bank Annex 2 corresponds to FI Annex 5, worded identically.</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 (Bank)</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Applicablity of Notices and Guidelines for Banks to Different Categories of Services [sic, as in the original]. Decision framework over “Relevant Services” as defined in s 47A(12) of the Banking Act 1970 (means any service obtained or received by the bank, other than a service provided in the course of employment by an employee of the bank or a service provided by a director or an officer of the bank in the course of the director’s or officer’s appointment, and does not include any service specified by the Authority by written notice): </w:t>
            </w:r>
            <w:r>
              <w:rPr>
                <w:rFonts w:asciiTheme="majorHAnsi" w:hAnsiTheme="majorHAnsi" w:cstheme="majorHAnsi"/>
                <w:highlight w:val="yellow"/>
                <w:sz w:val="18"/>
                <w:szCs w:val="18"/>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and sound internal controls.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Applicability of the Notices and Guidelines to categories of relevant services (s 47A(12) Banking Act). No FI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 (FI)</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Exempted outsourced services. Bank and merchant-bank exemptions are in Annex D of Notice 658/1121.</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 (FI)</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Examples of outsourcing arrangements. For Banks the equivalent lists are Annexes A–C of Notice 658.</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 (FI)</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An institution should maintain an updated register of all existing outsourcing arrangements in the format as per the template available from MAS website.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Register of outsourcing arrangements. Banks submit registers via the template link at Bank footnote 21.</w:t>
            </w:r>
          </w:p>
        </w:tc>
      </w:tr>
      <w:tr>
        <w:tc>
          <w:tcPr>
            <w:tcW w:w="625" w:type="dxa"/>
          </w:tcPr>
          <w:p>
            <w:pPr>
              <w:pStyle w:val="BodyText"/>
              <w:rPr>
                <w:rFonts w:asciiTheme="majorHAnsi" w:hAnsiTheme="majorHAnsi" w:cstheme="majorHAnsi"/>
                <w:sz w:val="18"/>
                <w:szCs w:val="18"/>
              </w:rPr>
            </w:pPr>
          </w:p>
        </w:tc>
        <w:tc>
          <w:tcPr>
            <w:tcW w:w="5670" w:type="dxa"/>
          </w:tcPr>
          <w:p>
            <w:pPr>
              <w:pStyle w:val="BodyText"/>
              <w:rPr>
                <w:rFonts w:asciiTheme="majorHAnsi" w:hAnsiTheme="majorHAnsi" w:cstheme="majorHAnsi"/>
                <w:sz w:val="18"/>
                <w:szCs w:val="18"/>
              </w:rPr>
            </w:pP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FI provisions without a corresponding Bank Guideline provision in the same form</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provisions of the FI Guidelines have no comparable provision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1.3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[1.3]</w:t>
            </w:r>
            <w:r>
              <w:rPr>
                <w:rFonts w:asciiTheme="majorHAnsi" w:hAnsiTheme="majorHAnsi" w:cstheme="majorHAnsi"/>
                <w:sz w:val="18"/>
                <w:szCs w:val="18"/>
              </w:rPr>
              <w:t xml:space="preserve"> The relevant expectations for banks and merchant banks are set out in a separate set of guidelines for banks and merchant banks, as that set of guidelines makes reference to definitions in MAS Notices 658 and 1121 that apply only to banks and merchant banks3.</w:t>
            </w:r>
          </w:p>
          <w:p>
            <w:pPr>
              <w:pStyle w:val="BodyText"/>
              <w:rPr>
                <w:rFonts w:asciiTheme="majorHAnsi" w:hAnsiTheme="majorHAnsi" w:cstheme="majorHAnsi"/>
                <w:sz w:val="16"/>
                <w:szCs w:val="16"/>
              </w:rPr>
            </w:pPr>
            <w:r>
              <w:rPr>
                <w:rFonts w:asciiTheme="majorHAnsi" w:hAnsiTheme="majorHAnsi" w:cstheme="majorHAnsi"/>
                <w:sz w:val="16"/>
                <w:szCs w:val="16"/>
              </w:rPr>
              <w:t xml:space="preserve">3 – This refers to the “Guidelines on Outsourcing (Banks)” at this link.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Explains why banks and merchant banks are excluded from the FI Guidelines. No Bank Guideline counterpart (FI footnote 3 points readers to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2.3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incorporated in Singapore should also consider the impact of outsourcing arrangements by its branches and any corporation under its control, including those located outside Singapore, on its consolidated operations. </w:t>
            </w:r>
            <w:r>
              <w:rPr>
                <w:rFonts w:asciiTheme="majorHAnsi" w:hAnsiTheme="majorHAnsi" w:cstheme="majorHAnsi"/>
                <w:highlight w:val="yellow"/>
                <w:sz w:val="18"/>
                <w:szCs w:val="18"/>
              </w:rPr>
              <w:t xml:space="preserve">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Group-wide observance duty. The Bank Guidelines address group arrangements at 3.11.1 and Annex 1, but not in this affirmative form.</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In supervising an institution, MAS will review its implementation of these Guidelines, the quality of its board and senior management oversight and governance, internal controls and risk management with regard to managing outsourcing risks.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Supervisory overview; the same idea is folded into Bank 2.1 — there is no separate Bank provision in this form.</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Section 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Definitions</w:t>
            </w:r>
            <w:r>
              <w:rPr>
                <w:rFonts w:asciiTheme="majorHAnsi" w:hAnsiTheme="majorHAnsi" w:cstheme="majorHAnsi"/>
                <w:sz w:val="18"/>
                <w:szCs w:val="18"/>
              </w:rPr>
              <w:t xml:space="preserve"> – the FI Guidelines contain a full glossary; the full text appears at row 3.1 above. The Bank Guidelines rely on the definitions in Notices 658 and 1121.</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Definitions section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Theme="majorHAnsi" w:hAnsiTheme="majorHAnsi" w:cstheme="majorHAnsi"/>
                <w:sz w:val="18"/>
                <w:szCs w:val="18"/>
              </w:rPr>
              <w:t xml:space="preserve"> (opening sentence)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Delegation of board functions for foreign-incorporated institutions.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5.8.2(d)</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Periodic reviews, at least on an annual basis, on all material outsourcing arrangements … to ensure that the institution’s outsourcing risk management policies and procedures, and these Guidelines, are effectively implemented …</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Bank Annex 1(3) requires periodic reviews of outsourcing arrangements but sets no fixed minimum; FI 5.8.2(d) requires periodic reviews of all material outsourcing arrangements at least annually.</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5.9.2(b)</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allow MAS, or any agent appointed by MAS … to exercise the contractual rights of the institution to access and inspect the service provider and its sub-contractors, and access any report and finding …</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MAS access; for Banks this is statutory (s 47A(10) Banking Act).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clauses that require the service provider to comply … with any request from MAS or the institution … to submit any reports on the security and control environment … to MAS …</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reports to MAS.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5.10.2(b)–(c)</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written confirmation to MAS that the agreements provide MAS the rights of inspection and access in 5.9; and notification to MAS if an overseas authority seeks access to customer information, or if the access rights of the institution and MAS are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Confirmation and notification for overseas outsourcing.</w:t>
            </w:r>
          </w:p>
        </w:tc>
      </w:tr>
    </w:tbl>
    <w:p w14:paraId="422A2D5F" w14:textId="77777777" w:rsidR="00E0177B" w:rsidRPr="00692871" w:rsidRDefault="00E0177B">
      <w:pPr>
        <w:spacing w:after="240" w:line="276" w:lineRule="auto"/>
        <w:rPr>
          <w:rFonts w:asciiTheme="majorHAnsi" w:hAnsiTheme="majorHAnsi" w:cstheme="majorHAnsi"/>
          <w:b/>
          <w:bCs/>
          <w:sz w:val="18"/>
          <w:szCs w:val="18"/>
        </w:rPr>
      </w:pPr>
      <w:r>
        <w:rPr>
          <w:rFonts w:asciiTheme="majorHAnsi" w:hAnsiTheme="majorHAnsi" w:cstheme="majorHAnsi"/>
          <w:sz w:val="18"/>
          <w:szCs w:val="18"/>
        </w:rPr>
        <w:br w:type="page"/>
      </w:r>
    </w:p>
    <w:p w14:paraId="2B0B9803" w14:textId="4E0F2583" w:rsidR="008B44E5" w:rsidRDefault="008B44E5">
      <w:pPr>
        <w:spacing w:after="240" w:line="276" w:lineRule="auto"/>
        <w:rPr>
          <w:rFonts w:asciiTheme="majorHAnsi" w:hAnsiTheme="majorHAnsi" w:cstheme="majorHAnsi"/>
          <w:b/>
          <w:bCs/>
          <w:sz w:val="18"/>
          <w:szCs w:val="18"/>
        </w:rPr>
      </w:pPr>
      <w:bookmarkStart w:id="3" w:name="SYSC"/>
      <w:bookmarkEnd w:id="3"/>
    </w:p>
    <w:sectPr w:rsidR="008B44E5" w:rsidSect="00B90CC3">
      <w:headerReference w:type="default" r:id="rId13"/>
      <w:footerReference w:type="even" r:id="rId14"/>
      <w:footerReference w:type="default" r:id="rId15"/>
      <w:footerReference w:type="first" r:id="rId16"/>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760B7" w14:textId="77777777" w:rsidR="003E1BA7" w:rsidRDefault="003E1BA7">
      <w:r>
        <w:separator/>
      </w:r>
    </w:p>
  </w:endnote>
  <w:endnote w:type="continuationSeparator" w:id="0">
    <w:p w14:paraId="4128A2FF" w14:textId="77777777" w:rsidR="003E1BA7" w:rsidRDefault="003E1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8D24" w14:textId="2B3EFFB2" w:rsidR="00FF0F02" w:rsidRDefault="00FF0F02">
    <w:pPr>
      <w:pStyle w:val="Footer"/>
    </w:pPr>
    <w:r>
      <w:rPr>
        <w:noProof/>
      </w:rPr>
      <mc:AlternateContent>
        <mc:Choice Requires="wps">
          <w:drawing>
            <wp:anchor distT="0" distB="0" distL="0" distR="0" simplePos="0" relativeHeight="251659264" behindDoc="0" locked="0" layoutInCell="1" allowOverlap="1" wp14:anchorId="2AE40FA8" wp14:editId="0F02D0A2">
              <wp:simplePos x="635" y="635"/>
              <wp:positionH relativeFrom="page">
                <wp:align>left</wp:align>
              </wp:positionH>
              <wp:positionV relativeFrom="page">
                <wp:align>bottom</wp:align>
              </wp:positionV>
              <wp:extent cx="443865" cy="443865"/>
              <wp:effectExtent l="0" t="0" r="6985" b="0"/>
              <wp:wrapNone/>
              <wp:docPr id="2" name="Text Box 2"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AE40FA8" id="_x0000_t202" coordsize="21600,21600" o:spt="202" path="m,l,21600r21600,l21600,xe">
              <v:stroke joinstyle="miter"/>
              <v:path gradientshapeok="t" o:connecttype="rect"/>
            </v:shapetype>
            <v:shape id="Text Box 2" o:spid="_x0000_s1026" type="#_x0000_t202" alt="NTAC:3NS-20"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3AF8" w14:textId="7FCB9CCF" w:rsidR="001372C9" w:rsidRDefault="00FF0F02">
    <w:pPr>
      <w:pStyle w:val="Footer"/>
      <w:tabs>
        <w:tab w:val="clear" w:pos="4513"/>
        <w:tab w:val="clear" w:pos="9026"/>
        <w:tab w:val="right" w:pos="3098"/>
        <w:tab w:val="right" w:pos="6142"/>
      </w:tabs>
    </w:pPr>
    <w:r>
      <w:rPr>
        <w:noProof/>
      </w:rPr>
      <mc:AlternateContent>
        <mc:Choice Requires="wps">
          <w:drawing>
            <wp:anchor distT="0" distB="0" distL="0" distR="0" simplePos="0" relativeHeight="251660288" behindDoc="0" locked="0" layoutInCell="1" allowOverlap="1" wp14:anchorId="414B9CB9" wp14:editId="4FD06A04">
              <wp:simplePos x="914400" y="6878320"/>
              <wp:positionH relativeFrom="page">
                <wp:align>left</wp:align>
              </wp:positionH>
              <wp:positionV relativeFrom="page">
                <wp:align>bottom</wp:align>
              </wp:positionV>
              <wp:extent cx="443865" cy="443865"/>
              <wp:effectExtent l="0" t="0" r="6985" b="0"/>
              <wp:wrapNone/>
              <wp:docPr id="3" name="Text Box 3"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14B9CB9" id="_x0000_t202" coordsize="21600,21600" o:spt="202" path="m,l,21600r21600,l21600,xe">
              <v:stroke joinstyle="miter"/>
              <v:path gradientshapeok="t" o:connecttype="rect"/>
            </v:shapetype>
            <v:shape id="Text Box 3" o:spid="_x0000_s1027" type="#_x0000_t202" alt="NTAC:3NS-20"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r w:rsidR="00EC17DC">
      <w:t>13 January 2025</w:t>
    </w:r>
  </w:p>
  <w:p w14:paraId="26CD18C8" w14:textId="40D5C671" w:rsidR="001372C9" w:rsidRDefault="00000000">
    <w:pPr>
      <w:pStyle w:val="Footer"/>
      <w:tabs>
        <w:tab w:val="clear" w:pos="4513"/>
        <w:tab w:val="clear" w:pos="9026"/>
      </w:tabs>
    </w:pPr>
    <w:sdt>
      <w:sdtPr>
        <w:alias w:val="Outline Content"/>
        <w:tag w:val="CF7E35E163E14BC9B0FC6A98EE2CB1EB"/>
        <w:id w:val="318247441"/>
        <w:placeholder>
          <w:docPart w:val="8D5562405C4047B68A57B81B283E3E5D"/>
        </w:placeholder>
        <w:showingPlcHdr/>
      </w:sdtPr>
      <w:sdtContent/>
    </w:sdt>
    <w:r w:rsidR="005B5D94">
      <w:ptab w:relativeTo="margin" w:alignment="right" w:leader="none"/>
    </w:r>
    <w:sdt>
      <w:sdtPr>
        <w:alias w:val="Outline Content"/>
        <w:tag w:val="7B45B71A67584164AF165B4B4E0F59B9"/>
        <w:id w:val="-852097447"/>
        <w:placeholder>
          <w:docPart w:val="BB2DEBFA2C9E431A8CA8D437203CC909"/>
        </w:placeholder>
      </w:sdtPr>
      <w:sdtContent>
        <w:r w:rsidR="000318AE">
          <w:t>Page</w:t>
        </w:r>
      </w:sdtContent>
    </w:sdt>
    <w:r w:rsidR="005B5D94">
      <w:t xml:space="preserve"> </w:t>
    </w:r>
    <w:r w:rsidR="005B5D94">
      <w:rPr>
        <w:rStyle w:val="PageNumber"/>
      </w:rPr>
      <w:fldChar w:fldCharType="begin"/>
    </w:r>
    <w:r w:rsidR="005B5D94">
      <w:rPr>
        <w:rStyle w:val="PageNumber"/>
      </w:rPr>
      <w:instrText xml:space="preserve"> PAGE </w:instrText>
    </w:r>
    <w:r w:rsidR="005B5D94">
      <w:rPr>
        <w:rStyle w:val="PageNumber"/>
      </w:rPr>
      <w:fldChar w:fldCharType="separate"/>
    </w:r>
    <w:r w:rsidR="004E3650">
      <w:rPr>
        <w:rStyle w:val="PageNumber"/>
        <w:noProof/>
      </w:rPr>
      <w:t>1</w:t>
    </w:r>
    <w:r w:rsidR="005B5D94">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CD10A" w14:textId="33F9A6B8" w:rsidR="00FF0F02" w:rsidRDefault="00FF0F02">
    <w:pPr>
      <w:pStyle w:val="Footer"/>
    </w:pPr>
    <w:r>
      <w:rPr>
        <w:noProof/>
      </w:rPr>
      <mc:AlternateContent>
        <mc:Choice Requires="wps">
          <w:drawing>
            <wp:anchor distT="0" distB="0" distL="0" distR="0" simplePos="0" relativeHeight="251658240" behindDoc="0" locked="0" layoutInCell="1" allowOverlap="1" wp14:anchorId="0B7DAC3A" wp14:editId="4E9ADF81">
              <wp:simplePos x="635" y="635"/>
              <wp:positionH relativeFrom="page">
                <wp:align>left</wp:align>
              </wp:positionH>
              <wp:positionV relativeFrom="page">
                <wp:align>bottom</wp:align>
              </wp:positionV>
              <wp:extent cx="443865" cy="443865"/>
              <wp:effectExtent l="0" t="0" r="6985" b="0"/>
              <wp:wrapNone/>
              <wp:docPr id="1" name="Text Box 1"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7DAC3A" id="_x0000_t202" coordsize="21600,21600" o:spt="202" path="m,l,21600r21600,l21600,xe">
              <v:stroke joinstyle="miter"/>
              <v:path gradientshapeok="t" o:connecttype="rect"/>
            </v:shapetype>
            <v:shape id="Text Box 1" o:spid="_x0000_s1028" type="#_x0000_t202" alt="NTAC:3NS-20"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2F12" w14:textId="77777777" w:rsidR="003E1BA7" w:rsidRDefault="003E1BA7">
      <w:r>
        <w:separator/>
      </w:r>
    </w:p>
  </w:footnote>
  <w:footnote w:type="continuationSeparator" w:id="0">
    <w:p w14:paraId="16AE9C4E" w14:textId="77777777" w:rsidR="003E1BA7" w:rsidRDefault="003E1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58EA" w14:textId="67028423" w:rsidR="00E84036" w:rsidRPr="00AF4A19" w:rsidRDefault="00AF4A19" w:rsidP="00E84036">
    <w:pPr>
      <w:pStyle w:val="Header"/>
      <w:rPr>
        <w:b/>
        <w:bCs/>
      </w:rPr>
    </w:pPr>
    <w:r>
      <w:rPr>
        <w:b/>
        <w:bCs/>
      </w:rPr>
      <w:tab/>
    </w:r>
    <w:r>
      <w:rPr>
        <w:b/>
        <w:bCs/>
      </w:rPr>
      <w:tab/>
    </w:r>
    <w:r>
      <w:rPr>
        <w:b/>
        <w:bCs/>
      </w:rPr>
      <w:tab/>
    </w:r>
    <w:r>
      <w:rPr>
        <w:b/>
        <w:bCs/>
      </w:rPr>
      <w:tab/>
    </w:r>
  </w:p>
  <w:p w14:paraId="5EBC0011" w14:textId="77777777" w:rsidR="00F9215F" w:rsidRDefault="00F92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2FF"/>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31616"/>
    <w:multiLevelType w:val="hybridMultilevel"/>
    <w:tmpl w:val="4070625C"/>
    <w:lvl w:ilvl="0" w:tplc="C2084C18">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855D4E"/>
    <w:multiLevelType w:val="multilevel"/>
    <w:tmpl w:val="DDD25420"/>
    <w:styleLink w:val="Bullets"/>
    <w:lvl w:ilvl="0">
      <w:start w:val="1"/>
      <w:numFmt w:val="bullet"/>
      <w:pStyle w:val="Bullet"/>
      <w:lvlText w:val=""/>
      <w:lvlJc w:val="left"/>
      <w:pPr>
        <w:ind w:left="720" w:hanging="720"/>
      </w:pPr>
      <w:rPr>
        <w:rFonts w:ascii="Symbol" w:hAnsi="Symbol" w:cs="Symbol"/>
        <w:color w:val="auto"/>
      </w:rPr>
    </w:lvl>
    <w:lvl w:ilvl="1">
      <w:start w:val="1"/>
      <w:numFmt w:val="bullet"/>
      <w:pStyle w:val="Bullet1"/>
      <w:lvlText w:val=""/>
      <w:lvlJc w:val="left"/>
      <w:pPr>
        <w:ind w:left="1440" w:hanging="720"/>
      </w:pPr>
      <w:rPr>
        <w:rFonts w:ascii="Symbol" w:hAnsi="Symbol" w:cs="Times New Roman" w:hint="default"/>
        <w:color w:val="auto"/>
      </w:rPr>
    </w:lvl>
    <w:lvl w:ilvl="2">
      <w:start w:val="1"/>
      <w:numFmt w:val="bullet"/>
      <w:pStyle w:val="Bullet2"/>
      <w:lvlText w:val=""/>
      <w:lvlJc w:val="left"/>
      <w:pPr>
        <w:tabs>
          <w:tab w:val="num" w:pos="2160"/>
        </w:tabs>
        <w:ind w:left="2160" w:hanging="720"/>
      </w:pPr>
      <w:rPr>
        <w:rFonts w:ascii="Symbol" w:hAnsi="Symbol" w:cs="Times New Roman" w:hint="default"/>
        <w:color w:val="auto"/>
      </w:rPr>
    </w:lvl>
    <w:lvl w:ilvl="3">
      <w:start w:val="1"/>
      <w:numFmt w:val="bullet"/>
      <w:pStyle w:val="Bullet3"/>
      <w:lvlText w:val=""/>
      <w:lvlJc w:val="left"/>
      <w:pPr>
        <w:tabs>
          <w:tab w:val="num" w:pos="2880"/>
        </w:tabs>
        <w:ind w:left="2880" w:hanging="720"/>
      </w:pPr>
      <w:rPr>
        <w:rFonts w:ascii="Symbol" w:hAnsi="Symbol" w:cs="Times New Roman" w:hint="default"/>
        <w:color w:val="auto"/>
      </w:rPr>
    </w:lvl>
    <w:lvl w:ilvl="4">
      <w:start w:val="1"/>
      <w:numFmt w:val="bullet"/>
      <w:pStyle w:val="Bullet4"/>
      <w:lvlText w:val=""/>
      <w:lvlJc w:val="left"/>
      <w:pPr>
        <w:tabs>
          <w:tab w:val="num" w:pos="3600"/>
        </w:tabs>
        <w:ind w:left="3600" w:hanging="720"/>
      </w:pPr>
      <w:rPr>
        <w:rFonts w:ascii="Symbol" w:hAnsi="Symbol" w:cs="Times New Roman" w:hint="default"/>
        <w:color w:val="auto"/>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 w15:restartNumberingAfterBreak="0">
    <w:nsid w:val="028B4145"/>
    <w:multiLevelType w:val="hybridMultilevel"/>
    <w:tmpl w:val="65169B8E"/>
    <w:lvl w:ilvl="0" w:tplc="89DC39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A668D3"/>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FA5D23"/>
    <w:multiLevelType w:val="multilevel"/>
    <w:tmpl w:val="AC826F0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CE1C0A"/>
    <w:multiLevelType w:val="hybridMultilevel"/>
    <w:tmpl w:val="FD42728C"/>
    <w:lvl w:ilvl="0" w:tplc="9B907C5A">
      <w:start w:val="2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2B0C4E"/>
    <w:multiLevelType w:val="multilevel"/>
    <w:tmpl w:val="FDB25602"/>
    <w:styleLink w:val="PrecNotes"/>
    <w:lvl w:ilvl="0">
      <w:start w:val="1"/>
      <w:numFmt w:val="decimal"/>
      <w:pStyle w:val="Prec1Heading"/>
      <w:lvlText w:val="%1"/>
      <w:lvlJc w:val="left"/>
      <w:pPr>
        <w:ind w:left="720" w:hanging="720"/>
      </w:pPr>
      <w:rPr>
        <w:rFonts w:hint="default"/>
      </w:rPr>
    </w:lvl>
    <w:lvl w:ilvl="1">
      <w:start w:val="1"/>
      <w:numFmt w:val="decimal"/>
      <w:pStyle w:val="Prec2Number"/>
      <w:lvlText w:val="%1.%2"/>
      <w:lvlJc w:val="left"/>
      <w:pPr>
        <w:ind w:left="720" w:hanging="720"/>
      </w:pPr>
      <w:rPr>
        <w:rFonts w:hint="default"/>
      </w:rPr>
    </w:lvl>
    <w:lvl w:ilvl="2">
      <w:start w:val="1"/>
      <w:numFmt w:val="lowerLetter"/>
      <w:pStyle w:val="Prec3Number"/>
      <w:lvlText w:val="(%3)"/>
      <w:lvlJc w:val="left"/>
      <w:pPr>
        <w:ind w:left="1440" w:hanging="720"/>
      </w:pPr>
      <w:rPr>
        <w:rFonts w:hint="default"/>
      </w:rPr>
    </w:lvl>
    <w:lvl w:ilvl="3">
      <w:start w:val="1"/>
      <w:numFmt w:val="lowerRoman"/>
      <w:pStyle w:val="Prec4Number"/>
      <w:lvlText w:val="(%4)"/>
      <w:lvlJc w:val="left"/>
      <w:pPr>
        <w:ind w:left="2160" w:hanging="720"/>
      </w:pPr>
      <w:rPr>
        <w:rFonts w:hint="default"/>
      </w:rPr>
    </w:lvl>
    <w:lvl w:ilvl="4">
      <w:start w:val="1"/>
      <w:numFmt w:val="upperLetter"/>
      <w:pStyle w:val="Prec5Number"/>
      <w:lvlText w:val="(%5)"/>
      <w:lvlJc w:val="left"/>
      <w:pPr>
        <w:tabs>
          <w:tab w:val="num" w:pos="2160"/>
        </w:tabs>
        <w:ind w:left="2880" w:hanging="72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11AD56A1"/>
    <w:multiLevelType w:val="multilevel"/>
    <w:tmpl w:val="1A6A9E06"/>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31E166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A1054"/>
    <w:multiLevelType w:val="hybridMultilevel"/>
    <w:tmpl w:val="6C98694E"/>
    <w:lvl w:ilvl="0" w:tplc="7A4E87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D718C"/>
    <w:multiLevelType w:val="hybridMultilevel"/>
    <w:tmpl w:val="5BBEF580"/>
    <w:lvl w:ilvl="0" w:tplc="C3D66DF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B3179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74C4528"/>
    <w:multiLevelType w:val="multilevel"/>
    <w:tmpl w:val="0ABE891C"/>
    <w:name w:val="Definitions"/>
    <w:styleLink w:val="Definitions"/>
    <w:lvl w:ilvl="0">
      <w:start w:val="1"/>
      <w:numFmt w:val="none"/>
      <w:pStyle w:val="Definition"/>
      <w:suff w:val="nothing"/>
      <w:lvlText w:val=""/>
      <w:lvlJc w:val="left"/>
      <w:pPr>
        <w:ind w:left="720" w:firstLine="0"/>
      </w:pPr>
      <w:rPr>
        <w:rFonts w:hint="default"/>
      </w:rPr>
    </w:lvl>
    <w:lvl w:ilvl="1">
      <w:start w:val="1"/>
      <w:numFmt w:val="lowerLetter"/>
      <w:pStyle w:val="Definition1"/>
      <w:lvlText w:val="(%2)"/>
      <w:lvlJc w:val="left"/>
      <w:pPr>
        <w:ind w:left="1440" w:hanging="720"/>
      </w:pPr>
      <w:rPr>
        <w:rFonts w:hint="default"/>
      </w:rPr>
    </w:lvl>
    <w:lvl w:ilvl="2">
      <w:start w:val="1"/>
      <w:numFmt w:val="lowerRoman"/>
      <w:pStyle w:val="Definition2"/>
      <w:lvlText w:val="(%3)"/>
      <w:lvlJc w:val="left"/>
      <w:pPr>
        <w:tabs>
          <w:tab w:val="num" w:pos="2160"/>
        </w:tabs>
        <w:ind w:left="2160" w:hanging="720"/>
      </w:pPr>
      <w:rPr>
        <w:rFonts w:hint="default"/>
      </w:rPr>
    </w:lvl>
    <w:lvl w:ilvl="3">
      <w:start w:val="1"/>
      <w:numFmt w:val="upperLetter"/>
      <w:pStyle w:val="Definition3"/>
      <w:lvlText w:val="(%4)"/>
      <w:lvlJc w:val="left"/>
      <w:pPr>
        <w:ind w:left="2880" w:hanging="720"/>
      </w:pPr>
      <w:rPr>
        <w:rFonts w:hint="default"/>
      </w:rPr>
    </w:lvl>
    <w:lvl w:ilvl="4">
      <w:start w:val="1"/>
      <w:numFmt w:val="decimal"/>
      <w:pStyle w:val="Definition4"/>
      <w:lvlText w:val="%5)"/>
      <w:lvlJc w:val="left"/>
      <w:pPr>
        <w:tabs>
          <w:tab w:val="num" w:pos="2880"/>
        </w:tabs>
        <w:ind w:left="3600" w:hanging="72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4" w15:restartNumberingAfterBreak="0">
    <w:nsid w:val="290B4D07"/>
    <w:multiLevelType w:val="multilevel"/>
    <w:tmpl w:val="9E5221FC"/>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CA62202"/>
    <w:multiLevelType w:val="multilevel"/>
    <w:tmpl w:val="880A6F1A"/>
    <w:lvl w:ilvl="0">
      <w:start w:val="1"/>
      <w:numFmt w:val="decimal"/>
      <w:pStyle w:val="Level1"/>
      <w:lvlText w:val="%1."/>
      <w:lvlJc w:val="left"/>
      <w:pPr>
        <w:tabs>
          <w:tab w:val="num" w:pos="720"/>
        </w:tabs>
        <w:ind w:left="720" w:hanging="720"/>
      </w:pPr>
      <w:rPr>
        <w:rFonts w:ascii="Times New Roman" w:hAnsi="Times New Roman" w:hint="default"/>
        <w:sz w:val="24"/>
      </w:rPr>
    </w:lvl>
    <w:lvl w:ilvl="1">
      <w:start w:val="1"/>
      <w:numFmt w:val="decimal"/>
      <w:pStyle w:val="Level2"/>
      <w:lvlText w:val="%1.%2"/>
      <w:lvlJc w:val="left"/>
      <w:pPr>
        <w:tabs>
          <w:tab w:val="num" w:pos="720"/>
        </w:tabs>
        <w:ind w:left="720" w:hanging="720"/>
      </w:pPr>
    </w:lvl>
    <w:lvl w:ilvl="2">
      <w:start w:val="1"/>
      <w:numFmt w:val="lowerLetter"/>
      <w:pStyle w:val="Level3"/>
      <w:lvlText w:val="(%3)"/>
      <w:lvlJc w:val="left"/>
      <w:pPr>
        <w:tabs>
          <w:tab w:val="num" w:pos="1440"/>
        </w:tabs>
        <w:ind w:left="1440" w:hanging="720"/>
      </w:pPr>
    </w:lvl>
    <w:lvl w:ilvl="3">
      <w:start w:val="1"/>
      <w:numFmt w:val="lowerRoman"/>
      <w:pStyle w:val="Level4"/>
      <w:lvlText w:val="(%4)"/>
      <w:lvlJc w:val="left"/>
      <w:pPr>
        <w:tabs>
          <w:tab w:val="num" w:pos="2347"/>
        </w:tabs>
        <w:ind w:left="2347" w:hanging="907"/>
      </w:pPr>
    </w:lvl>
    <w:lvl w:ilvl="4">
      <w:start w:val="1"/>
      <w:numFmt w:val="decimal"/>
      <w:lvlText w:val="%5"/>
      <w:lvlJc w:val="left"/>
      <w:pPr>
        <w:tabs>
          <w:tab w:val="num" w:pos="0"/>
        </w:tabs>
        <w:ind w:left="0" w:firstLine="0"/>
      </w:pPr>
    </w:lvl>
    <w:lvl w:ilvl="5">
      <w:start w:val="1"/>
      <w:numFmt w:val="lowerRoman"/>
      <w:lvlText w:val="%6"/>
      <w:lvlJc w:val="left"/>
      <w:pPr>
        <w:tabs>
          <w:tab w:val="num" w:pos="0"/>
        </w:tabs>
        <w:ind w:left="0" w:firstLine="0"/>
      </w:pPr>
    </w:lvl>
    <w:lvl w:ilvl="6">
      <w:start w:val="1"/>
      <w:numFmt w:val="decimal"/>
      <w:lvlText w:val="%7"/>
      <w:lvlJc w:val="left"/>
      <w:pPr>
        <w:tabs>
          <w:tab w:val="num" w:pos="0"/>
        </w:tabs>
        <w:ind w:left="0" w:firstLine="0"/>
      </w:pPr>
    </w:lvl>
    <w:lvl w:ilvl="7">
      <w:start w:val="1"/>
      <w:numFmt w:val="lowerLetter"/>
      <w:lvlText w:val="%8"/>
      <w:lvlJc w:val="left"/>
      <w:pPr>
        <w:tabs>
          <w:tab w:val="num" w:pos="0"/>
        </w:tabs>
        <w:ind w:left="0" w:firstLine="0"/>
      </w:pPr>
    </w:lvl>
    <w:lvl w:ilvl="8">
      <w:numFmt w:val="decimal"/>
      <w:lvlText w:val=""/>
      <w:lvlJc w:val="left"/>
      <w:pPr>
        <w:tabs>
          <w:tab w:val="num" w:pos="0"/>
        </w:tabs>
        <w:ind w:left="0" w:firstLine="0"/>
      </w:pPr>
    </w:lvl>
  </w:abstractNum>
  <w:abstractNum w:abstractNumId="16" w15:restartNumberingAfterBreak="0">
    <w:nsid w:val="2F267804"/>
    <w:multiLevelType w:val="hybridMultilevel"/>
    <w:tmpl w:val="5134B388"/>
    <w:lvl w:ilvl="0" w:tplc="69B0DD0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F2E37"/>
    <w:multiLevelType w:val="multilevel"/>
    <w:tmpl w:val="5BD0C11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14A3003"/>
    <w:multiLevelType w:val="hybridMultilevel"/>
    <w:tmpl w:val="1562C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D73C56"/>
    <w:multiLevelType w:val="hybridMultilevel"/>
    <w:tmpl w:val="0262E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2699C"/>
    <w:multiLevelType w:val="hybridMultilevel"/>
    <w:tmpl w:val="D3DA1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3E163E"/>
    <w:multiLevelType w:val="multilevel"/>
    <w:tmpl w:val="E5BE6CB0"/>
    <w:name w:val="Schedule"/>
    <w:styleLink w:val="Schedules"/>
    <w:lvl w:ilvl="0">
      <w:start w:val="1"/>
      <w:numFmt w:val="decimal"/>
      <w:pStyle w:val="Schedule"/>
      <w:suff w:val="nothing"/>
      <w:lvlText w:val="Schedule %1"/>
      <w:lvlJc w:val="left"/>
      <w:pPr>
        <w:ind w:left="0" w:firstLine="0"/>
      </w:pPr>
      <w:rPr>
        <w:rFonts w:hint="default"/>
      </w:rPr>
    </w:lvl>
    <w:lvl w:ilvl="1">
      <w:numFmt w:val="decimal"/>
      <w:pStyle w:val="SubSchedule"/>
      <w:suff w:val="nothing"/>
      <w:lvlText w:val="Schedule %2"/>
      <w:lvlJc w:val="left"/>
      <w:pPr>
        <w:ind w:left="0" w:firstLine="0"/>
      </w:pPr>
      <w:rPr>
        <w:rFonts w:hint="default"/>
      </w:rPr>
    </w:lvl>
    <w:lvl w:ilvl="2">
      <w:start w:val="1"/>
      <w:numFmt w:val="decimal"/>
      <w:pStyle w:val="Part"/>
      <w:suff w:val="nothing"/>
      <w:lvlText w:val="Part %3"/>
      <w:lvlJc w:val="left"/>
      <w:pPr>
        <w:ind w:left="0" w:firstLine="0"/>
      </w:pPr>
      <w:rPr>
        <w:rFonts w:hint="default"/>
      </w:rPr>
    </w:lvl>
    <w:lvl w:ilvl="3">
      <w:start w:val="1"/>
      <w:numFmt w:val="decimal"/>
      <w:pStyle w:val="Sch1Number"/>
      <w:lvlText w:val="%4"/>
      <w:lvlJc w:val="left"/>
      <w:pPr>
        <w:ind w:left="720" w:hanging="720"/>
      </w:pPr>
      <w:rPr>
        <w:rFonts w:hint="default"/>
      </w:rPr>
    </w:lvl>
    <w:lvl w:ilvl="4">
      <w:start w:val="1"/>
      <w:numFmt w:val="decimal"/>
      <w:pStyle w:val="Sch2Number"/>
      <w:lvlText w:val="%4.%5"/>
      <w:lvlJc w:val="left"/>
      <w:pPr>
        <w:ind w:left="720" w:hanging="720"/>
      </w:pPr>
      <w:rPr>
        <w:rFonts w:hint="default"/>
      </w:rPr>
    </w:lvl>
    <w:lvl w:ilvl="5">
      <w:start w:val="1"/>
      <w:numFmt w:val="decimal"/>
      <w:pStyle w:val="Sch3Number"/>
      <w:lvlText w:val="%4.%5.%6"/>
      <w:lvlJc w:val="left"/>
      <w:pPr>
        <w:ind w:left="720" w:hanging="720"/>
      </w:pPr>
      <w:rPr>
        <w:rFonts w:hint="default"/>
        <w:b w:val="0"/>
        <w:bCs w:val="0"/>
        <w:i w:val="0"/>
        <w:iCs w:val="0"/>
      </w:rPr>
    </w:lvl>
    <w:lvl w:ilvl="6">
      <w:start w:val="1"/>
      <w:numFmt w:val="lowerLetter"/>
      <w:pStyle w:val="Sch4Number"/>
      <w:lvlText w:val="(%7)"/>
      <w:lvlJc w:val="left"/>
      <w:pPr>
        <w:ind w:left="1440" w:hanging="720"/>
      </w:pPr>
      <w:rPr>
        <w:rFonts w:hint="default"/>
        <w:b w:val="0"/>
        <w:bCs w:val="0"/>
        <w:i w:val="0"/>
        <w:iCs w:val="0"/>
      </w:rPr>
    </w:lvl>
    <w:lvl w:ilvl="7">
      <w:start w:val="1"/>
      <w:numFmt w:val="lowerRoman"/>
      <w:pStyle w:val="Sch5Number"/>
      <w:lvlText w:val="(%8)"/>
      <w:lvlJc w:val="left"/>
      <w:pPr>
        <w:ind w:left="2160" w:hanging="720"/>
      </w:pPr>
      <w:rPr>
        <w:rFonts w:hint="default"/>
      </w:rPr>
    </w:lvl>
    <w:lvl w:ilvl="8">
      <w:start w:val="1"/>
      <w:numFmt w:val="upperLetter"/>
      <w:pStyle w:val="Sch6Number"/>
      <w:lvlText w:val="(%9)"/>
      <w:lvlJc w:val="left"/>
      <w:pPr>
        <w:ind w:left="2880" w:hanging="720"/>
      </w:pPr>
      <w:rPr>
        <w:rFonts w:hint="default"/>
      </w:rPr>
    </w:lvl>
  </w:abstractNum>
  <w:abstractNum w:abstractNumId="22" w15:restartNumberingAfterBreak="0">
    <w:nsid w:val="3E226B8E"/>
    <w:multiLevelType w:val="multilevel"/>
    <w:tmpl w:val="CE7E743A"/>
    <w:name w:val="Main"/>
    <w:styleLink w:val="MainNumbering"/>
    <w:lvl w:ilvl="0">
      <w:start w:val="1"/>
      <w:numFmt w:val="decimal"/>
      <w:pStyle w:val="Level1Heading"/>
      <w:lvlText w:val="%1"/>
      <w:lvlJc w:val="left"/>
      <w:pPr>
        <w:ind w:left="720" w:hanging="720"/>
      </w:pPr>
      <w:rPr>
        <w:rFonts w:hint="default"/>
      </w:rPr>
    </w:lvl>
    <w:lvl w:ilvl="1">
      <w:start w:val="1"/>
      <w:numFmt w:val="decimal"/>
      <w:pStyle w:val="Level2Number"/>
      <w:lvlText w:val="%1.%2"/>
      <w:lvlJc w:val="left"/>
      <w:pPr>
        <w:ind w:left="720" w:hanging="720"/>
      </w:pPr>
      <w:rPr>
        <w:rFonts w:hint="default"/>
      </w:rPr>
    </w:lvl>
    <w:lvl w:ilvl="2">
      <w:start w:val="1"/>
      <w:numFmt w:val="decimal"/>
      <w:pStyle w:val="Level3Number"/>
      <w:lvlText w:val="%1.%2.%3"/>
      <w:lvlJc w:val="left"/>
      <w:pPr>
        <w:ind w:left="720" w:hanging="720"/>
      </w:pPr>
      <w:rPr>
        <w:rFonts w:hint="default"/>
        <w:b w:val="0"/>
        <w:i w:val="0"/>
      </w:rPr>
    </w:lvl>
    <w:lvl w:ilvl="3">
      <w:start w:val="1"/>
      <w:numFmt w:val="lowerLetter"/>
      <w:pStyle w:val="Level4Number"/>
      <w:lvlText w:val="(%4)"/>
      <w:lvlJc w:val="left"/>
      <w:pPr>
        <w:ind w:left="1440" w:hanging="720"/>
      </w:pPr>
      <w:rPr>
        <w:rFonts w:ascii="Arial" w:eastAsia="Times New Roman" w:hAnsi="Arial" w:cs="Times New Roman"/>
        <w:b w:val="0"/>
        <w:bCs w:val="0"/>
        <w:i w:val="0"/>
        <w:iCs w:val="0"/>
      </w:rPr>
    </w:lvl>
    <w:lvl w:ilvl="4">
      <w:start w:val="1"/>
      <w:numFmt w:val="lowerRoman"/>
      <w:pStyle w:val="Level5Number"/>
      <w:lvlText w:val="(%5)"/>
      <w:lvlJc w:val="left"/>
      <w:pPr>
        <w:ind w:left="2160" w:hanging="720"/>
      </w:pPr>
      <w:rPr>
        <w:rFonts w:hint="default"/>
        <w:b w:val="0"/>
        <w:bCs w:val="0"/>
        <w:i w:val="0"/>
        <w:iCs w:val="0"/>
      </w:rPr>
    </w:lvl>
    <w:lvl w:ilvl="5">
      <w:start w:val="1"/>
      <w:numFmt w:val="upperLetter"/>
      <w:pStyle w:val="Level6Number"/>
      <w:lvlText w:val="(%6)"/>
      <w:lvlJc w:val="left"/>
      <w:pPr>
        <w:ind w:left="2880" w:hanging="720"/>
      </w:pPr>
      <w:rPr>
        <w:rFonts w:hint="default"/>
      </w:rPr>
    </w:lvl>
    <w:lvl w:ilvl="6">
      <w:start w:val="1"/>
      <w:numFmt w:val="decimal"/>
      <w:pStyle w:val="Level7Number"/>
      <w:lvlText w:val="%7)"/>
      <w:lvlJc w:val="left"/>
      <w:pPr>
        <w:ind w:left="3600" w:hanging="720"/>
      </w:pPr>
      <w:rPr>
        <w:rFonts w:hint="default"/>
      </w:rPr>
    </w:lvl>
    <w:lvl w:ilvl="7">
      <w:start w:val="1"/>
      <w:numFmt w:val="lowerLetter"/>
      <w:pStyle w:val="Level8Number"/>
      <w:lvlText w:val="%8)"/>
      <w:lvlJc w:val="left"/>
      <w:pPr>
        <w:ind w:left="4321" w:hanging="721"/>
      </w:pPr>
      <w:rPr>
        <w:rFonts w:hint="default"/>
      </w:rPr>
    </w:lvl>
    <w:lvl w:ilvl="8">
      <w:start w:val="1"/>
      <w:numFmt w:val="lowerRoman"/>
      <w:lvlText w:val="%9)"/>
      <w:lvlJc w:val="left"/>
      <w:pPr>
        <w:ind w:left="5041" w:hanging="720"/>
      </w:pPr>
      <w:rPr>
        <w:rFonts w:hint="default"/>
      </w:rPr>
    </w:lvl>
  </w:abstractNum>
  <w:abstractNum w:abstractNumId="23" w15:restartNumberingAfterBreak="0">
    <w:nsid w:val="40722584"/>
    <w:multiLevelType w:val="multilevel"/>
    <w:tmpl w:val="73029CE8"/>
    <w:lvl w:ilvl="0">
      <w:start w:val="1"/>
      <w:numFmt w:val="lowerRoman"/>
      <w:lvlText w:val="(%1)"/>
      <w:lvlJc w:val="left"/>
      <w:pPr>
        <w:tabs>
          <w:tab w:val="left" w:pos="720"/>
        </w:tabs>
      </w:pPr>
      <w:rPr>
        <w:rFonts w:ascii="Arial" w:eastAsia="Malgun Gothic Semilight" w:hAnsi="Arial" w:cs="Arial" w:hint="default"/>
        <w:color w:val="000000"/>
        <w:spacing w:val="-2"/>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0F65773"/>
    <w:multiLevelType w:val="multilevel"/>
    <w:tmpl w:val="756A01D8"/>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4B8454CC"/>
    <w:multiLevelType w:val="hybridMultilevel"/>
    <w:tmpl w:val="3A625102"/>
    <w:lvl w:ilvl="0" w:tplc="FFFFFFFF">
      <w:start w:val="1"/>
      <w:numFmt w:val="decimal"/>
      <w:lvlText w:val="%1."/>
      <w:lvlJc w:val="left"/>
      <w:pPr>
        <w:ind w:left="63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BF132F8"/>
    <w:multiLevelType w:val="multilevel"/>
    <w:tmpl w:val="B55C2DCA"/>
    <w:lvl w:ilvl="0">
      <w:start w:val="1"/>
      <w:numFmt w:val="lowerLetter"/>
      <w:lvlText w:val="(%1)"/>
      <w:lvlJc w:val="left"/>
      <w:pPr>
        <w:tabs>
          <w:tab w:val="left" w:pos="36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6234274"/>
    <w:multiLevelType w:val="hybridMultilevel"/>
    <w:tmpl w:val="C5C812B4"/>
    <w:lvl w:ilvl="0" w:tplc="F0768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7F7E85"/>
    <w:multiLevelType w:val="hybridMultilevel"/>
    <w:tmpl w:val="F7483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F637D2"/>
    <w:multiLevelType w:val="hybridMultilevel"/>
    <w:tmpl w:val="AD5AED88"/>
    <w:lvl w:ilvl="0" w:tplc="185CE5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C4F05"/>
    <w:multiLevelType w:val="hybridMultilevel"/>
    <w:tmpl w:val="541C14CC"/>
    <w:lvl w:ilvl="0" w:tplc="192E52FA">
      <w:start w:val="1"/>
      <w:numFmt w:val="bullet"/>
      <w:lvlText w:val=""/>
      <w:lvlJc w:val="left"/>
      <w:pPr>
        <w:ind w:left="1440" w:hanging="360"/>
      </w:pPr>
      <w:rPr>
        <w:rFonts w:ascii="Symbol" w:hAnsi="Symbol"/>
      </w:rPr>
    </w:lvl>
    <w:lvl w:ilvl="1" w:tplc="AA482BF0">
      <w:start w:val="1"/>
      <w:numFmt w:val="bullet"/>
      <w:lvlText w:val=""/>
      <w:lvlJc w:val="left"/>
      <w:pPr>
        <w:ind w:left="1440" w:hanging="360"/>
      </w:pPr>
      <w:rPr>
        <w:rFonts w:ascii="Symbol" w:hAnsi="Symbol"/>
      </w:rPr>
    </w:lvl>
    <w:lvl w:ilvl="2" w:tplc="E2B6DEB2">
      <w:start w:val="1"/>
      <w:numFmt w:val="bullet"/>
      <w:lvlText w:val=""/>
      <w:lvlJc w:val="left"/>
      <w:pPr>
        <w:ind w:left="1440" w:hanging="360"/>
      </w:pPr>
      <w:rPr>
        <w:rFonts w:ascii="Symbol" w:hAnsi="Symbol"/>
      </w:rPr>
    </w:lvl>
    <w:lvl w:ilvl="3" w:tplc="CBF4DF60">
      <w:start w:val="1"/>
      <w:numFmt w:val="bullet"/>
      <w:lvlText w:val=""/>
      <w:lvlJc w:val="left"/>
      <w:pPr>
        <w:ind w:left="1440" w:hanging="360"/>
      </w:pPr>
      <w:rPr>
        <w:rFonts w:ascii="Symbol" w:hAnsi="Symbol"/>
      </w:rPr>
    </w:lvl>
    <w:lvl w:ilvl="4" w:tplc="EB88419A">
      <w:start w:val="1"/>
      <w:numFmt w:val="bullet"/>
      <w:lvlText w:val=""/>
      <w:lvlJc w:val="left"/>
      <w:pPr>
        <w:ind w:left="1440" w:hanging="360"/>
      </w:pPr>
      <w:rPr>
        <w:rFonts w:ascii="Symbol" w:hAnsi="Symbol"/>
      </w:rPr>
    </w:lvl>
    <w:lvl w:ilvl="5" w:tplc="46140012">
      <w:start w:val="1"/>
      <w:numFmt w:val="bullet"/>
      <w:lvlText w:val=""/>
      <w:lvlJc w:val="left"/>
      <w:pPr>
        <w:ind w:left="1440" w:hanging="360"/>
      </w:pPr>
      <w:rPr>
        <w:rFonts w:ascii="Symbol" w:hAnsi="Symbol"/>
      </w:rPr>
    </w:lvl>
    <w:lvl w:ilvl="6" w:tplc="EA3452F2">
      <w:start w:val="1"/>
      <w:numFmt w:val="bullet"/>
      <w:lvlText w:val=""/>
      <w:lvlJc w:val="left"/>
      <w:pPr>
        <w:ind w:left="1440" w:hanging="360"/>
      </w:pPr>
      <w:rPr>
        <w:rFonts w:ascii="Symbol" w:hAnsi="Symbol"/>
      </w:rPr>
    </w:lvl>
    <w:lvl w:ilvl="7" w:tplc="8662F0BA">
      <w:start w:val="1"/>
      <w:numFmt w:val="bullet"/>
      <w:lvlText w:val=""/>
      <w:lvlJc w:val="left"/>
      <w:pPr>
        <w:ind w:left="1440" w:hanging="360"/>
      </w:pPr>
      <w:rPr>
        <w:rFonts w:ascii="Symbol" w:hAnsi="Symbol"/>
      </w:rPr>
    </w:lvl>
    <w:lvl w:ilvl="8" w:tplc="A0F66D9E">
      <w:start w:val="1"/>
      <w:numFmt w:val="bullet"/>
      <w:lvlText w:val=""/>
      <w:lvlJc w:val="left"/>
      <w:pPr>
        <w:ind w:left="1440" w:hanging="360"/>
      </w:pPr>
      <w:rPr>
        <w:rFonts w:ascii="Symbol" w:hAnsi="Symbol"/>
      </w:rPr>
    </w:lvl>
  </w:abstractNum>
  <w:abstractNum w:abstractNumId="31" w15:restartNumberingAfterBreak="0">
    <w:nsid w:val="59AB3753"/>
    <w:multiLevelType w:val="multilevel"/>
    <w:tmpl w:val="40C88E1A"/>
    <w:lvl w:ilvl="0">
      <w:start w:val="1"/>
      <w:numFmt w:val="lowerRoman"/>
      <w:lvlText w:val="(%1)"/>
      <w:lvlJc w:val="left"/>
      <w:pPr>
        <w:tabs>
          <w:tab w:val="left" w:pos="792"/>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5DDD38E9"/>
    <w:multiLevelType w:val="multilevel"/>
    <w:tmpl w:val="33D4DB52"/>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F6C74A7"/>
    <w:multiLevelType w:val="multilevel"/>
    <w:tmpl w:val="5F0E2AF8"/>
    <w:name w:val="Intro"/>
    <w:styleLink w:val="Parties"/>
    <w:lvl w:ilvl="0">
      <w:start w:val="1"/>
      <w:numFmt w:val="none"/>
      <w:pStyle w:val="IntroHeading"/>
      <w:suff w:val="nothing"/>
      <w:lvlText w:val=""/>
      <w:lvlJc w:val="left"/>
      <w:pPr>
        <w:ind w:left="0" w:firstLine="0"/>
      </w:pPr>
      <w:rPr>
        <w:rFonts w:hint="default"/>
      </w:rPr>
    </w:lvl>
    <w:lvl w:ilvl="1">
      <w:start w:val="1"/>
      <w:numFmt w:val="decimal"/>
      <w:pStyle w:val="Parties1"/>
      <w:lvlText w:val="(%2)"/>
      <w:lvlJc w:val="left"/>
      <w:pPr>
        <w:ind w:left="720" w:hanging="720"/>
      </w:pPr>
      <w:rPr>
        <w:rFonts w:hint="default"/>
      </w:rPr>
    </w:lvl>
    <w:lvl w:ilvl="2">
      <w:start w:val="1"/>
      <w:numFmt w:val="lowerLetter"/>
      <w:pStyle w:val="Parties2"/>
      <w:lvlText w:val="(%3)"/>
      <w:lvlJc w:val="left"/>
      <w:pPr>
        <w:ind w:left="1440" w:hanging="720"/>
      </w:pPr>
      <w:rPr>
        <w:rFonts w:hint="default"/>
      </w:rPr>
    </w:lvl>
    <w:lvl w:ilvl="3">
      <w:start w:val="1"/>
      <w:numFmt w:val="upperLetter"/>
      <w:lvlRestart w:val="1"/>
      <w:pStyle w:val="Background1"/>
      <w:lvlText w:val="%4"/>
      <w:lvlJc w:val="left"/>
      <w:pPr>
        <w:ind w:left="720" w:hanging="720"/>
      </w:pPr>
      <w:rPr>
        <w:rFonts w:hint="default"/>
      </w:rPr>
    </w:lvl>
    <w:lvl w:ilvl="4">
      <w:start w:val="1"/>
      <w:numFmt w:val="lowerLetter"/>
      <w:pStyle w:val="Background2"/>
      <w:lvlText w:val="(%5)"/>
      <w:lvlJc w:val="left"/>
      <w:pPr>
        <w:ind w:left="1440" w:hanging="720"/>
      </w:pPr>
      <w:rPr>
        <w:rFonts w:hint="default"/>
      </w:rPr>
    </w:lvl>
    <w:lvl w:ilvl="5">
      <w:start w:val="1"/>
      <w:numFmt w:val="none"/>
      <w:lvlRestart w:val="0"/>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4" w15:restartNumberingAfterBreak="0">
    <w:nsid w:val="675E5B60"/>
    <w:multiLevelType w:val="multilevel"/>
    <w:tmpl w:val="67A0BA9A"/>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8572D04"/>
    <w:multiLevelType w:val="hybridMultilevel"/>
    <w:tmpl w:val="6AA84D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92A2F7E"/>
    <w:multiLevelType w:val="hybridMultilevel"/>
    <w:tmpl w:val="3E0E1A40"/>
    <w:lvl w:ilvl="0" w:tplc="2432FBD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7A79CC"/>
    <w:multiLevelType w:val="hybridMultilevel"/>
    <w:tmpl w:val="8638904C"/>
    <w:lvl w:ilvl="0" w:tplc="F6129B9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EE2384"/>
    <w:multiLevelType w:val="multilevel"/>
    <w:tmpl w:val="415843E2"/>
    <w:lvl w:ilvl="0">
      <w:start w:val="1"/>
      <w:numFmt w:val="lowerRoman"/>
      <w:lvlText w:val="(%1)"/>
      <w:lvlJc w:val="left"/>
      <w:pPr>
        <w:tabs>
          <w:tab w:val="left" w:pos="72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F8E7559"/>
    <w:multiLevelType w:val="multilevel"/>
    <w:tmpl w:val="6D167AC6"/>
    <w:styleLink w:val="Appendices"/>
    <w:lvl w:ilvl="0">
      <w:start w:val="1"/>
      <w:numFmt w:val="upperLetter"/>
      <w:pStyle w:val="Appendix"/>
      <w:suff w:val="nothing"/>
      <w:lvlText w:val="Appendix %1"/>
      <w:lvlJc w:val="left"/>
      <w:pPr>
        <w:ind w:left="0" w:firstLine="0"/>
      </w:pPr>
      <w:rPr>
        <w:rFonts w:hint="default"/>
      </w:rPr>
    </w:lvl>
    <w:lvl w:ilvl="1">
      <w:start w:val="1"/>
      <w:numFmt w:val="decimal"/>
      <w:pStyle w:val="AppPart"/>
      <w:suff w:val="nothing"/>
      <w:lvlText w:val="Part %2"/>
      <w:lvlJc w:val="left"/>
      <w:pPr>
        <w:ind w:left="0" w:firstLine="0"/>
      </w:pPr>
      <w:rPr>
        <w:rFonts w:hint="default"/>
      </w:rPr>
    </w:lvl>
    <w:lvl w:ilvl="2">
      <w:start w:val="1"/>
      <w:numFmt w:val="decimal"/>
      <w:pStyle w:val="App1Number"/>
      <w:lvlText w:val="%3"/>
      <w:lvlJc w:val="left"/>
      <w:pPr>
        <w:ind w:left="720" w:hanging="720"/>
      </w:pPr>
      <w:rPr>
        <w:rFonts w:hint="default"/>
      </w:rPr>
    </w:lvl>
    <w:lvl w:ilvl="3">
      <w:start w:val="1"/>
      <w:numFmt w:val="decimal"/>
      <w:pStyle w:val="App2Number"/>
      <w:lvlText w:val="%3.%4"/>
      <w:lvlJc w:val="left"/>
      <w:pPr>
        <w:ind w:left="720" w:hanging="720"/>
      </w:pPr>
      <w:rPr>
        <w:rFonts w:hint="default"/>
      </w:rPr>
    </w:lvl>
    <w:lvl w:ilvl="4">
      <w:start w:val="1"/>
      <w:numFmt w:val="decimal"/>
      <w:pStyle w:val="App3Number"/>
      <w:lvlText w:val="%3.%4.%5"/>
      <w:lvlJc w:val="left"/>
      <w:pPr>
        <w:ind w:left="720" w:hanging="720"/>
      </w:pPr>
      <w:rPr>
        <w:rFonts w:hint="default"/>
      </w:rPr>
    </w:lvl>
    <w:lvl w:ilvl="5">
      <w:start w:val="1"/>
      <w:numFmt w:val="lowerLetter"/>
      <w:pStyle w:val="App4Number"/>
      <w:lvlText w:val="(%6)"/>
      <w:lvlJc w:val="left"/>
      <w:pPr>
        <w:ind w:left="1440" w:hanging="720"/>
      </w:pPr>
      <w:rPr>
        <w:rFonts w:hint="default"/>
      </w:rPr>
    </w:lvl>
    <w:lvl w:ilvl="6">
      <w:start w:val="1"/>
      <w:numFmt w:val="lowerRoman"/>
      <w:pStyle w:val="App5Number"/>
      <w:lvlText w:val="(%7)"/>
      <w:lvlJc w:val="left"/>
      <w:pPr>
        <w:ind w:left="2160" w:hanging="720"/>
      </w:pPr>
      <w:rPr>
        <w:rFonts w:hint="default"/>
      </w:rPr>
    </w:lvl>
    <w:lvl w:ilvl="7">
      <w:start w:val="1"/>
      <w:numFmt w:val="upperLetter"/>
      <w:pStyle w:val="App6Number"/>
      <w:lvlText w:val="(%8)"/>
      <w:lvlJc w:val="left"/>
      <w:pPr>
        <w:ind w:left="2880" w:hanging="1287"/>
      </w:pPr>
      <w:rPr>
        <w:rFonts w:hint="default"/>
      </w:rPr>
    </w:lvl>
    <w:lvl w:ilvl="8">
      <w:start w:val="1"/>
      <w:numFmt w:val="none"/>
      <w:lvlText w:val=""/>
      <w:lvlJc w:val="left"/>
      <w:pPr>
        <w:ind w:left="3601" w:hanging="721"/>
      </w:pPr>
      <w:rPr>
        <w:rFonts w:hint="default"/>
      </w:rPr>
    </w:lvl>
  </w:abstractNum>
  <w:abstractNum w:abstractNumId="40" w15:restartNumberingAfterBreak="0">
    <w:nsid w:val="76AB49EE"/>
    <w:multiLevelType w:val="hybridMultilevel"/>
    <w:tmpl w:val="D522FD46"/>
    <w:lvl w:ilvl="0" w:tplc="4B1491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9442631">
    <w:abstractNumId w:val="22"/>
    <w:lvlOverride w:ilvl="1">
      <w:lvl w:ilvl="1">
        <w:start w:val="1"/>
        <w:numFmt w:val="decimal"/>
        <w:pStyle w:val="Level2Number"/>
        <w:lvlText w:val="%1.%2"/>
        <w:lvlJc w:val="left"/>
        <w:pPr>
          <w:ind w:left="720" w:hanging="720"/>
        </w:pPr>
        <w:rPr>
          <w:rFonts w:hint="default"/>
          <w:b w:val="0"/>
        </w:rPr>
      </w:lvl>
    </w:lvlOverride>
    <w:lvlOverride w:ilvl="4">
      <w:lvl w:ilvl="4">
        <w:start w:val="1"/>
        <w:numFmt w:val="lowerRoman"/>
        <w:pStyle w:val="Level5Number"/>
        <w:lvlText w:val="(%5)"/>
        <w:lvlJc w:val="left"/>
        <w:pPr>
          <w:ind w:left="2160" w:hanging="720"/>
        </w:pPr>
        <w:rPr>
          <w:rFonts w:hint="default"/>
          <w:b w:val="0"/>
          <w:bCs w:val="0"/>
          <w:i w:val="0"/>
          <w:iCs w:val="0"/>
        </w:rPr>
      </w:lvl>
    </w:lvlOverride>
  </w:num>
  <w:num w:numId="2" w16cid:durableId="1593466907">
    <w:abstractNumId w:val="21"/>
  </w:num>
  <w:num w:numId="3" w16cid:durableId="1149322461">
    <w:abstractNumId w:val="13"/>
  </w:num>
  <w:num w:numId="4" w16cid:durableId="565268124">
    <w:abstractNumId w:val="33"/>
  </w:num>
  <w:num w:numId="5" w16cid:durableId="843781392">
    <w:abstractNumId w:val="2"/>
  </w:num>
  <w:num w:numId="6" w16cid:durableId="2095935134">
    <w:abstractNumId w:val="7"/>
  </w:num>
  <w:num w:numId="7" w16cid:durableId="2008091331">
    <w:abstractNumId w:val="39"/>
  </w:num>
  <w:num w:numId="8" w16cid:durableId="1045108273">
    <w:abstractNumId w:val="15"/>
  </w:num>
  <w:num w:numId="9" w16cid:durableId="913315476">
    <w:abstractNumId w:val="22"/>
  </w:num>
  <w:num w:numId="10" w16cid:durableId="613294871">
    <w:abstractNumId w:val="28"/>
  </w:num>
  <w:num w:numId="11" w16cid:durableId="1247501202">
    <w:abstractNumId w:val="35"/>
  </w:num>
  <w:num w:numId="12" w16cid:durableId="416444058">
    <w:abstractNumId w:val="1"/>
  </w:num>
  <w:num w:numId="13" w16cid:durableId="1292711519">
    <w:abstractNumId w:val="25"/>
  </w:num>
  <w:num w:numId="14" w16cid:durableId="1750468897">
    <w:abstractNumId w:val="14"/>
  </w:num>
  <w:num w:numId="15" w16cid:durableId="2058116776">
    <w:abstractNumId w:val="23"/>
  </w:num>
  <w:num w:numId="16" w16cid:durableId="1727338678">
    <w:abstractNumId w:val="32"/>
  </w:num>
  <w:num w:numId="17" w16cid:durableId="667946200">
    <w:abstractNumId w:val="24"/>
  </w:num>
  <w:num w:numId="18" w16cid:durableId="1656491681">
    <w:abstractNumId w:val="26"/>
  </w:num>
  <w:num w:numId="19" w16cid:durableId="1216544981">
    <w:abstractNumId w:val="38"/>
  </w:num>
  <w:num w:numId="20" w16cid:durableId="531192099">
    <w:abstractNumId w:val="17"/>
  </w:num>
  <w:num w:numId="21" w16cid:durableId="1499735317">
    <w:abstractNumId w:val="5"/>
  </w:num>
  <w:num w:numId="22" w16cid:durableId="1644967935">
    <w:abstractNumId w:val="34"/>
  </w:num>
  <w:num w:numId="23" w16cid:durableId="1389109605">
    <w:abstractNumId w:val="31"/>
  </w:num>
  <w:num w:numId="24" w16cid:durableId="1853837766">
    <w:abstractNumId w:val="8"/>
  </w:num>
  <w:num w:numId="25" w16cid:durableId="1487821021">
    <w:abstractNumId w:val="6"/>
  </w:num>
  <w:num w:numId="26" w16cid:durableId="1553611721">
    <w:abstractNumId w:val="37"/>
  </w:num>
  <w:num w:numId="27" w16cid:durableId="1559047591">
    <w:abstractNumId w:val="30"/>
  </w:num>
  <w:num w:numId="28" w16cid:durableId="756285732">
    <w:abstractNumId w:val="19"/>
  </w:num>
  <w:num w:numId="29" w16cid:durableId="25762808">
    <w:abstractNumId w:val="16"/>
  </w:num>
  <w:num w:numId="30" w16cid:durableId="2024430810">
    <w:abstractNumId w:val="11"/>
  </w:num>
  <w:num w:numId="31" w16cid:durableId="1917544965">
    <w:abstractNumId w:val="36"/>
  </w:num>
  <w:num w:numId="32" w16cid:durableId="1998918632">
    <w:abstractNumId w:val="20"/>
  </w:num>
  <w:num w:numId="33" w16cid:durableId="881330496">
    <w:abstractNumId w:val="18"/>
  </w:num>
  <w:num w:numId="34" w16cid:durableId="1323319154">
    <w:abstractNumId w:val="0"/>
  </w:num>
  <w:num w:numId="35" w16cid:durableId="898399895">
    <w:abstractNumId w:val="9"/>
  </w:num>
  <w:num w:numId="36" w16cid:durableId="955480453">
    <w:abstractNumId w:val="10"/>
  </w:num>
  <w:num w:numId="37" w16cid:durableId="1059550656">
    <w:abstractNumId w:val="4"/>
  </w:num>
  <w:num w:numId="38" w16cid:durableId="922833542">
    <w:abstractNumId w:val="40"/>
  </w:num>
  <w:num w:numId="39" w16cid:durableId="1101485393">
    <w:abstractNumId w:val="12"/>
  </w:num>
  <w:num w:numId="40" w16cid:durableId="830800026">
    <w:abstractNumId w:val="3"/>
  </w:num>
  <w:num w:numId="41" w16cid:durableId="719474909">
    <w:abstractNumId w:val="27"/>
  </w:num>
  <w:num w:numId="42" w16cid:durableId="1965499517">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CA" w:vendorID="64" w:dllVersion="0" w:nlCheck="1" w:checkStyle="0"/>
  <w:activeWritingStyle w:appName="MSWord" w:lang="en-SG" w:vendorID="64" w:dllVersion="0" w:nlCheck="1" w:checkStyle="0"/>
  <w:proofState w:spelling="clean" w:grammar="clean"/>
  <w:styleLockTheme/>
  <w:styleLockQFSet/>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8AE"/>
    <w:rsid w:val="00001F99"/>
    <w:rsid w:val="00003DD8"/>
    <w:rsid w:val="00005D85"/>
    <w:rsid w:val="000102D6"/>
    <w:rsid w:val="00010EF9"/>
    <w:rsid w:val="000177FB"/>
    <w:rsid w:val="00024671"/>
    <w:rsid w:val="00027F01"/>
    <w:rsid w:val="000318AE"/>
    <w:rsid w:val="000337E2"/>
    <w:rsid w:val="00033A56"/>
    <w:rsid w:val="000367E1"/>
    <w:rsid w:val="0003682D"/>
    <w:rsid w:val="000402C2"/>
    <w:rsid w:val="00044B8A"/>
    <w:rsid w:val="0004504C"/>
    <w:rsid w:val="00046850"/>
    <w:rsid w:val="00055E75"/>
    <w:rsid w:val="0005648A"/>
    <w:rsid w:val="000568E9"/>
    <w:rsid w:val="00067423"/>
    <w:rsid w:val="000719DC"/>
    <w:rsid w:val="00071C60"/>
    <w:rsid w:val="00071DC1"/>
    <w:rsid w:val="000744B1"/>
    <w:rsid w:val="00080265"/>
    <w:rsid w:val="00084951"/>
    <w:rsid w:val="00086997"/>
    <w:rsid w:val="000924B6"/>
    <w:rsid w:val="00095A1E"/>
    <w:rsid w:val="00097705"/>
    <w:rsid w:val="000A12AD"/>
    <w:rsid w:val="000A1F06"/>
    <w:rsid w:val="000A3FA5"/>
    <w:rsid w:val="000A4FB7"/>
    <w:rsid w:val="000C0B1D"/>
    <w:rsid w:val="000C13DD"/>
    <w:rsid w:val="000C51EC"/>
    <w:rsid w:val="000D6E0F"/>
    <w:rsid w:val="000D791F"/>
    <w:rsid w:val="000E21C5"/>
    <w:rsid w:val="000E3E60"/>
    <w:rsid w:val="000E5B85"/>
    <w:rsid w:val="000E67E4"/>
    <w:rsid w:val="000F155C"/>
    <w:rsid w:val="000F490E"/>
    <w:rsid w:val="00103FB2"/>
    <w:rsid w:val="00106012"/>
    <w:rsid w:val="00111788"/>
    <w:rsid w:val="00112099"/>
    <w:rsid w:val="00116ED6"/>
    <w:rsid w:val="00122A16"/>
    <w:rsid w:val="00124225"/>
    <w:rsid w:val="00130BB8"/>
    <w:rsid w:val="00130D79"/>
    <w:rsid w:val="00132B10"/>
    <w:rsid w:val="00135F05"/>
    <w:rsid w:val="001372C9"/>
    <w:rsid w:val="0014151A"/>
    <w:rsid w:val="00145D35"/>
    <w:rsid w:val="001465BB"/>
    <w:rsid w:val="00146A91"/>
    <w:rsid w:val="00147E55"/>
    <w:rsid w:val="0015018D"/>
    <w:rsid w:val="0015312D"/>
    <w:rsid w:val="0015364C"/>
    <w:rsid w:val="00155A92"/>
    <w:rsid w:val="001601FD"/>
    <w:rsid w:val="001629DD"/>
    <w:rsid w:val="0016502B"/>
    <w:rsid w:val="001658BF"/>
    <w:rsid w:val="00166457"/>
    <w:rsid w:val="00166620"/>
    <w:rsid w:val="00167588"/>
    <w:rsid w:val="00173B1B"/>
    <w:rsid w:val="0017664F"/>
    <w:rsid w:val="001805DB"/>
    <w:rsid w:val="0018112D"/>
    <w:rsid w:val="00181992"/>
    <w:rsid w:val="00183774"/>
    <w:rsid w:val="0018403B"/>
    <w:rsid w:val="001910D5"/>
    <w:rsid w:val="001A1125"/>
    <w:rsid w:val="001A18B5"/>
    <w:rsid w:val="001A1B62"/>
    <w:rsid w:val="001A6D59"/>
    <w:rsid w:val="001B55DA"/>
    <w:rsid w:val="001B60DD"/>
    <w:rsid w:val="001C2DB5"/>
    <w:rsid w:val="001C77F8"/>
    <w:rsid w:val="001D1645"/>
    <w:rsid w:val="001D5618"/>
    <w:rsid w:val="001D564D"/>
    <w:rsid w:val="001D5747"/>
    <w:rsid w:val="001D624F"/>
    <w:rsid w:val="001D67BA"/>
    <w:rsid w:val="001E07F6"/>
    <w:rsid w:val="001E1C78"/>
    <w:rsid w:val="001E4804"/>
    <w:rsid w:val="001E55B5"/>
    <w:rsid w:val="001F08A0"/>
    <w:rsid w:val="001F11EF"/>
    <w:rsid w:val="001F6BD1"/>
    <w:rsid w:val="00203261"/>
    <w:rsid w:val="00205888"/>
    <w:rsid w:val="00211A72"/>
    <w:rsid w:val="0021496F"/>
    <w:rsid w:val="00215BA1"/>
    <w:rsid w:val="002206C8"/>
    <w:rsid w:val="00220F18"/>
    <w:rsid w:val="002267AC"/>
    <w:rsid w:val="00231109"/>
    <w:rsid w:val="00244691"/>
    <w:rsid w:val="00245359"/>
    <w:rsid w:val="00246BD1"/>
    <w:rsid w:val="002473E9"/>
    <w:rsid w:val="00250715"/>
    <w:rsid w:val="00250725"/>
    <w:rsid w:val="002535D9"/>
    <w:rsid w:val="00255B9A"/>
    <w:rsid w:val="00256760"/>
    <w:rsid w:val="00260B9C"/>
    <w:rsid w:val="00263B0C"/>
    <w:rsid w:val="00263EA0"/>
    <w:rsid w:val="00267192"/>
    <w:rsid w:val="002677BC"/>
    <w:rsid w:val="002736A7"/>
    <w:rsid w:val="00274537"/>
    <w:rsid w:val="0027520A"/>
    <w:rsid w:val="0028180C"/>
    <w:rsid w:val="00285DAC"/>
    <w:rsid w:val="002A397E"/>
    <w:rsid w:val="002A6F55"/>
    <w:rsid w:val="002A751E"/>
    <w:rsid w:val="002B0AC6"/>
    <w:rsid w:val="002B539C"/>
    <w:rsid w:val="002B5BF3"/>
    <w:rsid w:val="002B7735"/>
    <w:rsid w:val="002C05E2"/>
    <w:rsid w:val="002D25D9"/>
    <w:rsid w:val="002D3A06"/>
    <w:rsid w:val="002E119F"/>
    <w:rsid w:val="002E162E"/>
    <w:rsid w:val="002E25EE"/>
    <w:rsid w:val="002E7484"/>
    <w:rsid w:val="002F385C"/>
    <w:rsid w:val="002F4CC0"/>
    <w:rsid w:val="003026FE"/>
    <w:rsid w:val="003071EE"/>
    <w:rsid w:val="00307654"/>
    <w:rsid w:val="003079D7"/>
    <w:rsid w:val="00310126"/>
    <w:rsid w:val="003130A0"/>
    <w:rsid w:val="00314177"/>
    <w:rsid w:val="003278FA"/>
    <w:rsid w:val="003326F6"/>
    <w:rsid w:val="00333C70"/>
    <w:rsid w:val="00336DA1"/>
    <w:rsid w:val="00340BB6"/>
    <w:rsid w:val="00340EF8"/>
    <w:rsid w:val="003427CE"/>
    <w:rsid w:val="00356052"/>
    <w:rsid w:val="003635B5"/>
    <w:rsid w:val="0037007D"/>
    <w:rsid w:val="00370D45"/>
    <w:rsid w:val="003815F6"/>
    <w:rsid w:val="00386861"/>
    <w:rsid w:val="0039729D"/>
    <w:rsid w:val="0039757D"/>
    <w:rsid w:val="003A387B"/>
    <w:rsid w:val="003C06B0"/>
    <w:rsid w:val="003C2913"/>
    <w:rsid w:val="003C3D66"/>
    <w:rsid w:val="003C5259"/>
    <w:rsid w:val="003C592B"/>
    <w:rsid w:val="003C67DD"/>
    <w:rsid w:val="003E1910"/>
    <w:rsid w:val="003E1BA7"/>
    <w:rsid w:val="003E1D55"/>
    <w:rsid w:val="003E456D"/>
    <w:rsid w:val="003E609B"/>
    <w:rsid w:val="003E63EF"/>
    <w:rsid w:val="003F3B9B"/>
    <w:rsid w:val="003F4675"/>
    <w:rsid w:val="003F4A1B"/>
    <w:rsid w:val="003F7085"/>
    <w:rsid w:val="004000F1"/>
    <w:rsid w:val="00400E4E"/>
    <w:rsid w:val="0040376B"/>
    <w:rsid w:val="0041150A"/>
    <w:rsid w:val="00416CDA"/>
    <w:rsid w:val="00420756"/>
    <w:rsid w:val="00422BE9"/>
    <w:rsid w:val="00422DDF"/>
    <w:rsid w:val="00422DFC"/>
    <w:rsid w:val="0043168F"/>
    <w:rsid w:val="00431DDF"/>
    <w:rsid w:val="004377F4"/>
    <w:rsid w:val="00441C92"/>
    <w:rsid w:val="004435BA"/>
    <w:rsid w:val="00445E0F"/>
    <w:rsid w:val="004460F4"/>
    <w:rsid w:val="00447C07"/>
    <w:rsid w:val="00451B52"/>
    <w:rsid w:val="00454EB3"/>
    <w:rsid w:val="00461B53"/>
    <w:rsid w:val="00474247"/>
    <w:rsid w:val="0048532E"/>
    <w:rsid w:val="00491250"/>
    <w:rsid w:val="00491412"/>
    <w:rsid w:val="0049553F"/>
    <w:rsid w:val="004A2EE3"/>
    <w:rsid w:val="004B3491"/>
    <w:rsid w:val="004B7B93"/>
    <w:rsid w:val="004C059D"/>
    <w:rsid w:val="004C61A2"/>
    <w:rsid w:val="004D324F"/>
    <w:rsid w:val="004E3650"/>
    <w:rsid w:val="004E7C87"/>
    <w:rsid w:val="004F1574"/>
    <w:rsid w:val="004F3ECA"/>
    <w:rsid w:val="004F6066"/>
    <w:rsid w:val="004F6840"/>
    <w:rsid w:val="004F70AB"/>
    <w:rsid w:val="004F79C9"/>
    <w:rsid w:val="005001CD"/>
    <w:rsid w:val="00503CC5"/>
    <w:rsid w:val="00504AA0"/>
    <w:rsid w:val="00513910"/>
    <w:rsid w:val="00513F83"/>
    <w:rsid w:val="00514674"/>
    <w:rsid w:val="00516F40"/>
    <w:rsid w:val="005214F4"/>
    <w:rsid w:val="0053199F"/>
    <w:rsid w:val="00531B6E"/>
    <w:rsid w:val="005324AF"/>
    <w:rsid w:val="00536A25"/>
    <w:rsid w:val="00543118"/>
    <w:rsid w:val="00545815"/>
    <w:rsid w:val="0054728D"/>
    <w:rsid w:val="0055559C"/>
    <w:rsid w:val="00556619"/>
    <w:rsid w:val="00563CDE"/>
    <w:rsid w:val="005663A6"/>
    <w:rsid w:val="00567823"/>
    <w:rsid w:val="005716A0"/>
    <w:rsid w:val="00571E63"/>
    <w:rsid w:val="0057345A"/>
    <w:rsid w:val="00573E4A"/>
    <w:rsid w:val="005759B8"/>
    <w:rsid w:val="00576827"/>
    <w:rsid w:val="005771AD"/>
    <w:rsid w:val="005824B6"/>
    <w:rsid w:val="005848B2"/>
    <w:rsid w:val="0058687A"/>
    <w:rsid w:val="00587399"/>
    <w:rsid w:val="005A0299"/>
    <w:rsid w:val="005A0764"/>
    <w:rsid w:val="005A56FF"/>
    <w:rsid w:val="005B2BD8"/>
    <w:rsid w:val="005B4596"/>
    <w:rsid w:val="005B5D94"/>
    <w:rsid w:val="005B7D9F"/>
    <w:rsid w:val="005C0338"/>
    <w:rsid w:val="005C40E0"/>
    <w:rsid w:val="005C482B"/>
    <w:rsid w:val="005C621B"/>
    <w:rsid w:val="005C6F46"/>
    <w:rsid w:val="005D1207"/>
    <w:rsid w:val="005D2D65"/>
    <w:rsid w:val="005D414D"/>
    <w:rsid w:val="005D7AFF"/>
    <w:rsid w:val="005F17F4"/>
    <w:rsid w:val="005F32C5"/>
    <w:rsid w:val="005F3C27"/>
    <w:rsid w:val="005F7383"/>
    <w:rsid w:val="00601DFE"/>
    <w:rsid w:val="006058D5"/>
    <w:rsid w:val="00606A1A"/>
    <w:rsid w:val="0060745F"/>
    <w:rsid w:val="00610030"/>
    <w:rsid w:val="006107DA"/>
    <w:rsid w:val="00614E10"/>
    <w:rsid w:val="0062759F"/>
    <w:rsid w:val="00634399"/>
    <w:rsid w:val="00635152"/>
    <w:rsid w:val="0063571D"/>
    <w:rsid w:val="0064018F"/>
    <w:rsid w:val="00652033"/>
    <w:rsid w:val="0065785F"/>
    <w:rsid w:val="006648C6"/>
    <w:rsid w:val="00665254"/>
    <w:rsid w:val="006661B5"/>
    <w:rsid w:val="0066710F"/>
    <w:rsid w:val="0067097B"/>
    <w:rsid w:val="0068057D"/>
    <w:rsid w:val="0068272D"/>
    <w:rsid w:val="00683C5F"/>
    <w:rsid w:val="00687011"/>
    <w:rsid w:val="00687519"/>
    <w:rsid w:val="00690E5E"/>
    <w:rsid w:val="00692579"/>
    <w:rsid w:val="00692871"/>
    <w:rsid w:val="00692DFD"/>
    <w:rsid w:val="006937DF"/>
    <w:rsid w:val="006947DE"/>
    <w:rsid w:val="006972FD"/>
    <w:rsid w:val="006A34B7"/>
    <w:rsid w:val="006B3CA1"/>
    <w:rsid w:val="006C06A1"/>
    <w:rsid w:val="006C400B"/>
    <w:rsid w:val="006C50D2"/>
    <w:rsid w:val="006C561D"/>
    <w:rsid w:val="006C580D"/>
    <w:rsid w:val="006D00C8"/>
    <w:rsid w:val="006D13F7"/>
    <w:rsid w:val="006D3075"/>
    <w:rsid w:val="006D5A55"/>
    <w:rsid w:val="006D76B6"/>
    <w:rsid w:val="006D7C84"/>
    <w:rsid w:val="006E0C87"/>
    <w:rsid w:val="006E1F5B"/>
    <w:rsid w:val="006E2ED4"/>
    <w:rsid w:val="006F0A63"/>
    <w:rsid w:val="006F16E9"/>
    <w:rsid w:val="006F7EB8"/>
    <w:rsid w:val="007003A5"/>
    <w:rsid w:val="007004EE"/>
    <w:rsid w:val="007026A7"/>
    <w:rsid w:val="00702EAF"/>
    <w:rsid w:val="00705E2B"/>
    <w:rsid w:val="00706624"/>
    <w:rsid w:val="007109BF"/>
    <w:rsid w:val="0071344C"/>
    <w:rsid w:val="00714E40"/>
    <w:rsid w:val="007155AF"/>
    <w:rsid w:val="007164A5"/>
    <w:rsid w:val="00726D34"/>
    <w:rsid w:val="00727555"/>
    <w:rsid w:val="007278AB"/>
    <w:rsid w:val="0073324B"/>
    <w:rsid w:val="0073508C"/>
    <w:rsid w:val="007375BD"/>
    <w:rsid w:val="00737FE0"/>
    <w:rsid w:val="00744F09"/>
    <w:rsid w:val="00746DDD"/>
    <w:rsid w:val="0075253C"/>
    <w:rsid w:val="007603F8"/>
    <w:rsid w:val="00764F36"/>
    <w:rsid w:val="00766B8E"/>
    <w:rsid w:val="00780064"/>
    <w:rsid w:val="00790148"/>
    <w:rsid w:val="007A168E"/>
    <w:rsid w:val="007A7C69"/>
    <w:rsid w:val="007A7DB4"/>
    <w:rsid w:val="007B1AC9"/>
    <w:rsid w:val="007B3382"/>
    <w:rsid w:val="007C7D36"/>
    <w:rsid w:val="007D0594"/>
    <w:rsid w:val="007D5A4A"/>
    <w:rsid w:val="007E0D6A"/>
    <w:rsid w:val="007F1C30"/>
    <w:rsid w:val="007F4DCA"/>
    <w:rsid w:val="007F6E14"/>
    <w:rsid w:val="007F6F58"/>
    <w:rsid w:val="007F7E15"/>
    <w:rsid w:val="008075E0"/>
    <w:rsid w:val="00807B2C"/>
    <w:rsid w:val="00813AC9"/>
    <w:rsid w:val="00820AE7"/>
    <w:rsid w:val="00830CCD"/>
    <w:rsid w:val="0083401C"/>
    <w:rsid w:val="008370B3"/>
    <w:rsid w:val="008479D4"/>
    <w:rsid w:val="008665DD"/>
    <w:rsid w:val="0087406B"/>
    <w:rsid w:val="00874343"/>
    <w:rsid w:val="00875977"/>
    <w:rsid w:val="008777D6"/>
    <w:rsid w:val="00877DBE"/>
    <w:rsid w:val="0088056E"/>
    <w:rsid w:val="00880ADD"/>
    <w:rsid w:val="008813AA"/>
    <w:rsid w:val="00883B8D"/>
    <w:rsid w:val="00895CEF"/>
    <w:rsid w:val="00896CF6"/>
    <w:rsid w:val="008A1B90"/>
    <w:rsid w:val="008A5CCF"/>
    <w:rsid w:val="008B03C9"/>
    <w:rsid w:val="008B044D"/>
    <w:rsid w:val="008B2F6E"/>
    <w:rsid w:val="008B44E5"/>
    <w:rsid w:val="008B4B7B"/>
    <w:rsid w:val="008B7231"/>
    <w:rsid w:val="008C4186"/>
    <w:rsid w:val="008C5408"/>
    <w:rsid w:val="008D0451"/>
    <w:rsid w:val="008D06BB"/>
    <w:rsid w:val="008D237A"/>
    <w:rsid w:val="008D39A2"/>
    <w:rsid w:val="008D3C13"/>
    <w:rsid w:val="008D68AF"/>
    <w:rsid w:val="008D754F"/>
    <w:rsid w:val="008E000C"/>
    <w:rsid w:val="008E1390"/>
    <w:rsid w:val="008E1596"/>
    <w:rsid w:val="008E26B1"/>
    <w:rsid w:val="008E6545"/>
    <w:rsid w:val="008E7EB5"/>
    <w:rsid w:val="008F28F5"/>
    <w:rsid w:val="008F63A5"/>
    <w:rsid w:val="008F7D50"/>
    <w:rsid w:val="008F7EC9"/>
    <w:rsid w:val="00900487"/>
    <w:rsid w:val="00901D31"/>
    <w:rsid w:val="00902F03"/>
    <w:rsid w:val="009067A8"/>
    <w:rsid w:val="00913E06"/>
    <w:rsid w:val="00913ED5"/>
    <w:rsid w:val="00914F2A"/>
    <w:rsid w:val="00915ADE"/>
    <w:rsid w:val="00916F85"/>
    <w:rsid w:val="00920776"/>
    <w:rsid w:val="009257E9"/>
    <w:rsid w:val="0092673C"/>
    <w:rsid w:val="00933EED"/>
    <w:rsid w:val="00935A7A"/>
    <w:rsid w:val="009366AE"/>
    <w:rsid w:val="00936935"/>
    <w:rsid w:val="009404AC"/>
    <w:rsid w:val="009407DC"/>
    <w:rsid w:val="0094203F"/>
    <w:rsid w:val="009439AF"/>
    <w:rsid w:val="00946E10"/>
    <w:rsid w:val="0095024A"/>
    <w:rsid w:val="00950A46"/>
    <w:rsid w:val="00952F73"/>
    <w:rsid w:val="009535EE"/>
    <w:rsid w:val="0095788E"/>
    <w:rsid w:val="0095797A"/>
    <w:rsid w:val="00962A63"/>
    <w:rsid w:val="00964A3C"/>
    <w:rsid w:val="009653CF"/>
    <w:rsid w:val="00975EFA"/>
    <w:rsid w:val="00980420"/>
    <w:rsid w:val="009818E8"/>
    <w:rsid w:val="009829F5"/>
    <w:rsid w:val="0098701D"/>
    <w:rsid w:val="009903F0"/>
    <w:rsid w:val="00996484"/>
    <w:rsid w:val="00996B04"/>
    <w:rsid w:val="009A4023"/>
    <w:rsid w:val="009A62C6"/>
    <w:rsid w:val="009C070E"/>
    <w:rsid w:val="009C1F37"/>
    <w:rsid w:val="009C5F8F"/>
    <w:rsid w:val="009D28B6"/>
    <w:rsid w:val="009E0CC0"/>
    <w:rsid w:val="009E6017"/>
    <w:rsid w:val="009F1962"/>
    <w:rsid w:val="009F3A4B"/>
    <w:rsid w:val="009F4851"/>
    <w:rsid w:val="009F48B7"/>
    <w:rsid w:val="009F4FCE"/>
    <w:rsid w:val="00A014B1"/>
    <w:rsid w:val="00A01A92"/>
    <w:rsid w:val="00A04E5B"/>
    <w:rsid w:val="00A12B9E"/>
    <w:rsid w:val="00A13399"/>
    <w:rsid w:val="00A26785"/>
    <w:rsid w:val="00A30F98"/>
    <w:rsid w:val="00A32D90"/>
    <w:rsid w:val="00A3605C"/>
    <w:rsid w:val="00A37DFE"/>
    <w:rsid w:val="00A524C4"/>
    <w:rsid w:val="00A5256A"/>
    <w:rsid w:val="00A53F11"/>
    <w:rsid w:val="00A56171"/>
    <w:rsid w:val="00A600C7"/>
    <w:rsid w:val="00A659E2"/>
    <w:rsid w:val="00A67D3A"/>
    <w:rsid w:val="00A70E64"/>
    <w:rsid w:val="00A73FEF"/>
    <w:rsid w:val="00A74F8C"/>
    <w:rsid w:val="00A96A4A"/>
    <w:rsid w:val="00AA48AF"/>
    <w:rsid w:val="00AB0164"/>
    <w:rsid w:val="00AB24E7"/>
    <w:rsid w:val="00AB55E3"/>
    <w:rsid w:val="00AB7C78"/>
    <w:rsid w:val="00AC2B73"/>
    <w:rsid w:val="00AD2EED"/>
    <w:rsid w:val="00AD63CD"/>
    <w:rsid w:val="00AD77B4"/>
    <w:rsid w:val="00AE2674"/>
    <w:rsid w:val="00AE4142"/>
    <w:rsid w:val="00AF4A19"/>
    <w:rsid w:val="00AF4C83"/>
    <w:rsid w:val="00AF5C75"/>
    <w:rsid w:val="00AF6CC6"/>
    <w:rsid w:val="00B02EB9"/>
    <w:rsid w:val="00B0741B"/>
    <w:rsid w:val="00B118A8"/>
    <w:rsid w:val="00B1636A"/>
    <w:rsid w:val="00B17CD2"/>
    <w:rsid w:val="00B20B42"/>
    <w:rsid w:val="00B21CB1"/>
    <w:rsid w:val="00B262CC"/>
    <w:rsid w:val="00B340FA"/>
    <w:rsid w:val="00B40855"/>
    <w:rsid w:val="00B41973"/>
    <w:rsid w:val="00B4251F"/>
    <w:rsid w:val="00B451CD"/>
    <w:rsid w:val="00B460E3"/>
    <w:rsid w:val="00B502A0"/>
    <w:rsid w:val="00B52D69"/>
    <w:rsid w:val="00B55844"/>
    <w:rsid w:val="00B57FA1"/>
    <w:rsid w:val="00B606BA"/>
    <w:rsid w:val="00B64EDE"/>
    <w:rsid w:val="00B70E4B"/>
    <w:rsid w:val="00B7184B"/>
    <w:rsid w:val="00B71D3E"/>
    <w:rsid w:val="00B759EA"/>
    <w:rsid w:val="00B8380C"/>
    <w:rsid w:val="00B87383"/>
    <w:rsid w:val="00B90CC3"/>
    <w:rsid w:val="00B9263A"/>
    <w:rsid w:val="00B92729"/>
    <w:rsid w:val="00BA00BF"/>
    <w:rsid w:val="00BA122E"/>
    <w:rsid w:val="00BA65FD"/>
    <w:rsid w:val="00BB0163"/>
    <w:rsid w:val="00BB0E6D"/>
    <w:rsid w:val="00BB5FB1"/>
    <w:rsid w:val="00BC418A"/>
    <w:rsid w:val="00BC71D0"/>
    <w:rsid w:val="00BD0CD1"/>
    <w:rsid w:val="00BD2440"/>
    <w:rsid w:val="00BD3DF4"/>
    <w:rsid w:val="00BD6A34"/>
    <w:rsid w:val="00BE4C6A"/>
    <w:rsid w:val="00BE6A61"/>
    <w:rsid w:val="00BE6C81"/>
    <w:rsid w:val="00BE70AE"/>
    <w:rsid w:val="00BE7B12"/>
    <w:rsid w:val="00BF1233"/>
    <w:rsid w:val="00BF155D"/>
    <w:rsid w:val="00BF17F3"/>
    <w:rsid w:val="00BF4746"/>
    <w:rsid w:val="00BF52D8"/>
    <w:rsid w:val="00BF542F"/>
    <w:rsid w:val="00C0230B"/>
    <w:rsid w:val="00C02D6B"/>
    <w:rsid w:val="00C0369E"/>
    <w:rsid w:val="00C0410D"/>
    <w:rsid w:val="00C148DF"/>
    <w:rsid w:val="00C1566B"/>
    <w:rsid w:val="00C16624"/>
    <w:rsid w:val="00C34CF2"/>
    <w:rsid w:val="00C36DDD"/>
    <w:rsid w:val="00C52FF9"/>
    <w:rsid w:val="00C6046F"/>
    <w:rsid w:val="00C6267F"/>
    <w:rsid w:val="00C665E8"/>
    <w:rsid w:val="00C72E93"/>
    <w:rsid w:val="00C73382"/>
    <w:rsid w:val="00C80994"/>
    <w:rsid w:val="00C815E4"/>
    <w:rsid w:val="00C8166F"/>
    <w:rsid w:val="00C83CD6"/>
    <w:rsid w:val="00C9118C"/>
    <w:rsid w:val="00C9609A"/>
    <w:rsid w:val="00C97A4A"/>
    <w:rsid w:val="00CA45AA"/>
    <w:rsid w:val="00CA467C"/>
    <w:rsid w:val="00CA6532"/>
    <w:rsid w:val="00CA6E91"/>
    <w:rsid w:val="00CB4796"/>
    <w:rsid w:val="00CC2425"/>
    <w:rsid w:val="00CC3A5C"/>
    <w:rsid w:val="00CC439E"/>
    <w:rsid w:val="00CD038B"/>
    <w:rsid w:val="00CD76F1"/>
    <w:rsid w:val="00CE0A9B"/>
    <w:rsid w:val="00CE1107"/>
    <w:rsid w:val="00CE65A2"/>
    <w:rsid w:val="00CF3B0E"/>
    <w:rsid w:val="00CF3D4B"/>
    <w:rsid w:val="00D0273D"/>
    <w:rsid w:val="00D07151"/>
    <w:rsid w:val="00D075D9"/>
    <w:rsid w:val="00D101BB"/>
    <w:rsid w:val="00D128EE"/>
    <w:rsid w:val="00D152A5"/>
    <w:rsid w:val="00D1611A"/>
    <w:rsid w:val="00D17B30"/>
    <w:rsid w:val="00D2074A"/>
    <w:rsid w:val="00D23C01"/>
    <w:rsid w:val="00D3033F"/>
    <w:rsid w:val="00D32A3B"/>
    <w:rsid w:val="00D53595"/>
    <w:rsid w:val="00D65399"/>
    <w:rsid w:val="00D66210"/>
    <w:rsid w:val="00D665D1"/>
    <w:rsid w:val="00D70E80"/>
    <w:rsid w:val="00D71A0A"/>
    <w:rsid w:val="00D758B8"/>
    <w:rsid w:val="00D76067"/>
    <w:rsid w:val="00D7746F"/>
    <w:rsid w:val="00D83BB6"/>
    <w:rsid w:val="00D91C3C"/>
    <w:rsid w:val="00D92F7C"/>
    <w:rsid w:val="00D95EAE"/>
    <w:rsid w:val="00DA1065"/>
    <w:rsid w:val="00DA255C"/>
    <w:rsid w:val="00DB411A"/>
    <w:rsid w:val="00DB413F"/>
    <w:rsid w:val="00DC76C5"/>
    <w:rsid w:val="00DC7DDC"/>
    <w:rsid w:val="00DD19F6"/>
    <w:rsid w:val="00DD537D"/>
    <w:rsid w:val="00DD5E78"/>
    <w:rsid w:val="00DD6A2D"/>
    <w:rsid w:val="00DE080F"/>
    <w:rsid w:val="00DE1021"/>
    <w:rsid w:val="00DE60DC"/>
    <w:rsid w:val="00DE6704"/>
    <w:rsid w:val="00DF52A2"/>
    <w:rsid w:val="00DF6702"/>
    <w:rsid w:val="00E0177B"/>
    <w:rsid w:val="00E022A4"/>
    <w:rsid w:val="00E02FEB"/>
    <w:rsid w:val="00E03E50"/>
    <w:rsid w:val="00E07824"/>
    <w:rsid w:val="00E10BB5"/>
    <w:rsid w:val="00E11923"/>
    <w:rsid w:val="00E12843"/>
    <w:rsid w:val="00E149CE"/>
    <w:rsid w:val="00E1603B"/>
    <w:rsid w:val="00E21752"/>
    <w:rsid w:val="00E23D42"/>
    <w:rsid w:val="00E34C79"/>
    <w:rsid w:val="00E37E86"/>
    <w:rsid w:val="00E460D1"/>
    <w:rsid w:val="00E514F9"/>
    <w:rsid w:val="00E549B9"/>
    <w:rsid w:val="00E54A03"/>
    <w:rsid w:val="00E5698D"/>
    <w:rsid w:val="00E617D3"/>
    <w:rsid w:val="00E62B6A"/>
    <w:rsid w:val="00E7296E"/>
    <w:rsid w:val="00E7505E"/>
    <w:rsid w:val="00E830FA"/>
    <w:rsid w:val="00E83A23"/>
    <w:rsid w:val="00E84036"/>
    <w:rsid w:val="00E9049B"/>
    <w:rsid w:val="00E917A8"/>
    <w:rsid w:val="00E9183F"/>
    <w:rsid w:val="00E935B0"/>
    <w:rsid w:val="00EA09F4"/>
    <w:rsid w:val="00EA4E11"/>
    <w:rsid w:val="00EA5568"/>
    <w:rsid w:val="00EB1B79"/>
    <w:rsid w:val="00EB4200"/>
    <w:rsid w:val="00EB4975"/>
    <w:rsid w:val="00EB578F"/>
    <w:rsid w:val="00EC17DC"/>
    <w:rsid w:val="00EC17EB"/>
    <w:rsid w:val="00EC1EFD"/>
    <w:rsid w:val="00EC566E"/>
    <w:rsid w:val="00EC7CA4"/>
    <w:rsid w:val="00ED708E"/>
    <w:rsid w:val="00EE0899"/>
    <w:rsid w:val="00EE0F57"/>
    <w:rsid w:val="00EE58C3"/>
    <w:rsid w:val="00EE7F73"/>
    <w:rsid w:val="00EF063E"/>
    <w:rsid w:val="00EF335C"/>
    <w:rsid w:val="00EF4745"/>
    <w:rsid w:val="00EF7952"/>
    <w:rsid w:val="00F036D2"/>
    <w:rsid w:val="00F057D5"/>
    <w:rsid w:val="00F0604B"/>
    <w:rsid w:val="00F250CC"/>
    <w:rsid w:val="00F2534C"/>
    <w:rsid w:val="00F25725"/>
    <w:rsid w:val="00F35EEC"/>
    <w:rsid w:val="00F40135"/>
    <w:rsid w:val="00F44779"/>
    <w:rsid w:val="00F5502D"/>
    <w:rsid w:val="00F5563E"/>
    <w:rsid w:val="00F60CC9"/>
    <w:rsid w:val="00F62015"/>
    <w:rsid w:val="00F62096"/>
    <w:rsid w:val="00F64CA2"/>
    <w:rsid w:val="00F65A13"/>
    <w:rsid w:val="00F72ACA"/>
    <w:rsid w:val="00F757C1"/>
    <w:rsid w:val="00F76851"/>
    <w:rsid w:val="00F77A0A"/>
    <w:rsid w:val="00F9215F"/>
    <w:rsid w:val="00F94E77"/>
    <w:rsid w:val="00F9543C"/>
    <w:rsid w:val="00FB0BD1"/>
    <w:rsid w:val="00FB5B0D"/>
    <w:rsid w:val="00FB78B1"/>
    <w:rsid w:val="00FB7E1C"/>
    <w:rsid w:val="00FC2BA7"/>
    <w:rsid w:val="00FC5A2D"/>
    <w:rsid w:val="00FD019D"/>
    <w:rsid w:val="00FD550E"/>
    <w:rsid w:val="00FE1930"/>
    <w:rsid w:val="00FE2A62"/>
    <w:rsid w:val="00FF01D4"/>
    <w:rsid w:val="00FF0F02"/>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725DF3"/>
  <w15:docId w15:val="{1583371B-2EAA-436F-A2AC-AEBA743D7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40" w:line="276" w:lineRule="auto"/>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59" w:unhideWhenUsed="1" w:qFormat="1"/>
    <w:lsdException w:name="heading 8" w:semiHidden="1" w:uiPriority="59" w:unhideWhenUsed="1" w:qFormat="1"/>
    <w:lsdException w:name="heading 9" w:semiHidden="1" w:uiPriority="5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5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semiHidden="1" w:qFormat="1"/>
    <w:lsdException w:name="Book Title" w:semiHidden="1" w:qFormat="1"/>
    <w:lsdException w:name="Bibliography" w:semiHidden="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F2"/>
    <w:pPr>
      <w:spacing w:after="0" w:line="240" w:lineRule="auto"/>
    </w:pPr>
    <w:rPr>
      <w:rFonts w:ascii="Arial" w:eastAsia="Times New Roman" w:hAnsi="Arial" w:cs="Times New Roman"/>
    </w:rPr>
  </w:style>
  <w:style w:type="paragraph" w:styleId="Heading1">
    <w:name w:val="heading 1"/>
    <w:aliases w:val="(Alt+1),1,1st level,A MAJOR/BOLD,Attribute Heading 1,Ch,H1,Heading,Heading 1(Report Only),Roman 14 B Heading,Roman 14 B Heading1,Roman 14 B Heading11,Roman 14 B Heading2,Schedheading,Section Heading,ch,h1,h1 chapter heading,new page/chapter"/>
    <w:basedOn w:val="Normal"/>
    <w:next w:val="Normal"/>
    <w:link w:val="Heading1Char"/>
    <w:qFormat/>
    <w:pPr>
      <w:keepNext/>
      <w:keepLines/>
      <w:spacing w:before="480"/>
      <w:outlineLvl w:val="0"/>
    </w:pPr>
    <w:rPr>
      <w:rFonts w:asciiTheme="majorHAnsi" w:eastAsiaTheme="majorEastAsia" w:hAnsiTheme="majorHAnsi" w:cstheme="majorBidi"/>
      <w:b/>
      <w:bCs/>
      <w:color w:val="51216C" w:themeColor="accent1" w:themeShade="BF"/>
      <w:sz w:val="28"/>
      <w:szCs w:val="28"/>
    </w:rPr>
  </w:style>
  <w:style w:type="paragraph" w:styleId="Heading2">
    <w:name w:val="heading 2"/>
    <w:aliases w:val="(1.1,1.2,1.3 etc),2,21,22,23,24,25,2m,B,B Sub/Bold,B Sub/Bold1,Body Text (Reset numbering),H2,L2,Reset numbering,Subhead A,TF-Overskrit 2,h 2,h2,h2 main heading,m,section header,sub-sect,sub-sect1,sub-sect2,sub-sect3,sub-sect4,sub-sect5"/>
    <w:basedOn w:val="BodyText"/>
    <w:next w:val="BodyText2"/>
    <w:link w:val="Heading2Char"/>
    <w:qFormat/>
    <w:rsid w:val="00D128EE"/>
    <w:pPr>
      <w:tabs>
        <w:tab w:val="num" w:pos="709"/>
      </w:tabs>
      <w:spacing w:after="230"/>
      <w:ind w:left="709" w:hanging="709"/>
      <w:outlineLvl w:val="1"/>
    </w:pPr>
    <w:rPr>
      <w:b/>
    </w:rPr>
  </w:style>
  <w:style w:type="paragraph" w:styleId="Heading3">
    <w:name w:val="heading 3"/>
    <w:aliases w:val="(Alt+3),3,3m,3rd Level,C,C Sub-Sub/Italic,C Sub-Sub/Italic1,GPH Heading 3,H3,H31,Head 31,Head 32,HeadC,L3,Level 1 - 1,Level 1 - 2,Minor,Minor1,Numbered - 3,Para Heading 3,Para Heading 31,Sub-section,Sub2Para,h3,h3 sub heading,h3 sub heading1"/>
    <w:basedOn w:val="BodyText"/>
    <w:next w:val="BodyText3"/>
    <w:link w:val="Heading3Char"/>
    <w:qFormat/>
    <w:rsid w:val="00D128EE"/>
    <w:pPr>
      <w:tabs>
        <w:tab w:val="num" w:pos="709"/>
      </w:tabs>
      <w:spacing w:after="230"/>
      <w:ind w:left="709" w:hanging="709"/>
      <w:outlineLvl w:val="2"/>
    </w:pPr>
  </w:style>
  <w:style w:type="paragraph" w:styleId="Heading4">
    <w:name w:val="heading 4"/>
    <w:aliases w:val="14,141,1411,142,1421,143,4,41,411,42,43,D Sub-Sub/Plain,GPH Heading 4,H4,Level 2 - (a),Level 2 - a,Map Title,Second Level Heading HM,Subhead C,a.,h4,h4 sub sub heading,h41,h411,h42,h421,h43,h44,l4,l41,l411,l42,l421,l43,n,parapoint,¶,¶1"/>
    <w:basedOn w:val="BodyText"/>
    <w:link w:val="Heading4Char"/>
    <w:qFormat/>
    <w:rsid w:val="00D128EE"/>
    <w:pPr>
      <w:tabs>
        <w:tab w:val="num" w:pos="1418"/>
      </w:tabs>
      <w:spacing w:after="230"/>
      <w:ind w:left="1418" w:hanging="709"/>
      <w:outlineLvl w:val="3"/>
    </w:pPr>
  </w:style>
  <w:style w:type="paragraph" w:styleId="Heading5">
    <w:name w:val="heading 5"/>
    <w:aliases w:val="(A),Appendix A to X,FMH1,H5,Heading 5(unused),Heading 5*,Lev 5,Level 3 - (i),Level 3 - i,Response Type,Response Type1,Response Type2,Response Type3,Response Type4,Response Type5,Response Type6,Response Type7,Subheading,Third Level Heading,h5"/>
    <w:basedOn w:val="BodyText"/>
    <w:link w:val="Heading5Char"/>
    <w:qFormat/>
    <w:rsid w:val="00D128EE"/>
    <w:pPr>
      <w:tabs>
        <w:tab w:val="num" w:pos="2126"/>
      </w:tabs>
      <w:spacing w:after="230"/>
      <w:ind w:left="2126" w:hanging="708"/>
      <w:outlineLvl w:val="4"/>
    </w:pPr>
  </w:style>
  <w:style w:type="paragraph" w:styleId="Heading6">
    <w:name w:val="heading 6"/>
    <w:aliases w:val="(I),5,Blank 2,H6,H6 DO NOT USE,H61,H610,H611,H612,H613,H614,H615,H62,H63,H64,H65,H66,H67,H68,H69,Heading 6  Appendix Y &amp; Z,Heading 6(unused),ITT t6,L1 PIP,Legal Level 1.,Lev 6,Normal diagram,Numbered - 6,PA Appendix,PR14,bullet2,h6,sd,sub-dash"/>
    <w:basedOn w:val="BodyText"/>
    <w:link w:val="Heading6Char"/>
    <w:qFormat/>
    <w:rsid w:val="00D128EE"/>
    <w:pPr>
      <w:tabs>
        <w:tab w:val="num" w:pos="2835"/>
      </w:tabs>
      <w:spacing w:after="230"/>
      <w:ind w:left="2835" w:hanging="709"/>
      <w:outlineLvl w:val="5"/>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1body,BT,BodText,Body Text - Level 2,Body Text 1.1,Body Text x,Body Txt,OC Body Text,OpinBody,Proposal Body,Report Body,T1,b,b-heading,bd,block,bo,body text,bt,bt wide,by,contents,full cell text,heading3,jfp_standard,memo body,sp,taten_body,tx"/>
    <w:basedOn w:val="Normal"/>
    <w:link w:val="BodyTextChar"/>
    <w:qFormat/>
    <w:pPr>
      <w:spacing w:after="240"/>
    </w:pPr>
  </w:style>
  <w:style w:type="character" w:customStyle="1" w:styleId="BodyTextChar">
    <w:name w:val="Body Text Char"/>
    <w:aliases w:val="1body Char,BT Char,BodText Char,Body Text - Level 2 Char,Body Text 1.1 Char,Body Text x Char,Body Txt Char,OC Body Text Char,OpinBody Char,Proposal Body Char,Report Body Char,T1 Char,b Char,b-heading Char,bd Char,block Char,bo Char"/>
    <w:basedOn w:val="DefaultParagraphFont"/>
    <w:link w:val="BodyText"/>
    <w:rPr>
      <w:sz w:val="20"/>
    </w:rPr>
  </w:style>
  <w:style w:type="paragraph" w:customStyle="1" w:styleId="BodyText1">
    <w:name w:val="Body Text 1"/>
    <w:basedOn w:val="BodyText"/>
    <w:link w:val="BodyText1Char"/>
    <w:qFormat/>
    <w:pPr>
      <w:ind w:left="720"/>
    </w:pPr>
  </w:style>
  <w:style w:type="paragraph" w:styleId="BodyText2">
    <w:name w:val="Body Text 2"/>
    <w:aliases w:val="bt2"/>
    <w:basedOn w:val="BodyText"/>
    <w:link w:val="BodyText2Char"/>
    <w:qFormat/>
    <w:pPr>
      <w:ind w:left="1440"/>
    </w:pPr>
  </w:style>
  <w:style w:type="character" w:customStyle="1" w:styleId="BodyText2Char">
    <w:name w:val="Body Text 2 Char"/>
    <w:aliases w:val="bt2 Char"/>
    <w:basedOn w:val="DefaultParagraphFont"/>
    <w:link w:val="BodyText2"/>
    <w:rPr>
      <w:sz w:val="20"/>
    </w:rPr>
  </w:style>
  <w:style w:type="paragraph" w:customStyle="1" w:styleId="CoverDocumentTitle">
    <w:name w:val="Cover Document Title"/>
    <w:basedOn w:val="BodyText"/>
    <w:next w:val="CoverDocumentDescription"/>
    <w:uiPriority w:val="3"/>
    <w:rPr>
      <w:rFonts w:cstheme="minorHAnsi"/>
      <w:sz w:val="32"/>
      <w:szCs w:val="36"/>
    </w:rPr>
  </w:style>
  <w:style w:type="paragraph" w:customStyle="1" w:styleId="CoverDate">
    <w:name w:val="Cover Date"/>
    <w:basedOn w:val="BodyText"/>
    <w:uiPriority w:val="5"/>
    <w:rPr>
      <w:b/>
      <w:bCs/>
      <w:sz w:val="28"/>
      <w:szCs w:val="28"/>
    </w:rPr>
  </w:style>
  <w:style w:type="paragraph" w:customStyle="1" w:styleId="CoverPartyName">
    <w:name w:val="Cover Party Name"/>
    <w:basedOn w:val="Normal"/>
    <w:next w:val="CoverPartyRole"/>
    <w:uiPriority w:val="5"/>
    <w:rPr>
      <w:b/>
      <w:bCs/>
      <w:sz w:val="22"/>
      <w:szCs w:val="24"/>
    </w:rPr>
  </w:style>
  <w:style w:type="paragraph" w:customStyle="1" w:styleId="CoverPartyRole">
    <w:name w:val="Cover Party Role"/>
    <w:basedOn w:val="BodyText"/>
    <w:next w:val="CoverPartyName"/>
    <w:uiPriority w:val="5"/>
    <w:rPr>
      <w:sz w:val="22"/>
      <w:szCs w:val="24"/>
    </w:rPr>
  </w:style>
  <w:style w:type="paragraph" w:customStyle="1" w:styleId="CoverText">
    <w:name w:val="Cover Text"/>
    <w:basedOn w:val="BodyText"/>
    <w:uiPriority w:val="5"/>
  </w:style>
  <w:style w:type="paragraph" w:customStyle="1" w:styleId="CoverDocumentDescription">
    <w:name w:val="Cover Document Description"/>
    <w:basedOn w:val="BodyText"/>
    <w:uiPriority w:val="4"/>
  </w:style>
  <w:style w:type="character" w:customStyle="1" w:styleId="Heading1Char">
    <w:name w:val="Heading 1 Char"/>
    <w:aliases w:val="(Alt+1) Char,1 Char,1st level Char,A MAJOR/BOLD Char,Attribute Heading 1 Char,Ch Char,H1 Char,Heading Char,Heading 1(Report Only) Char,Roman 14 B Heading Char,Roman 14 B Heading1 Char,Roman 14 B Heading11 Char,Roman 14 B Heading2 Char"/>
    <w:basedOn w:val="DefaultParagraphFont"/>
    <w:link w:val="Heading1"/>
    <w:rPr>
      <w:rFonts w:asciiTheme="majorHAnsi" w:eastAsiaTheme="majorEastAsia" w:hAnsiTheme="majorHAnsi" w:cstheme="majorBidi"/>
      <w:b/>
      <w:bCs/>
      <w:color w:val="51216C" w:themeColor="accent1" w:themeShade="BF"/>
      <w:sz w:val="28"/>
      <w:szCs w:val="28"/>
    </w:rPr>
  </w:style>
  <w:style w:type="paragraph" w:customStyle="1" w:styleId="TOCSubHeading">
    <w:name w:val="TOC Sub Heading"/>
    <w:basedOn w:val="BodyText"/>
    <w:uiPriority w:val="39"/>
    <w:pPr>
      <w:keepNext/>
    </w:pPr>
    <w:rPr>
      <w:b/>
      <w:bCs/>
    </w:rPr>
  </w:style>
  <w:style w:type="paragraph" w:customStyle="1" w:styleId="IntroHeading">
    <w:name w:val="Intro Heading"/>
    <w:basedOn w:val="BodyText"/>
    <w:next w:val="BodyText"/>
    <w:uiPriority w:val="9"/>
    <w:pPr>
      <w:keepNext/>
      <w:numPr>
        <w:numId w:val="4"/>
      </w:numPr>
    </w:pPr>
    <w:rPr>
      <w:b/>
      <w:bCs/>
      <w:sz w:val="22"/>
      <w:szCs w:val="24"/>
    </w:rPr>
  </w:style>
  <w:style w:type="paragraph" w:customStyle="1" w:styleId="Parties1">
    <w:name w:val="Parties 1"/>
    <w:basedOn w:val="BodyText"/>
    <w:uiPriority w:val="9"/>
    <w:pPr>
      <w:numPr>
        <w:ilvl w:val="1"/>
        <w:numId w:val="4"/>
      </w:numPr>
    </w:pPr>
  </w:style>
  <w:style w:type="paragraph" w:customStyle="1" w:styleId="Parties2">
    <w:name w:val="Parties 2"/>
    <w:basedOn w:val="BodyText"/>
    <w:uiPriority w:val="9"/>
    <w:pPr>
      <w:numPr>
        <w:ilvl w:val="2"/>
        <w:numId w:val="4"/>
      </w:numPr>
    </w:pPr>
  </w:style>
  <w:style w:type="paragraph" w:customStyle="1" w:styleId="Background1">
    <w:name w:val="Background 1"/>
    <w:basedOn w:val="BodyText"/>
    <w:uiPriority w:val="11"/>
    <w:pPr>
      <w:numPr>
        <w:ilvl w:val="3"/>
        <w:numId w:val="4"/>
      </w:numPr>
    </w:pPr>
  </w:style>
  <w:style w:type="paragraph" w:customStyle="1" w:styleId="Background2">
    <w:name w:val="Background 2"/>
    <w:basedOn w:val="BodyText"/>
    <w:uiPriority w:val="11"/>
    <w:pPr>
      <w:numPr>
        <w:ilvl w:val="4"/>
        <w:numId w:val="4"/>
      </w:numPr>
    </w:pPr>
  </w:style>
  <w:style w:type="paragraph" w:customStyle="1" w:styleId="Level1Heading">
    <w:name w:val="Level 1 Heading"/>
    <w:basedOn w:val="BodyText"/>
    <w:next w:val="BodyText1"/>
    <w:uiPriority w:val="69"/>
    <w:qFormat/>
    <w:pPr>
      <w:keepNext/>
      <w:numPr>
        <w:numId w:val="1"/>
      </w:numPr>
      <w:outlineLvl w:val="0"/>
    </w:pPr>
    <w:rPr>
      <w:b/>
      <w:bCs/>
      <w:sz w:val="22"/>
      <w:szCs w:val="24"/>
    </w:rPr>
  </w:style>
  <w:style w:type="paragraph" w:customStyle="1" w:styleId="Level2Number">
    <w:name w:val="Level 2 Number"/>
    <w:basedOn w:val="BodyText"/>
    <w:uiPriority w:val="69"/>
    <w:qFormat/>
    <w:pPr>
      <w:numPr>
        <w:ilvl w:val="1"/>
        <w:numId w:val="1"/>
      </w:numPr>
    </w:pPr>
  </w:style>
  <w:style w:type="paragraph" w:customStyle="1" w:styleId="Level3Number">
    <w:name w:val="Level 3 Number"/>
    <w:basedOn w:val="BodyText"/>
    <w:uiPriority w:val="69"/>
    <w:qFormat/>
    <w:pPr>
      <w:numPr>
        <w:ilvl w:val="2"/>
        <w:numId w:val="1"/>
      </w:numPr>
    </w:pPr>
  </w:style>
  <w:style w:type="paragraph" w:customStyle="1" w:styleId="Level4Number">
    <w:name w:val="Level 4 Number"/>
    <w:basedOn w:val="BodyText"/>
    <w:uiPriority w:val="69"/>
    <w:qFormat/>
    <w:pPr>
      <w:numPr>
        <w:ilvl w:val="3"/>
        <w:numId w:val="1"/>
      </w:numPr>
    </w:pPr>
  </w:style>
  <w:style w:type="paragraph" w:customStyle="1" w:styleId="Level5Number">
    <w:name w:val="Level 5 Number"/>
    <w:basedOn w:val="BodyText"/>
    <w:uiPriority w:val="69"/>
    <w:qFormat/>
    <w:pPr>
      <w:numPr>
        <w:ilvl w:val="4"/>
        <w:numId w:val="1"/>
      </w:numPr>
    </w:pPr>
  </w:style>
  <w:style w:type="paragraph" w:customStyle="1" w:styleId="Level6Number">
    <w:name w:val="Level 6 Number"/>
    <w:basedOn w:val="BodyText"/>
    <w:uiPriority w:val="69"/>
    <w:qFormat/>
    <w:pPr>
      <w:numPr>
        <w:ilvl w:val="5"/>
        <w:numId w:val="1"/>
      </w:numPr>
    </w:pPr>
  </w:style>
  <w:style w:type="paragraph" w:customStyle="1" w:styleId="Level7Number">
    <w:name w:val="Level 7 Number"/>
    <w:basedOn w:val="BodyText"/>
    <w:uiPriority w:val="69"/>
    <w:qFormat/>
    <w:pPr>
      <w:numPr>
        <w:ilvl w:val="6"/>
        <w:numId w:val="1"/>
      </w:numPr>
    </w:pPr>
  </w:style>
  <w:style w:type="paragraph" w:customStyle="1" w:styleId="Level8Number">
    <w:name w:val="Level 8 Number"/>
    <w:basedOn w:val="BodyText"/>
    <w:uiPriority w:val="69"/>
    <w:qFormat/>
    <w:pPr>
      <w:numPr>
        <w:ilvl w:val="7"/>
        <w:numId w:val="1"/>
      </w:numPr>
    </w:pPr>
  </w:style>
  <w:style w:type="paragraph" w:styleId="BodyText3">
    <w:name w:val="Body Text 3"/>
    <w:basedOn w:val="BodyText"/>
    <w:link w:val="BodyText3Char"/>
    <w:uiPriority w:val="19"/>
    <w:pPr>
      <w:ind w:left="2160"/>
    </w:pPr>
  </w:style>
  <w:style w:type="character" w:customStyle="1" w:styleId="BodyText3Char">
    <w:name w:val="Body Text 3 Char"/>
    <w:basedOn w:val="DefaultParagraphFont"/>
    <w:link w:val="BodyText3"/>
    <w:uiPriority w:val="19"/>
    <w:rPr>
      <w:sz w:val="20"/>
    </w:rPr>
  </w:style>
  <w:style w:type="paragraph" w:customStyle="1" w:styleId="BodyText4">
    <w:name w:val="Body Text 4"/>
    <w:basedOn w:val="BodyText"/>
    <w:uiPriority w:val="19"/>
    <w:pPr>
      <w:ind w:left="2880"/>
    </w:pPr>
  </w:style>
  <w:style w:type="paragraph" w:customStyle="1" w:styleId="BodyText5">
    <w:name w:val="Body Text 5"/>
    <w:basedOn w:val="BodyText"/>
    <w:uiPriority w:val="19"/>
    <w:pPr>
      <w:ind w:left="3600"/>
    </w:pPr>
  </w:style>
  <w:style w:type="paragraph" w:customStyle="1" w:styleId="BodyText6">
    <w:name w:val="Body Text 6"/>
    <w:basedOn w:val="BodyText"/>
    <w:uiPriority w:val="19"/>
    <w:pPr>
      <w:ind w:left="4320"/>
    </w:pPr>
  </w:style>
  <w:style w:type="paragraph" w:customStyle="1" w:styleId="Definition">
    <w:name w:val="Definition"/>
    <w:basedOn w:val="BodyText"/>
    <w:uiPriority w:val="21"/>
    <w:qFormat/>
    <w:pPr>
      <w:numPr>
        <w:numId w:val="3"/>
      </w:numPr>
      <w:outlineLvl w:val="4"/>
    </w:pPr>
  </w:style>
  <w:style w:type="paragraph" w:customStyle="1" w:styleId="Definition1">
    <w:name w:val="Definition 1"/>
    <w:basedOn w:val="BodyText"/>
    <w:uiPriority w:val="21"/>
    <w:pPr>
      <w:numPr>
        <w:ilvl w:val="1"/>
        <w:numId w:val="3"/>
      </w:numPr>
    </w:pPr>
  </w:style>
  <w:style w:type="paragraph" w:customStyle="1" w:styleId="Definition2">
    <w:name w:val="Definition 2"/>
    <w:basedOn w:val="BodyText"/>
    <w:uiPriority w:val="21"/>
    <w:pPr>
      <w:numPr>
        <w:ilvl w:val="2"/>
        <w:numId w:val="3"/>
      </w:numPr>
    </w:pPr>
  </w:style>
  <w:style w:type="paragraph" w:customStyle="1" w:styleId="Definition3">
    <w:name w:val="Definition 3"/>
    <w:basedOn w:val="BodyText"/>
    <w:uiPriority w:val="21"/>
    <w:pPr>
      <w:numPr>
        <w:ilvl w:val="3"/>
        <w:numId w:val="3"/>
      </w:numPr>
    </w:pPr>
  </w:style>
  <w:style w:type="paragraph" w:customStyle="1" w:styleId="Definition4">
    <w:name w:val="Definition 4"/>
    <w:basedOn w:val="BodyText"/>
    <w:uiPriority w:val="21"/>
    <w:pPr>
      <w:numPr>
        <w:ilvl w:val="4"/>
        <w:numId w:val="3"/>
      </w:numPr>
    </w:pPr>
  </w:style>
  <w:style w:type="paragraph" w:customStyle="1" w:styleId="Section">
    <w:name w:val="Section"/>
    <w:basedOn w:val="BodyText"/>
    <w:uiPriority w:val="24"/>
    <w:pPr>
      <w:keepNext/>
      <w:outlineLvl w:val="0"/>
    </w:pPr>
    <w:rPr>
      <w:b/>
      <w:bCs/>
      <w:sz w:val="22"/>
      <w:szCs w:val="24"/>
    </w:rPr>
  </w:style>
  <w:style w:type="paragraph" w:customStyle="1" w:styleId="Note">
    <w:name w:val="Note"/>
    <w:basedOn w:val="BodyText"/>
    <w:link w:val="NoteChar"/>
    <w:uiPriority w:val="19"/>
    <w:pPr>
      <w:shd w:val="clear" w:color="auto" w:fill="C5F0FF" w:themeFill="accent2" w:themeFillTint="33"/>
      <w:ind w:left="720"/>
    </w:pPr>
    <w:rPr>
      <w:rFonts w:cs="Arabic Transparent"/>
      <w:sz w:val="17"/>
      <w:szCs w:val="17"/>
    </w:rPr>
  </w:style>
  <w:style w:type="paragraph" w:customStyle="1" w:styleId="Schedule">
    <w:name w:val="Schedule"/>
    <w:basedOn w:val="BodyText"/>
    <w:next w:val="BodyText"/>
    <w:qFormat/>
    <w:pPr>
      <w:keepNext/>
      <w:numPr>
        <w:numId w:val="2"/>
      </w:numPr>
      <w:outlineLvl w:val="0"/>
    </w:pPr>
    <w:rPr>
      <w:b/>
      <w:bCs/>
      <w:sz w:val="28"/>
      <w:szCs w:val="32"/>
    </w:rPr>
  </w:style>
  <w:style w:type="paragraph" w:customStyle="1" w:styleId="Part">
    <w:name w:val="Part"/>
    <w:basedOn w:val="BodyText"/>
    <w:next w:val="BodyText"/>
    <w:uiPriority w:val="31"/>
    <w:qFormat/>
    <w:pPr>
      <w:keepNext/>
      <w:numPr>
        <w:ilvl w:val="2"/>
        <w:numId w:val="2"/>
      </w:numPr>
      <w:outlineLvl w:val="1"/>
    </w:pPr>
    <w:rPr>
      <w:b/>
      <w:bCs/>
      <w:sz w:val="24"/>
      <w:szCs w:val="28"/>
    </w:rPr>
  </w:style>
  <w:style w:type="paragraph" w:customStyle="1" w:styleId="Sch1Number">
    <w:name w:val="Sch 1 Number"/>
    <w:basedOn w:val="BodyText"/>
    <w:uiPriority w:val="31"/>
    <w:qFormat/>
    <w:pPr>
      <w:numPr>
        <w:ilvl w:val="3"/>
        <w:numId w:val="2"/>
      </w:numPr>
    </w:pPr>
  </w:style>
  <w:style w:type="paragraph" w:customStyle="1" w:styleId="Sch2Number">
    <w:name w:val="Sch 2 Number"/>
    <w:basedOn w:val="BodyText"/>
    <w:uiPriority w:val="31"/>
    <w:qFormat/>
    <w:pPr>
      <w:numPr>
        <w:ilvl w:val="4"/>
        <w:numId w:val="2"/>
      </w:numPr>
    </w:pPr>
  </w:style>
  <w:style w:type="paragraph" w:customStyle="1" w:styleId="Sch3Number">
    <w:name w:val="Sch 3 Number"/>
    <w:basedOn w:val="BodyText"/>
    <w:uiPriority w:val="31"/>
    <w:pPr>
      <w:numPr>
        <w:ilvl w:val="5"/>
        <w:numId w:val="2"/>
      </w:numPr>
    </w:pPr>
  </w:style>
  <w:style w:type="paragraph" w:customStyle="1" w:styleId="Sch4Number">
    <w:name w:val="Sch 4 Number"/>
    <w:basedOn w:val="BodyText"/>
    <w:uiPriority w:val="31"/>
    <w:qFormat/>
    <w:pPr>
      <w:numPr>
        <w:ilvl w:val="6"/>
        <w:numId w:val="2"/>
      </w:numPr>
    </w:pPr>
  </w:style>
  <w:style w:type="paragraph" w:customStyle="1" w:styleId="Sch5Number">
    <w:name w:val="Sch 5 Number"/>
    <w:basedOn w:val="BodyText"/>
    <w:uiPriority w:val="31"/>
    <w:pPr>
      <w:numPr>
        <w:ilvl w:val="7"/>
        <w:numId w:val="2"/>
      </w:numPr>
    </w:pPr>
  </w:style>
  <w:style w:type="paragraph" w:customStyle="1" w:styleId="Sch6Number">
    <w:name w:val="Sch 6 Number"/>
    <w:basedOn w:val="BodyText"/>
    <w:uiPriority w:val="31"/>
    <w:pPr>
      <w:numPr>
        <w:ilvl w:val="8"/>
        <w:numId w:val="2"/>
      </w:numPr>
    </w:pPr>
  </w:style>
  <w:style w:type="paragraph" w:customStyle="1" w:styleId="SubSchedule">
    <w:name w:val="Sub Schedule"/>
    <w:basedOn w:val="BodyText"/>
    <w:next w:val="BodyText"/>
    <w:uiPriority w:val="31"/>
    <w:pPr>
      <w:keepNext/>
      <w:numPr>
        <w:ilvl w:val="1"/>
        <w:numId w:val="2"/>
      </w:numPr>
      <w:outlineLvl w:val="1"/>
    </w:pPr>
    <w:rPr>
      <w:b/>
      <w:bCs/>
      <w:sz w:val="24"/>
      <w:szCs w:val="28"/>
    </w:rPr>
  </w:style>
  <w:style w:type="paragraph" w:customStyle="1" w:styleId="Appendix">
    <w:name w:val="Appendix"/>
    <w:basedOn w:val="BodyText"/>
    <w:next w:val="BodyText"/>
    <w:uiPriority w:val="37"/>
    <w:qFormat/>
    <w:pPr>
      <w:keepNext/>
      <w:numPr>
        <w:numId w:val="7"/>
      </w:numPr>
      <w:outlineLvl w:val="0"/>
    </w:pPr>
    <w:rPr>
      <w:b/>
      <w:bCs/>
      <w:sz w:val="28"/>
      <w:szCs w:val="32"/>
    </w:rPr>
  </w:style>
  <w:style w:type="paragraph" w:customStyle="1" w:styleId="Execution">
    <w:name w:val="Execution"/>
    <w:basedOn w:val="BodyText"/>
    <w:uiPriority w:val="39"/>
  </w:style>
  <w:style w:type="numbering" w:customStyle="1" w:styleId="MainNumbering">
    <w:name w:val="Main Numbering"/>
    <w:uiPriority w:val="99"/>
    <w:pPr>
      <w:numPr>
        <w:numId w:val="9"/>
      </w:numPr>
    </w:pPr>
  </w:style>
  <w:style w:type="numbering" w:customStyle="1" w:styleId="Schedules">
    <w:name w:val="Schedules"/>
    <w:uiPriority w:val="99"/>
    <w:pPr>
      <w:numPr>
        <w:numId w:val="2"/>
      </w:numPr>
    </w:pPr>
  </w:style>
  <w:style w:type="paragraph" w:customStyle="1" w:styleId="BodyTextBold">
    <w:name w:val="Body Text Bold"/>
    <w:basedOn w:val="BodyText"/>
    <w:uiPriority w:val="19"/>
    <w:pPr>
      <w:keepNext/>
    </w:pPr>
    <w:rPr>
      <w:b/>
      <w:bCs/>
    </w:rPr>
  </w:style>
  <w:style w:type="paragraph" w:customStyle="1" w:styleId="BodyText1Bold">
    <w:name w:val="Body Text 1 Bold"/>
    <w:basedOn w:val="BodyText1"/>
    <w:uiPriority w:val="19"/>
    <w:pPr>
      <w:keepNext/>
    </w:pPr>
    <w:rPr>
      <w:b/>
      <w:bCs/>
    </w:rPr>
  </w:style>
  <w:style w:type="numbering" w:customStyle="1" w:styleId="Definitions">
    <w:name w:val="Definitions"/>
    <w:uiPriority w:val="99"/>
    <w:pPr>
      <w:numPr>
        <w:numId w:val="3"/>
      </w:numPr>
    </w:pPr>
  </w:style>
  <w:style w:type="numbering" w:customStyle="1" w:styleId="Parties">
    <w:name w:val="Parties"/>
    <w:uiPriority w:val="99"/>
    <w:pPr>
      <w:numPr>
        <w:numId w:val="4"/>
      </w:numPr>
    </w:pPr>
  </w:style>
  <w:style w:type="paragraph" w:customStyle="1" w:styleId="Level3Heading">
    <w:name w:val="Level 3 Heading"/>
    <w:basedOn w:val="Level3Number"/>
    <w:next w:val="BodyText1"/>
    <w:uiPriority w:val="19"/>
    <w:pPr>
      <w:keepNext/>
      <w:outlineLvl w:val="2"/>
    </w:pPr>
    <w:rPr>
      <w:b/>
      <w:bCs/>
    </w:rPr>
  </w:style>
  <w:style w:type="paragraph" w:customStyle="1" w:styleId="Level2Heading">
    <w:name w:val="Level 2 Heading"/>
    <w:basedOn w:val="Level2Number"/>
    <w:next w:val="BodyText1"/>
    <w:uiPriority w:val="19"/>
    <w:qFormat/>
    <w:pPr>
      <w:keepNext/>
      <w:outlineLvl w:val="1"/>
    </w:pPr>
    <w:rPr>
      <w:b/>
      <w:bCs/>
    </w:rPr>
  </w:style>
  <w:style w:type="paragraph" w:customStyle="1" w:styleId="Level1Number">
    <w:name w:val="Level 1 Number"/>
    <w:basedOn w:val="Level1Heading"/>
    <w:uiPriority w:val="19"/>
    <w:pPr>
      <w:keepNext w:val="0"/>
      <w:outlineLvl w:val="9"/>
    </w:pPr>
    <w:rPr>
      <w:b w:val="0"/>
      <w:bCs w:val="0"/>
      <w:sz w:val="20"/>
      <w:szCs w:val="22"/>
    </w:rPr>
  </w:style>
  <w:style w:type="paragraph" w:customStyle="1" w:styleId="Level4Heading">
    <w:name w:val="Level 4 Heading"/>
    <w:basedOn w:val="Level4Number"/>
    <w:next w:val="BodyText2"/>
    <w:uiPriority w:val="19"/>
    <w:pPr>
      <w:keepNext/>
    </w:pPr>
    <w:rPr>
      <w:b/>
    </w:rPr>
  </w:style>
  <w:style w:type="paragraph" w:customStyle="1" w:styleId="Sch1Heading">
    <w:name w:val="Sch 1 Heading"/>
    <w:basedOn w:val="Sch1Number"/>
    <w:next w:val="BodyText1"/>
    <w:uiPriority w:val="79"/>
    <w:qFormat/>
    <w:pPr>
      <w:keepNext/>
      <w:outlineLvl w:val="2"/>
    </w:pPr>
    <w:rPr>
      <w:b/>
      <w:bCs/>
      <w:sz w:val="22"/>
      <w:szCs w:val="24"/>
    </w:rPr>
  </w:style>
  <w:style w:type="paragraph" w:customStyle="1" w:styleId="Sch2Heading">
    <w:name w:val="Sch 2 Heading"/>
    <w:basedOn w:val="Sch2Number"/>
    <w:next w:val="BodyText1"/>
    <w:uiPriority w:val="31"/>
    <w:pPr>
      <w:keepNext/>
    </w:pPr>
    <w:rPr>
      <w:b/>
      <w:bCs/>
    </w:rPr>
  </w:style>
  <w:style w:type="paragraph" w:customStyle="1" w:styleId="Sch3Heading">
    <w:name w:val="Sch 3 Heading"/>
    <w:basedOn w:val="Sch3Number"/>
    <w:next w:val="BodyText1"/>
    <w:uiPriority w:val="31"/>
    <w:pPr>
      <w:keepNext/>
    </w:pPr>
    <w:rPr>
      <w:b/>
    </w:rPr>
  </w:style>
  <w:style w:type="paragraph" w:customStyle="1" w:styleId="Sch4Heading">
    <w:name w:val="Sch 4 Heading"/>
    <w:basedOn w:val="Sch4Number"/>
    <w:next w:val="BodyText2"/>
    <w:uiPriority w:val="31"/>
    <w:pPr>
      <w:keepNext/>
    </w:pPr>
    <w:rPr>
      <w:b/>
    </w:rPr>
  </w:style>
  <w:style w:type="character" w:customStyle="1" w:styleId="DefinitionTerm">
    <w:name w:val="Definition Term"/>
    <w:basedOn w:val="DefaultParagraphFont"/>
    <w:uiPriority w:val="21"/>
    <w:rPr>
      <w:b/>
      <w:bCs/>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customStyle="1" w:styleId="DocumentName">
    <w:name w:val="Document Name"/>
    <w:basedOn w:val="BodyText"/>
    <w:next w:val="IntroHeading"/>
    <w:uiPriority w:val="9"/>
    <w:pPr>
      <w:outlineLvl w:val="0"/>
    </w:pPr>
    <w:rPr>
      <w:b/>
      <w:bCs/>
      <w:sz w:val="28"/>
      <w:szCs w:val="32"/>
    </w:rPr>
  </w:style>
  <w:style w:type="paragraph" w:customStyle="1" w:styleId="BodyTextSmall">
    <w:name w:val="Body Text Small"/>
    <w:basedOn w:val="BodyText"/>
    <w:uiPriority w:val="19"/>
    <w:rPr>
      <w:sz w:val="18"/>
    </w:rPr>
  </w:style>
  <w:style w:type="paragraph" w:customStyle="1" w:styleId="Bullet">
    <w:name w:val="Bullet"/>
    <w:basedOn w:val="BodyText"/>
    <w:uiPriority w:val="21"/>
    <w:qFormat/>
    <w:pPr>
      <w:numPr>
        <w:numId w:val="5"/>
      </w:numPr>
    </w:pPr>
  </w:style>
  <w:style w:type="paragraph" w:customStyle="1" w:styleId="Bullet1">
    <w:name w:val="Bullet 1"/>
    <w:basedOn w:val="BodyText"/>
    <w:uiPriority w:val="21"/>
    <w:pPr>
      <w:numPr>
        <w:ilvl w:val="1"/>
        <w:numId w:val="5"/>
      </w:numPr>
    </w:pPr>
  </w:style>
  <w:style w:type="paragraph" w:customStyle="1" w:styleId="Bullet2">
    <w:name w:val="Bullet 2"/>
    <w:basedOn w:val="BodyText"/>
    <w:uiPriority w:val="21"/>
    <w:pPr>
      <w:numPr>
        <w:ilvl w:val="2"/>
        <w:numId w:val="5"/>
      </w:numPr>
    </w:pPr>
  </w:style>
  <w:style w:type="paragraph" w:customStyle="1" w:styleId="Bullet3">
    <w:name w:val="Bullet 3"/>
    <w:basedOn w:val="BodyText"/>
    <w:uiPriority w:val="21"/>
    <w:pPr>
      <w:numPr>
        <w:ilvl w:val="3"/>
        <w:numId w:val="5"/>
      </w:numPr>
    </w:pPr>
  </w:style>
  <w:style w:type="paragraph" w:customStyle="1" w:styleId="Bullet4">
    <w:name w:val="Bullet 4"/>
    <w:basedOn w:val="BodyText"/>
    <w:uiPriority w:val="21"/>
    <w:pPr>
      <w:numPr>
        <w:ilvl w:val="4"/>
        <w:numId w:val="5"/>
      </w:numPr>
    </w:pPr>
  </w:style>
  <w:style w:type="numbering" w:customStyle="1" w:styleId="Bullets">
    <w:name w:val="Bullets"/>
    <w:uiPriority w:val="99"/>
    <w:pPr>
      <w:numPr>
        <w:numId w:val="5"/>
      </w:numPr>
    </w:pPr>
  </w:style>
  <w:style w:type="paragraph" w:styleId="TOCHeading">
    <w:name w:val="TOC Heading"/>
    <w:basedOn w:val="BodyText"/>
    <w:next w:val="Normal"/>
    <w:uiPriority w:val="39"/>
    <w:pPr>
      <w:keepNext/>
      <w:pageBreakBefore/>
      <w:outlineLvl w:val="0"/>
    </w:pPr>
    <w:rPr>
      <w:b/>
      <w:bCs/>
      <w:sz w:val="28"/>
      <w:szCs w:val="32"/>
    </w:rPr>
  </w:style>
  <w:style w:type="paragraph" w:customStyle="1" w:styleId="PrecTitle">
    <w:name w:val="PrecTitle"/>
    <w:basedOn w:val="BodyText"/>
    <w:uiPriority w:val="34"/>
    <w:semiHidden/>
    <w:pPr>
      <w:spacing w:before="120" w:after="120"/>
    </w:pPr>
    <w:rPr>
      <w:b/>
      <w:bCs/>
      <w:sz w:val="32"/>
      <w:szCs w:val="34"/>
    </w:rPr>
  </w:style>
  <w:style w:type="paragraph" w:styleId="Footer">
    <w:name w:val="footer"/>
    <w:basedOn w:val="Normal"/>
    <w:link w:val="FooterChar"/>
    <w:pPr>
      <w:tabs>
        <w:tab w:val="center" w:pos="4513"/>
        <w:tab w:val="right" w:pos="9026"/>
      </w:tabs>
    </w:pPr>
    <w:rPr>
      <w:sz w:val="16"/>
      <w:szCs w:val="18"/>
    </w:rPr>
  </w:style>
  <w:style w:type="character" w:customStyle="1" w:styleId="FooterChar">
    <w:name w:val="Footer Char"/>
    <w:basedOn w:val="DefaultParagraphFont"/>
    <w:link w:val="Footer"/>
    <w:rPr>
      <w:sz w:val="16"/>
      <w:szCs w:val="18"/>
    </w:rPr>
  </w:style>
  <w:style w:type="paragraph" w:customStyle="1" w:styleId="Address">
    <w:name w:val="Address"/>
    <w:basedOn w:val="Normal"/>
    <w:uiPriority w:val="39"/>
    <w:rPr>
      <w:rFonts w:cs="Arial"/>
      <w:sz w:val="14"/>
      <w:szCs w:val="16"/>
    </w:rPr>
  </w:style>
  <w:style w:type="paragraph" w:styleId="TOC1">
    <w:name w:val="toc 1"/>
    <w:basedOn w:val="Normal"/>
    <w:next w:val="Normal"/>
    <w:autoRedefine/>
    <w:uiPriority w:val="39"/>
    <w:pPr>
      <w:tabs>
        <w:tab w:val="left" w:pos="720"/>
        <w:tab w:val="right" w:pos="9016"/>
      </w:tabs>
      <w:spacing w:before="160"/>
    </w:pPr>
    <w:rPr>
      <w:b/>
    </w:rPr>
  </w:style>
  <w:style w:type="paragraph" w:styleId="TOC2">
    <w:name w:val="toc 2"/>
    <w:basedOn w:val="Normal"/>
    <w:next w:val="Normal"/>
    <w:autoRedefine/>
    <w:uiPriority w:val="39"/>
    <w:pPr>
      <w:tabs>
        <w:tab w:val="left" w:pos="720"/>
        <w:tab w:val="right" w:pos="9016"/>
      </w:tabs>
      <w:spacing w:after="100"/>
      <w:contextualSpacing/>
    </w:pPr>
  </w:style>
  <w:style w:type="paragraph" w:styleId="TOC3">
    <w:name w:val="toc 3"/>
    <w:basedOn w:val="Normal"/>
    <w:next w:val="Normal"/>
    <w:autoRedefine/>
    <w:uiPriority w:val="39"/>
    <w:unhideWhenUsed/>
    <w:pPr>
      <w:spacing w:after="100"/>
      <w:ind w:left="400"/>
    </w:pPr>
  </w:style>
  <w:style w:type="character" w:styleId="Hyperlink">
    <w:name w:val="Hyperlink"/>
    <w:basedOn w:val="DefaultParagraphFont"/>
    <w:uiPriority w:val="99"/>
    <w:unhideWhenUsed/>
    <w:rPr>
      <w:color w:val="6E2D91" w:themeColor="hyperlink"/>
      <w:u w:val="single"/>
    </w:rPr>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style>
  <w:style w:type="character" w:styleId="PageNumber">
    <w:name w:val="page number"/>
    <w:basedOn w:val="DefaultParagraphFont"/>
    <w:semiHidden/>
  </w:style>
  <w:style w:type="table" w:styleId="TableGrid">
    <w:name w:val="Table Grid"/>
    <w:basedOn w:val="TableNormal"/>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1Char">
    <w:name w:val="Body Text 1 Char"/>
    <w:basedOn w:val="BodyTextChar"/>
    <w:link w:val="BodyText1"/>
    <w:uiPriority w:val="54"/>
    <w:rPr>
      <w:sz w:val="20"/>
    </w:rPr>
  </w:style>
  <w:style w:type="character" w:customStyle="1" w:styleId="NoteChar">
    <w:name w:val="Note Char"/>
    <w:basedOn w:val="BodyTextChar"/>
    <w:link w:val="Note"/>
    <w:uiPriority w:val="19"/>
    <w:rPr>
      <w:rFonts w:ascii="Arial" w:eastAsia="Times New Roman" w:hAnsi="Arial" w:cs="Arabic Transparent"/>
      <w:sz w:val="17"/>
      <w:szCs w:val="17"/>
      <w:shd w:val="clear" w:color="auto" w:fill="C5F0FF" w:themeFill="accent2" w:themeFillTint="33"/>
    </w:rPr>
  </w:style>
  <w:style w:type="table" w:customStyle="1" w:styleId="PrecedentNotes">
    <w:name w:val="Precedent Notes"/>
    <w:basedOn w:val="TableNormal"/>
    <w:uiPriority w:val="99"/>
    <w:pPr>
      <w:spacing w:before="40" w:after="40" w:line="240" w:lineRule="auto"/>
    </w:pPr>
    <w:rPr>
      <w:sz w:val="18"/>
    </w:rPr>
    <w:tblPr>
      <w:tblBorders>
        <w:top w:val="single" w:sz="4" w:space="0" w:color="CECFCB" w:themeColor="background2"/>
        <w:left w:val="single" w:sz="4" w:space="0" w:color="CECFCB" w:themeColor="background2"/>
        <w:bottom w:val="single" w:sz="4" w:space="0" w:color="CECFCB" w:themeColor="background2"/>
        <w:right w:val="single" w:sz="4" w:space="0" w:color="CECFCB" w:themeColor="background2"/>
        <w:insideH w:val="single" w:sz="4" w:space="0" w:color="CECFCB" w:themeColor="background2"/>
        <w:insideV w:val="single" w:sz="4" w:space="0" w:color="CECFCB" w:themeColor="background2"/>
      </w:tblBorders>
    </w:tblPr>
    <w:tblStylePr w:type="firstRow">
      <w:rPr>
        <w:b/>
      </w:rPr>
    </w:tblStylePr>
    <w:tblStylePr w:type="firstCol">
      <w:rPr>
        <w:b/>
      </w:rPr>
    </w:tblStylePr>
  </w:style>
  <w:style w:type="paragraph" w:customStyle="1" w:styleId="Prec1Heading">
    <w:name w:val="Prec 1 Heading"/>
    <w:basedOn w:val="BodyText"/>
    <w:next w:val="BodyText1"/>
    <w:uiPriority w:val="39"/>
    <w:semiHidden/>
    <w:pPr>
      <w:keepNext/>
      <w:numPr>
        <w:numId w:val="6"/>
      </w:numPr>
    </w:pPr>
    <w:rPr>
      <w:b/>
      <w:bCs/>
      <w:sz w:val="22"/>
      <w:szCs w:val="24"/>
    </w:rPr>
  </w:style>
  <w:style w:type="paragraph" w:customStyle="1" w:styleId="Prec2Number">
    <w:name w:val="Prec 2 Number"/>
    <w:basedOn w:val="BodyText"/>
    <w:uiPriority w:val="39"/>
    <w:semiHidden/>
    <w:pPr>
      <w:numPr>
        <w:ilvl w:val="1"/>
        <w:numId w:val="6"/>
      </w:numPr>
    </w:pPr>
  </w:style>
  <w:style w:type="paragraph" w:customStyle="1" w:styleId="Prec3Number">
    <w:name w:val="Prec 3 Number"/>
    <w:basedOn w:val="Prec2Number"/>
    <w:uiPriority w:val="39"/>
    <w:semiHidden/>
    <w:pPr>
      <w:numPr>
        <w:ilvl w:val="2"/>
      </w:numPr>
    </w:pPr>
  </w:style>
  <w:style w:type="numbering" w:customStyle="1" w:styleId="PrecNotes">
    <w:name w:val="Prec Notes"/>
    <w:uiPriority w:val="99"/>
    <w:pPr>
      <w:numPr>
        <w:numId w:val="6"/>
      </w:numPr>
    </w:pPr>
  </w:style>
  <w:style w:type="paragraph" w:customStyle="1" w:styleId="Prec4Number">
    <w:name w:val="Prec 4 Number"/>
    <w:basedOn w:val="BodyText"/>
    <w:uiPriority w:val="39"/>
    <w:semiHidden/>
    <w:pPr>
      <w:numPr>
        <w:ilvl w:val="3"/>
        <w:numId w:val="6"/>
      </w:numPr>
    </w:pPr>
  </w:style>
  <w:style w:type="paragraph" w:customStyle="1" w:styleId="Prec1Number">
    <w:name w:val="Prec 1 Number"/>
    <w:basedOn w:val="Prec1Heading"/>
    <w:uiPriority w:val="39"/>
    <w:semiHidden/>
    <w:pPr>
      <w:keepNext w:val="0"/>
    </w:pPr>
    <w:rPr>
      <w:b w:val="0"/>
      <w:sz w:val="20"/>
    </w:rPr>
  </w:style>
  <w:style w:type="paragraph" w:customStyle="1" w:styleId="Prec2Heading">
    <w:name w:val="Prec 2 Heading"/>
    <w:basedOn w:val="Prec2Number"/>
    <w:next w:val="BodyText1"/>
    <w:uiPriority w:val="39"/>
    <w:semiHidden/>
    <w:pPr>
      <w:keepNext/>
    </w:pPr>
    <w:rPr>
      <w:b/>
      <w:bCs/>
    </w:rPr>
  </w:style>
  <w:style w:type="paragraph" w:customStyle="1" w:styleId="Prec5Number">
    <w:name w:val="Prec 5 Number"/>
    <w:basedOn w:val="BodyText"/>
    <w:uiPriority w:val="39"/>
    <w:semiHidden/>
    <w:pPr>
      <w:numPr>
        <w:ilvl w:val="4"/>
        <w:numId w:val="6"/>
      </w:numPr>
    </w:pPr>
  </w:style>
  <w:style w:type="paragraph" w:customStyle="1" w:styleId="AppPart">
    <w:name w:val="App Part"/>
    <w:basedOn w:val="BodyText"/>
    <w:next w:val="BodyText"/>
    <w:uiPriority w:val="38"/>
    <w:pPr>
      <w:numPr>
        <w:ilvl w:val="1"/>
        <w:numId w:val="7"/>
      </w:numPr>
      <w:outlineLvl w:val="1"/>
    </w:pPr>
    <w:rPr>
      <w:b/>
      <w:sz w:val="22"/>
    </w:rPr>
  </w:style>
  <w:style w:type="paragraph" w:customStyle="1" w:styleId="App1Number">
    <w:name w:val="App 1 Number"/>
    <w:basedOn w:val="BodyText"/>
    <w:uiPriority w:val="39"/>
    <w:pPr>
      <w:numPr>
        <w:ilvl w:val="2"/>
        <w:numId w:val="7"/>
      </w:numPr>
    </w:pPr>
  </w:style>
  <w:style w:type="paragraph" w:customStyle="1" w:styleId="App2Number">
    <w:name w:val="App 2 Number"/>
    <w:basedOn w:val="BodyText"/>
    <w:uiPriority w:val="39"/>
    <w:pPr>
      <w:numPr>
        <w:ilvl w:val="3"/>
        <w:numId w:val="7"/>
      </w:numPr>
    </w:pPr>
  </w:style>
  <w:style w:type="paragraph" w:customStyle="1" w:styleId="App3Number">
    <w:name w:val="App 3 Number"/>
    <w:basedOn w:val="BodyText"/>
    <w:uiPriority w:val="39"/>
    <w:pPr>
      <w:numPr>
        <w:ilvl w:val="4"/>
        <w:numId w:val="7"/>
      </w:numPr>
    </w:pPr>
  </w:style>
  <w:style w:type="paragraph" w:customStyle="1" w:styleId="App4Number">
    <w:name w:val="App 4 Number"/>
    <w:basedOn w:val="BodyText"/>
    <w:uiPriority w:val="39"/>
    <w:pPr>
      <w:numPr>
        <w:ilvl w:val="5"/>
        <w:numId w:val="7"/>
      </w:numPr>
    </w:pPr>
  </w:style>
  <w:style w:type="paragraph" w:customStyle="1" w:styleId="App5Number">
    <w:name w:val="App 5 Number"/>
    <w:basedOn w:val="BodyText"/>
    <w:uiPriority w:val="39"/>
    <w:pPr>
      <w:numPr>
        <w:ilvl w:val="6"/>
        <w:numId w:val="7"/>
      </w:numPr>
    </w:pPr>
  </w:style>
  <w:style w:type="paragraph" w:customStyle="1" w:styleId="App6Number">
    <w:name w:val="App 6 Number"/>
    <w:basedOn w:val="BodyText"/>
    <w:uiPriority w:val="39"/>
    <w:pPr>
      <w:numPr>
        <w:ilvl w:val="7"/>
        <w:numId w:val="7"/>
      </w:numPr>
    </w:pPr>
  </w:style>
  <w:style w:type="paragraph" w:customStyle="1" w:styleId="App1Heading">
    <w:name w:val="App 1 Heading"/>
    <w:basedOn w:val="App1Number"/>
    <w:next w:val="BodyText1"/>
    <w:uiPriority w:val="39"/>
    <w:pPr>
      <w:keepNext/>
    </w:pPr>
    <w:rPr>
      <w:b/>
      <w:bCs/>
    </w:rPr>
  </w:style>
  <w:style w:type="paragraph" w:customStyle="1" w:styleId="App2Heading">
    <w:name w:val="App 2 Heading"/>
    <w:basedOn w:val="App2Number"/>
    <w:next w:val="BodyText1"/>
    <w:uiPriority w:val="39"/>
    <w:pPr>
      <w:keepNext/>
    </w:pPr>
    <w:rPr>
      <w:b/>
      <w:bCs/>
    </w:rPr>
  </w:style>
  <w:style w:type="paragraph" w:customStyle="1" w:styleId="App3Heading">
    <w:name w:val="App 3 Heading"/>
    <w:basedOn w:val="App3Number"/>
    <w:next w:val="BodyText1"/>
    <w:uiPriority w:val="39"/>
    <w:pPr>
      <w:keepNext/>
    </w:pPr>
    <w:rPr>
      <w:b/>
      <w:bCs/>
    </w:rPr>
  </w:style>
  <w:style w:type="numbering" w:customStyle="1" w:styleId="Appendices">
    <w:name w:val="Appendices"/>
    <w:uiPriority w:val="99"/>
    <w:pPr>
      <w:numPr>
        <w:numId w:val="7"/>
      </w:numPr>
    </w:pPr>
  </w:style>
  <w:style w:type="paragraph" w:styleId="TOC9">
    <w:name w:val="toc 9"/>
    <w:basedOn w:val="Normal"/>
    <w:next w:val="Normal"/>
    <w:autoRedefine/>
    <w:uiPriority w:val="39"/>
    <w:semiHidden/>
    <w:pPr>
      <w:spacing w:after="100"/>
      <w:ind w:left="1600"/>
    </w:pPr>
  </w:style>
  <w:style w:type="character" w:styleId="PlaceholderText">
    <w:name w:val="Placeholder Text"/>
    <w:basedOn w:val="DefaultParagraphFont"/>
    <w:uiPriority w:val="99"/>
    <w:semiHidden/>
    <w:rsid w:val="00E54A03"/>
    <w:rPr>
      <w:color w:val="808080"/>
    </w:rPr>
  </w:style>
  <w:style w:type="character" w:customStyle="1" w:styleId="Heading2Char">
    <w:name w:val="Heading 2 Char"/>
    <w:aliases w:val="(1.1 Char,1.2 Char,1.3 etc) Char,2 Char,21 Char,22 Char,23 Char,24 Char,25 Char,2m Char,B Char,B Sub/Bold Char,B Sub/Bold1 Char,Body Text (Reset numbering) Char,H2 Char,L2 Char,Reset numbering Char,Subhead A Char,TF-Overskrit 2 Char"/>
    <w:basedOn w:val="DefaultParagraphFont"/>
    <w:link w:val="Heading2"/>
    <w:rsid w:val="00D128EE"/>
    <w:rPr>
      <w:rFonts w:ascii="Arial" w:eastAsia="Times New Roman" w:hAnsi="Arial" w:cs="Times New Roman"/>
      <w:b/>
    </w:rPr>
  </w:style>
  <w:style w:type="character" w:customStyle="1" w:styleId="Heading3Char">
    <w:name w:val="Heading 3 Char"/>
    <w:aliases w:val="(Alt+3) Char,3 Char,3m Char,3rd Level Char,C Char,C Sub-Sub/Italic Char,C Sub-Sub/Italic1 Char,GPH Heading 3 Char,H3 Char,H31 Char,Head 31 Char,Head 32 Char,HeadC Char,L3 Char,Level 1 - 1 Char,Level 1 - 2 Char,Minor Char,Minor1 Char"/>
    <w:basedOn w:val="DefaultParagraphFont"/>
    <w:link w:val="Heading3"/>
    <w:rsid w:val="00D128EE"/>
    <w:rPr>
      <w:rFonts w:ascii="Arial" w:eastAsia="Times New Roman" w:hAnsi="Arial" w:cs="Times New Roman"/>
    </w:rPr>
  </w:style>
  <w:style w:type="character" w:customStyle="1" w:styleId="Heading4Char">
    <w:name w:val="Heading 4 Char"/>
    <w:aliases w:val="14 Char,141 Char,1411 Char,142 Char,1421 Char,143 Char,4 Char,41 Char,411 Char,42 Char,43 Char,D Sub-Sub/Plain Char,GPH Heading 4 Char,H4 Char,Level 2 - (a) Char,Level 2 - a Char,Map Title Char,Second Level Heading HM Char,Subhead C Char"/>
    <w:basedOn w:val="DefaultParagraphFont"/>
    <w:link w:val="Heading4"/>
    <w:rsid w:val="00D128EE"/>
    <w:rPr>
      <w:rFonts w:ascii="Arial" w:eastAsia="Times New Roman" w:hAnsi="Arial" w:cs="Times New Roman"/>
    </w:rPr>
  </w:style>
  <w:style w:type="character" w:customStyle="1" w:styleId="Heading5Char">
    <w:name w:val="Heading 5 Char"/>
    <w:aliases w:val="(A) Char,Appendix A to X Char,FMH1 Char,H5 Char,Heading 5(unused) Char,Heading 5* Char,Lev 5 Char,Level 3 - (i) Char,Level 3 - i Char,Response Type Char,Response Type1 Char,Response Type2 Char,Response Type3 Char,Response Type4 Char"/>
    <w:basedOn w:val="DefaultParagraphFont"/>
    <w:link w:val="Heading5"/>
    <w:rsid w:val="00D128EE"/>
    <w:rPr>
      <w:rFonts w:ascii="Arial" w:eastAsia="Times New Roman" w:hAnsi="Arial" w:cs="Times New Roman"/>
    </w:rPr>
  </w:style>
  <w:style w:type="character" w:customStyle="1" w:styleId="Heading6Char">
    <w:name w:val="Heading 6 Char"/>
    <w:aliases w:val="(I) Char,5 Char,Blank 2 Char,H6 Char,H6 DO NOT USE Char,H61 Char,H610 Char,H611 Char,H612 Char,H613 Char,H614 Char,H615 Char,H62 Char,H63 Char,H64 Char,H65 Char,H66 Char,H67 Char,H68 Char,H69 Char,Heading 6  Appendix Y &amp; Z Char,Lev 6 Char"/>
    <w:basedOn w:val="DefaultParagraphFont"/>
    <w:link w:val="Heading6"/>
    <w:rsid w:val="00D128EE"/>
    <w:rPr>
      <w:rFonts w:ascii="Arial" w:eastAsia="Times New Roman" w:hAnsi="Arial" w:cs="Times New Roman"/>
    </w:rPr>
  </w:style>
  <w:style w:type="character" w:styleId="FootnoteReference">
    <w:name w:val="footnote reference"/>
    <w:semiHidden/>
    <w:rsid w:val="00D128EE"/>
    <w:rPr>
      <w:vertAlign w:val="superscript"/>
    </w:rPr>
  </w:style>
  <w:style w:type="paragraph" w:styleId="FootnoteText">
    <w:name w:val="footnote text"/>
    <w:aliases w:val="Car"/>
    <w:basedOn w:val="Normal"/>
    <w:link w:val="FootnoteTextChar"/>
    <w:semiHidden/>
    <w:rsid w:val="00D128EE"/>
    <w:rPr>
      <w:sz w:val="18"/>
    </w:rPr>
  </w:style>
  <w:style w:type="character" w:customStyle="1" w:styleId="FootnoteTextChar">
    <w:name w:val="Footnote Text Char"/>
    <w:aliases w:val="Car Char"/>
    <w:basedOn w:val="DefaultParagraphFont"/>
    <w:link w:val="FootnoteText"/>
    <w:semiHidden/>
    <w:rsid w:val="00D128EE"/>
    <w:rPr>
      <w:rFonts w:ascii="Arial" w:eastAsia="Times New Roman" w:hAnsi="Arial" w:cs="Times New Roman"/>
      <w:sz w:val="18"/>
    </w:rPr>
  </w:style>
  <w:style w:type="paragraph" w:customStyle="1" w:styleId="Level1">
    <w:name w:val="Level 1"/>
    <w:basedOn w:val="Normal"/>
    <w:next w:val="Normal"/>
    <w:rsid w:val="00D128EE"/>
    <w:pPr>
      <w:numPr>
        <w:numId w:val="8"/>
      </w:numPr>
      <w:spacing w:after="220"/>
      <w:outlineLvl w:val="0"/>
    </w:pPr>
    <w:rPr>
      <w:b/>
    </w:rPr>
  </w:style>
  <w:style w:type="paragraph" w:customStyle="1" w:styleId="Level2">
    <w:name w:val="Level 2"/>
    <w:aliases w:val="l2"/>
    <w:basedOn w:val="Normal"/>
    <w:qFormat/>
    <w:rsid w:val="00D128EE"/>
    <w:pPr>
      <w:numPr>
        <w:ilvl w:val="1"/>
        <w:numId w:val="8"/>
      </w:numPr>
      <w:tabs>
        <w:tab w:val="left" w:pos="1440"/>
      </w:tabs>
      <w:spacing w:after="220"/>
      <w:outlineLvl w:val="1"/>
    </w:pPr>
  </w:style>
  <w:style w:type="paragraph" w:customStyle="1" w:styleId="Level3">
    <w:name w:val="Level 3"/>
    <w:basedOn w:val="Normal"/>
    <w:qFormat/>
    <w:rsid w:val="00D128EE"/>
    <w:pPr>
      <w:numPr>
        <w:ilvl w:val="2"/>
        <w:numId w:val="8"/>
      </w:numPr>
      <w:spacing w:after="220"/>
      <w:outlineLvl w:val="2"/>
    </w:pPr>
  </w:style>
  <w:style w:type="paragraph" w:customStyle="1" w:styleId="Level4">
    <w:name w:val="Level 4"/>
    <w:basedOn w:val="Normal"/>
    <w:rsid w:val="00D128EE"/>
    <w:pPr>
      <w:numPr>
        <w:ilvl w:val="3"/>
        <w:numId w:val="8"/>
      </w:numPr>
      <w:spacing w:after="220"/>
      <w:outlineLvl w:val="3"/>
    </w:pPr>
  </w:style>
  <w:style w:type="paragraph" w:customStyle="1" w:styleId="annex">
    <w:name w:val="annex"/>
    <w:basedOn w:val="BodyText2"/>
    <w:rsid w:val="00D128EE"/>
    <w:pPr>
      <w:spacing w:after="230"/>
      <w:ind w:left="709"/>
      <w:jc w:val="center"/>
    </w:pPr>
    <w:rPr>
      <w:b/>
      <w:bCs/>
      <w:sz w:val="24"/>
    </w:rPr>
  </w:style>
  <w:style w:type="paragraph" w:customStyle="1" w:styleId="DocID">
    <w:name w:val="DocID"/>
    <w:basedOn w:val="Normal"/>
    <w:next w:val="Normal"/>
    <w:link w:val="DocIDChar"/>
    <w:rsid w:val="00D128EE"/>
    <w:pPr>
      <w:keepNext/>
    </w:pPr>
    <w:rPr>
      <w:rFonts w:cs="Arial"/>
      <w:color w:val="000000"/>
      <w:sz w:val="15"/>
    </w:rPr>
  </w:style>
  <w:style w:type="character" w:customStyle="1" w:styleId="DocIDChar">
    <w:name w:val="DocID Char"/>
    <w:link w:val="DocID"/>
    <w:rsid w:val="00D128EE"/>
    <w:rPr>
      <w:rFonts w:ascii="Arial" w:eastAsia="Times New Roman" w:hAnsi="Arial" w:cs="Arial"/>
      <w:color w:val="000000"/>
      <w:sz w:val="15"/>
    </w:rPr>
  </w:style>
  <w:style w:type="paragraph" w:customStyle="1" w:styleId="MacPacTrailer">
    <w:name w:val="MacPac Trailer"/>
    <w:rsid w:val="00D128EE"/>
    <w:pPr>
      <w:widowControl w:val="0"/>
      <w:spacing w:after="0" w:line="200" w:lineRule="exact"/>
    </w:pPr>
    <w:rPr>
      <w:rFonts w:ascii="Arial" w:eastAsia="Times New Roman" w:hAnsi="Arial" w:cs="Arial"/>
      <w:sz w:val="16"/>
      <w:szCs w:val="22"/>
    </w:rPr>
  </w:style>
  <w:style w:type="character" w:styleId="CommentReference">
    <w:name w:val="annotation reference"/>
    <w:uiPriority w:val="99"/>
    <w:rsid w:val="00E10BB5"/>
    <w:rPr>
      <w:sz w:val="16"/>
      <w:szCs w:val="16"/>
    </w:rPr>
  </w:style>
  <w:style w:type="paragraph" w:styleId="ListParagraph">
    <w:name w:val="List Paragraph"/>
    <w:aliases w:val="Page title"/>
    <w:basedOn w:val="Normal"/>
    <w:link w:val="ListParagraphChar"/>
    <w:uiPriority w:val="34"/>
    <w:qFormat/>
    <w:rsid w:val="00E10BB5"/>
    <w:pPr>
      <w:suppressAutoHyphens/>
      <w:contextualSpacing/>
    </w:pPr>
    <w:rPr>
      <w:rFonts w:ascii="VAG Rounded LT Pro Light" w:hAnsi="VAG Rounded LT Pro Light"/>
      <w:sz w:val="48"/>
      <w:lang w:eastAsia="ja-JP"/>
    </w:rPr>
  </w:style>
  <w:style w:type="paragraph" w:customStyle="1" w:styleId="Sched3L1">
    <w:name w:val="Sched3L1"/>
    <w:basedOn w:val="Heading1"/>
    <w:rsid w:val="00E10BB5"/>
    <w:pPr>
      <w:keepLines w:val="0"/>
      <w:tabs>
        <w:tab w:val="left" w:pos="851"/>
        <w:tab w:val="num" w:pos="1440"/>
      </w:tabs>
      <w:spacing w:before="240"/>
      <w:ind w:left="1440" w:hanging="1080"/>
    </w:pPr>
    <w:rPr>
      <w:rFonts w:ascii="SimSun" w:eastAsia="SimSun" w:hAnsi="SimSun" w:cs="SimSun"/>
      <w:caps/>
      <w:color w:val="auto"/>
      <w:sz w:val="24"/>
      <w:szCs w:val="20"/>
    </w:rPr>
  </w:style>
  <w:style w:type="character" w:styleId="Strong">
    <w:name w:val="Strong"/>
    <w:basedOn w:val="DefaultParagraphFont"/>
    <w:uiPriority w:val="99"/>
    <w:qFormat/>
    <w:rsid w:val="00E10BB5"/>
    <w:rPr>
      <w:b/>
      <w:bCs/>
    </w:rPr>
  </w:style>
  <w:style w:type="character" w:customStyle="1" w:styleId="Bodytext0">
    <w:name w:val="Body text_"/>
    <w:basedOn w:val="DefaultParagraphFont"/>
    <w:link w:val="BodyText30"/>
    <w:rsid w:val="00933EED"/>
    <w:rPr>
      <w:sz w:val="16"/>
      <w:szCs w:val="16"/>
      <w:shd w:val="clear" w:color="auto" w:fill="FFFFFF"/>
    </w:rPr>
  </w:style>
  <w:style w:type="paragraph" w:customStyle="1" w:styleId="BodyText30">
    <w:name w:val="Body Text3"/>
    <w:basedOn w:val="Normal"/>
    <w:link w:val="Bodytext0"/>
    <w:rsid w:val="00933EED"/>
    <w:pPr>
      <w:widowControl w:val="0"/>
      <w:shd w:val="clear" w:color="auto" w:fill="FFFFFF"/>
      <w:spacing w:line="235" w:lineRule="exact"/>
      <w:ind w:hanging="420"/>
      <w:jc w:val="both"/>
    </w:pPr>
    <w:rPr>
      <w:rFonts w:asciiTheme="minorHAnsi" w:eastAsiaTheme="minorHAnsi" w:hAnsiTheme="minorHAnsi" w:cstheme="minorBidi"/>
      <w:sz w:val="16"/>
      <w:szCs w:val="16"/>
    </w:rPr>
  </w:style>
  <w:style w:type="character" w:customStyle="1" w:styleId="wacimagecontainer">
    <w:name w:val="wacimagecontainer"/>
    <w:basedOn w:val="DefaultParagraphFont"/>
    <w:rsid w:val="000568E9"/>
  </w:style>
  <w:style w:type="character" w:customStyle="1" w:styleId="ListParagraphChar">
    <w:name w:val="List Paragraph Char"/>
    <w:aliases w:val="Page title Char"/>
    <w:basedOn w:val="DefaultParagraphFont"/>
    <w:link w:val="ListParagraph"/>
    <w:uiPriority w:val="34"/>
    <w:locked/>
    <w:rsid w:val="00E0177B"/>
    <w:rPr>
      <w:rFonts w:ascii="VAG Rounded LT Pro Light" w:eastAsia="Times New Roman" w:hAnsi="VAG Rounded LT Pro Light" w:cs="Times New Roman"/>
      <w:sz w:val="48"/>
      <w:lang w:eastAsia="ja-JP"/>
    </w:rPr>
  </w:style>
  <w:style w:type="character" w:styleId="UnresolvedMention">
    <w:name w:val="Unresolved Mention"/>
    <w:basedOn w:val="DefaultParagraphFont"/>
    <w:uiPriority w:val="99"/>
    <w:semiHidden/>
    <w:unhideWhenUsed/>
    <w:rsid w:val="00CC3A5C"/>
    <w:rPr>
      <w:color w:val="605E5C"/>
      <w:shd w:val="clear" w:color="auto" w:fill="E1DFDD"/>
    </w:rPr>
  </w:style>
  <w:style w:type="character" w:styleId="FollowedHyperlink">
    <w:name w:val="FollowedHyperlink"/>
    <w:basedOn w:val="DefaultParagraphFont"/>
    <w:uiPriority w:val="99"/>
    <w:semiHidden/>
    <w:unhideWhenUsed/>
    <w:rsid w:val="00220F18"/>
    <w:rPr>
      <w:color w:val="52216C" w:themeColor="followedHyperlink"/>
      <w:u w:val="single"/>
    </w:rPr>
  </w:style>
  <w:style w:type="paragraph" w:styleId="CommentText">
    <w:name w:val="annotation text"/>
    <w:basedOn w:val="Normal"/>
    <w:link w:val="CommentTextChar"/>
    <w:uiPriority w:val="99"/>
    <w:unhideWhenUsed/>
    <w:rsid w:val="00211A72"/>
  </w:style>
  <w:style w:type="character" w:customStyle="1" w:styleId="CommentTextChar">
    <w:name w:val="Comment Text Char"/>
    <w:basedOn w:val="DefaultParagraphFont"/>
    <w:link w:val="CommentText"/>
    <w:uiPriority w:val="99"/>
    <w:rsid w:val="00211A72"/>
    <w:rPr>
      <w:rFonts w:ascii="Arial" w:eastAsia="Times New Roman" w:hAnsi="Arial" w:cs="Times New Roman"/>
    </w:rPr>
  </w:style>
  <w:style w:type="paragraph" w:styleId="CommentSubject">
    <w:name w:val="annotation subject"/>
    <w:basedOn w:val="CommentText"/>
    <w:next w:val="CommentText"/>
    <w:link w:val="CommentSubjectChar"/>
    <w:uiPriority w:val="99"/>
    <w:semiHidden/>
    <w:unhideWhenUsed/>
    <w:rsid w:val="00211A72"/>
    <w:rPr>
      <w:b/>
      <w:bCs/>
    </w:rPr>
  </w:style>
  <w:style w:type="character" w:customStyle="1" w:styleId="CommentSubjectChar">
    <w:name w:val="Comment Subject Char"/>
    <w:basedOn w:val="CommentTextChar"/>
    <w:link w:val="CommentSubject"/>
    <w:uiPriority w:val="99"/>
    <w:semiHidden/>
    <w:rsid w:val="00211A72"/>
    <w:rPr>
      <w:rFonts w:ascii="Arial" w:eastAsia="Times New Roman" w:hAnsi="Arial" w:cs="Times New Roman"/>
      <w:b/>
      <w:bCs/>
    </w:rPr>
  </w:style>
  <w:style w:type="paragraph" w:styleId="Revision">
    <w:name w:val="Revision"/>
    <w:hidden/>
    <w:uiPriority w:val="99"/>
    <w:semiHidden/>
    <w:rsid w:val="008D3C13"/>
    <w:pPr>
      <w:spacing w:after="0" w:line="240" w:lineRule="auto"/>
    </w:pPr>
    <w:rPr>
      <w:rFonts w:ascii="Arial" w:eastAsia="Times New Roman"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05098">
      <w:bodyDiv w:val="1"/>
      <w:marLeft w:val="0"/>
      <w:marRight w:val="0"/>
      <w:marTop w:val="0"/>
      <w:marBottom w:val="0"/>
      <w:divBdr>
        <w:top w:val="none" w:sz="0" w:space="0" w:color="auto"/>
        <w:left w:val="none" w:sz="0" w:space="0" w:color="auto"/>
        <w:bottom w:val="none" w:sz="0" w:space="0" w:color="auto"/>
        <w:right w:val="none" w:sz="0" w:space="0" w:color="auto"/>
      </w:divBdr>
    </w:div>
    <w:div w:id="1036924700">
      <w:bodyDiv w:val="1"/>
      <w:marLeft w:val="0"/>
      <w:marRight w:val="0"/>
      <w:marTop w:val="0"/>
      <w:marBottom w:val="0"/>
      <w:divBdr>
        <w:top w:val="none" w:sz="0" w:space="0" w:color="auto"/>
        <w:left w:val="none" w:sz="0" w:space="0" w:color="auto"/>
        <w:bottom w:val="none" w:sz="0" w:space="0" w:color="auto"/>
        <w:right w:val="none" w:sz="0" w:space="0" w:color="auto"/>
      </w:divBdr>
    </w:div>
    <w:div w:id="1279801684">
      <w:bodyDiv w:val="1"/>
      <w:marLeft w:val="0"/>
      <w:marRight w:val="0"/>
      <w:marTop w:val="0"/>
      <w:marBottom w:val="0"/>
      <w:divBdr>
        <w:top w:val="none" w:sz="0" w:space="0" w:color="auto"/>
        <w:left w:val="none" w:sz="0" w:space="0" w:color="auto"/>
        <w:bottom w:val="none" w:sz="0" w:space="0" w:color="auto"/>
        <w:right w:val="none" w:sz="0" w:space="0" w:color="auto"/>
      </w:divBdr>
    </w:div>
    <w:div w:id="1407335657">
      <w:bodyDiv w:val="1"/>
      <w:marLeft w:val="0"/>
      <w:marRight w:val="0"/>
      <w:marTop w:val="0"/>
      <w:marBottom w:val="0"/>
      <w:divBdr>
        <w:top w:val="none" w:sz="0" w:space="0" w:color="auto"/>
        <w:left w:val="none" w:sz="0" w:space="0" w:color="auto"/>
        <w:bottom w:val="none" w:sz="0" w:space="0" w:color="auto"/>
        <w:right w:val="none" w:sz="0" w:space="0" w:color="auto"/>
      </w:divBdr>
    </w:div>
    <w:div w:id="1580098805">
      <w:bodyDiv w:val="1"/>
      <w:marLeft w:val="0"/>
      <w:marRight w:val="0"/>
      <w:marTop w:val="0"/>
      <w:marBottom w:val="0"/>
      <w:divBdr>
        <w:top w:val="none" w:sz="0" w:space="0" w:color="auto"/>
        <w:left w:val="none" w:sz="0" w:space="0" w:color="auto"/>
        <w:bottom w:val="none" w:sz="0" w:space="0" w:color="auto"/>
        <w:right w:val="none" w:sz="0" w:space="0" w:color="auto"/>
      </w:divBdr>
    </w:div>
    <w:div w:id="1731227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mas.gov.sg/regulation/guidelines/guidelines-on-outsourcing-bank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2DEBFA2C9E431A8CA8D437203CC909"/>
        <w:category>
          <w:name w:val="General"/>
          <w:gallery w:val="placeholder"/>
        </w:category>
        <w:types>
          <w:type w:val="bbPlcHdr"/>
        </w:types>
        <w:behaviors>
          <w:behavior w:val="content"/>
        </w:behaviors>
        <w:guid w:val="{D9597BEC-BF48-4C3A-9AD8-B475B464977C}"/>
      </w:docPartPr>
      <w:docPartBody>
        <w:p w:rsidR="00B46C0F" w:rsidRDefault="00B46C0F"/>
      </w:docPartBody>
    </w:docPart>
    <w:docPart>
      <w:docPartPr>
        <w:name w:val="8D5562405C4047B68A57B81B283E3E5D"/>
        <w:category>
          <w:name w:val="General"/>
          <w:gallery w:val="placeholder"/>
        </w:category>
        <w:types>
          <w:type w:val="bbPlcHdr"/>
        </w:types>
        <w:behaviors>
          <w:behavior w:val="content"/>
        </w:behaviors>
        <w:guid w:val="{C4E1D415-A245-4898-9959-5A9BBFA88C33}"/>
      </w:docPartPr>
      <w:docPartBody>
        <w:p w:rsidR="00EC443F" w:rsidRDefault="00EC443F"/>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C0F"/>
    <w:rsid w:val="00033899"/>
    <w:rsid w:val="00043B73"/>
    <w:rsid w:val="000F3AD1"/>
    <w:rsid w:val="00103A35"/>
    <w:rsid w:val="00104ADF"/>
    <w:rsid w:val="001172E9"/>
    <w:rsid w:val="002132E1"/>
    <w:rsid w:val="00253A4B"/>
    <w:rsid w:val="00262B71"/>
    <w:rsid w:val="00263DEB"/>
    <w:rsid w:val="002971F1"/>
    <w:rsid w:val="002974AC"/>
    <w:rsid w:val="00354E32"/>
    <w:rsid w:val="003C2913"/>
    <w:rsid w:val="003C3224"/>
    <w:rsid w:val="004258AB"/>
    <w:rsid w:val="0043253F"/>
    <w:rsid w:val="00491412"/>
    <w:rsid w:val="004B6DD3"/>
    <w:rsid w:val="004D07A3"/>
    <w:rsid w:val="00674EA1"/>
    <w:rsid w:val="00692DFD"/>
    <w:rsid w:val="006A2421"/>
    <w:rsid w:val="00727555"/>
    <w:rsid w:val="007603F8"/>
    <w:rsid w:val="0077086C"/>
    <w:rsid w:val="007D1040"/>
    <w:rsid w:val="00804157"/>
    <w:rsid w:val="0082599E"/>
    <w:rsid w:val="00830FA3"/>
    <w:rsid w:val="008C4366"/>
    <w:rsid w:val="008F63A5"/>
    <w:rsid w:val="009079F4"/>
    <w:rsid w:val="00921997"/>
    <w:rsid w:val="009E0DEC"/>
    <w:rsid w:val="00A62377"/>
    <w:rsid w:val="00AE11F0"/>
    <w:rsid w:val="00B12506"/>
    <w:rsid w:val="00B46C0F"/>
    <w:rsid w:val="00B57643"/>
    <w:rsid w:val="00C14181"/>
    <w:rsid w:val="00C15749"/>
    <w:rsid w:val="00C34C4C"/>
    <w:rsid w:val="00C36DDD"/>
    <w:rsid w:val="00D32A3B"/>
    <w:rsid w:val="00E56B54"/>
    <w:rsid w:val="00EC443F"/>
    <w:rsid w:val="00ED1A08"/>
    <w:rsid w:val="00EF063E"/>
    <w:rsid w:val="00F60CC9"/>
    <w:rsid w:val="00F81DB8"/>
    <w:rsid w:val="00F920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Dentons">
  <a:themeElements>
    <a:clrScheme name="Dentons">
      <a:dk1>
        <a:sysClr val="windowText" lastClr="000000"/>
      </a:dk1>
      <a:lt1>
        <a:sysClr val="window" lastClr="FFFFFF"/>
      </a:lt1>
      <a:dk2>
        <a:srgbClr val="6C6F70"/>
      </a:dk2>
      <a:lt2>
        <a:srgbClr val="CECFCB"/>
      </a:lt2>
      <a:accent1>
        <a:srgbClr val="6E2D91"/>
      </a:accent1>
      <a:accent2>
        <a:srgbClr val="00A9E0"/>
      </a:accent2>
      <a:accent3>
        <a:srgbClr val="EEAF30"/>
      </a:accent3>
      <a:accent4>
        <a:srgbClr val="D52B1E"/>
      </a:accent4>
      <a:accent5>
        <a:srgbClr val="00A599"/>
      </a:accent5>
      <a:accent6>
        <a:srgbClr val="34B233"/>
      </a:accent6>
      <a:hlink>
        <a:srgbClr val="6E2D91"/>
      </a:hlink>
      <a:folHlink>
        <a:srgbClr val="52216C"/>
      </a:folHlink>
    </a:clrScheme>
    <a:fontScheme name="Denton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37557620417545AA8E6E7DE5AC6899" ma:contentTypeVersion="7" ma:contentTypeDescription="Create a new document." ma:contentTypeScope="" ma:versionID="7fa7156d575938c28964a133a6d6431c">
  <xsd:schema xmlns:xsd="http://www.w3.org/2001/XMLSchema" xmlns:xs="http://www.w3.org/2001/XMLSchema" xmlns:p="http://schemas.microsoft.com/office/2006/metadata/properties" xmlns:ns2="52297a38-db6f-48f1-95ec-151eb145400e" targetNamespace="http://schemas.microsoft.com/office/2006/metadata/properties" ma:root="true" ma:fieldsID="1dcefe9a6327a5e82571a40d31734a11" ns2:_="">
    <xsd:import namespace="52297a38-db6f-48f1-95ec-151eb145400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297a38-db6f-48f1-95ec-151eb14540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roperties xmlns="http://www.imanage.com/work/xmlschema">
  <documentid>NATDOCS!80478483.1</documentid>
  <senderid>MATT.WANFORD</senderid>
  <senderemail>MATT.WANFORD@DENTONS.COM</senderemail>
  <lastmodified>2024-07-29T13:27:00.0000000-04:00</lastmodified>
  <database>NATDOCS</database>
</properti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3483AB-2A24-4882-A63C-EE3DD38D6A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297a38-db6f-48f1-95ec-151eb14540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AD41E-6EEB-4F58-82C4-7918C73D027E}">
  <ds:schemaRefs>
    <ds:schemaRef ds:uri="http://www.imanage.com/work/xmlschema"/>
  </ds:schemaRefs>
</ds:datastoreItem>
</file>

<file path=customXml/itemProps3.xml><?xml version="1.0" encoding="utf-8"?>
<ds:datastoreItem xmlns:ds="http://schemas.openxmlformats.org/officeDocument/2006/customXml" ds:itemID="{760E3E3A-A980-45FF-BA6D-0993C136BB1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A1BED9D-55C1-4F7C-A74C-3FB593ED4C81}">
  <ds:schemaRefs>
    <ds:schemaRef ds:uri="http://schemas.microsoft.com/sharepoint/v3/contenttype/forms"/>
  </ds:schemaRefs>
</ds:datastoreItem>
</file>

<file path=customXml/itemProps5.xml><?xml version="1.0" encoding="utf-8"?>
<ds:datastoreItem xmlns:ds="http://schemas.openxmlformats.org/officeDocument/2006/customXml" ds:itemID="{84B23774-D215-483E-90A5-95024BAB4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3676</Words>
  <Characters>20957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77092266.3</vt:lpstr>
    </vt:vector>
  </TitlesOfParts>
  <Company>Dentons</Company>
  <LinksUpToDate>false</LinksUpToDate>
  <CharactersWithSpaces>24584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77092266.3</dc:title>
  <dc:creator>Dentons</dc:creator>
  <dc:description>MXTG/SJXS/77092266.3</dc:description>
  <cp:lastModifiedBy>Lok, Wen Bin</cp:lastModifiedBy>
  <cp:revision>3</cp:revision>
  <dcterms:created xsi:type="dcterms:W3CDTF">2026-07-23T07:05:00Z</dcterms:created>
  <dcterms:modified xsi:type="dcterms:W3CDTF">2026-07-23T07:22:00Z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0x0101005237557620417545AA8E6E7DE5AC6899</vt:lpwstr>
  </property>
  <property fmtid="{D5CDD505-2E9C-101B-9397-08002B2CF9AE}" pid="3" name="CUS_DocIDDisableNotifications">
    <vt:lpwstr/>
  </property>
  <property fmtid="{D5CDD505-2E9C-101B-9397-08002B2CF9AE}" pid="4" name="ClassificationContentMarkingFooterShapeIds">
    <vt:lpwstr>1,2,3</vt:lpwstr>
  </property>
  <property fmtid="{D5CDD505-2E9C-101B-9397-08002B2CF9AE}" pid="5" name="ClassificationContentMarkingFooterFontProps">
    <vt:lpwstr>#008000,10,Calibri</vt:lpwstr>
  </property>
  <property fmtid="{D5CDD505-2E9C-101B-9397-08002B2CF9AE}" pid="6" name="ClassificationContentMarkingFooterText">
    <vt:lpwstr>NTAC:3NS-20</vt:lpwstr>
  </property>
  <property fmtid="{D5CDD505-2E9C-101B-9397-08002B2CF9AE}" pid="7" name="MSIP_Label_da3ca9ef-1496-417f-9285-25b5037985b9_Enabled">
    <vt:lpwstr>true</vt:lpwstr>
  </property>
  <property fmtid="{D5CDD505-2E9C-101B-9397-08002B2CF9AE}" pid="8" name="MSIP_Label_da3ca9ef-1496-417f-9285-25b5037985b9_SetDate">
    <vt:lpwstr>2025-02-06T06:05:18Z</vt:lpwstr>
  </property>
  <property fmtid="{D5CDD505-2E9C-101B-9397-08002B2CF9AE}" pid="9" name="MSIP_Label_da3ca9ef-1496-417f-9285-25b5037985b9_Method">
    <vt:lpwstr>Standard</vt:lpwstr>
  </property>
  <property fmtid="{D5CDD505-2E9C-101B-9397-08002B2CF9AE}" pid="10" name="MSIP_Label_da3ca9ef-1496-417f-9285-25b5037985b9_Name">
    <vt:lpwstr>Non-Sensitive Business Use - Footer</vt:lpwstr>
  </property>
  <property fmtid="{D5CDD505-2E9C-101B-9397-08002B2CF9AE}" pid="11" name="MSIP_Label_da3ca9ef-1496-417f-9285-25b5037985b9_SiteId">
    <vt:lpwstr>2434528d-4270-4977-81dd-a6308c1761a3</vt:lpwstr>
  </property>
  <property fmtid="{D5CDD505-2E9C-101B-9397-08002B2CF9AE}" pid="12" name="MSIP_Label_da3ca9ef-1496-417f-9285-25b5037985b9_ActionId">
    <vt:lpwstr>18962f51-4b29-4a60-880b-44746956d5b3</vt:lpwstr>
  </property>
  <property fmtid="{D5CDD505-2E9C-101B-9397-08002B2CF9AE}" pid="13" name="MSIP_Label_da3ca9ef-1496-417f-9285-25b5037985b9_ContentBits">
    <vt:lpwstr>2</vt:lpwstr>
  </property>
</Properties>
</file>