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B" w:rsidRDefault="00AE6D77" w:rsidP="00AE6D77">
      <w:pPr>
        <w:pStyle w:val="Heading1"/>
      </w:pPr>
      <w:r>
        <w:t>Summery</w:t>
      </w:r>
    </w:p>
    <w:p w:rsidR="00AE6D77" w:rsidRDefault="00AE6D77" w:rsidP="00855064">
      <w:pPr>
        <w:pStyle w:val="Heading2"/>
      </w:pPr>
      <w:r>
        <w:t xml:space="preserve">First Model: </w:t>
      </w:r>
      <w:proofErr w:type="spellStart"/>
      <w:r>
        <w:t>NoHistory</w:t>
      </w:r>
      <w:proofErr w:type="spellEnd"/>
      <w:r w:rsidR="007D1064">
        <w:t xml:space="preserve"> Model</w:t>
      </w:r>
    </w:p>
    <w:p w:rsidR="00855064" w:rsidRDefault="007E7716" w:rsidP="00855064">
      <w:r>
        <w:t>This is the first model that beats the baseline.</w:t>
      </w:r>
    </w:p>
    <w:p w:rsidR="00B3649F" w:rsidRDefault="00B3649F" w:rsidP="000E1026">
      <w:pPr>
        <w:pStyle w:val="Heading2"/>
      </w:pPr>
      <w:r>
        <w:t>Baseline:</w:t>
      </w:r>
    </w:p>
    <w:p w:rsidR="00B3649F" w:rsidRDefault="000E1026" w:rsidP="00855064">
      <w:r>
        <w:t>It is given by the organizer. It scans all dialog acts for each slot observed so far in the dialog, and outputs the one hypothesis which has the highest score.</w:t>
      </w:r>
    </w:p>
    <w:p w:rsidR="004C6CD8" w:rsidRDefault="004340AA" w:rsidP="002A0675">
      <w:pPr>
        <w:pStyle w:val="Heading2"/>
      </w:pPr>
      <w:proofErr w:type="spellStart"/>
      <w:r>
        <w:t>NoHistory</w:t>
      </w:r>
      <w:proofErr w:type="spellEnd"/>
      <w:r>
        <w:t>:</w:t>
      </w:r>
    </w:p>
    <w:p w:rsidR="002A0675" w:rsidRDefault="00014121" w:rsidP="002A0675">
      <w:r>
        <w:t xml:space="preserve">Different from the baseline, it only scans the dialog acts in the current turn and ignores all </w:t>
      </w:r>
      <w:r w:rsidR="00337CD5">
        <w:t xml:space="preserve">history </w:t>
      </w:r>
      <w:r w:rsidR="00AF7AD7">
        <w:t>hypotheses</w:t>
      </w:r>
      <w:r w:rsidR="00337CD5">
        <w:t>.</w:t>
      </w:r>
    </w:p>
    <w:p w:rsidR="00967FF8" w:rsidRDefault="00967FF8" w:rsidP="002A0675">
      <w:proofErr w:type="spellStart"/>
      <w:r w:rsidRPr="003166F2">
        <w:rPr>
          <w:rStyle w:val="Heading2Char"/>
        </w:rPr>
        <w:t>MajorityBaseline</w:t>
      </w:r>
      <w:proofErr w:type="spellEnd"/>
      <w:r>
        <w:t>:</w:t>
      </w:r>
    </w:p>
    <w:p w:rsidR="00967FF8" w:rsidRDefault="000F2BF6" w:rsidP="002A0675">
      <w:r>
        <w:t>It always predicts “none”</w:t>
      </w:r>
      <w:r w:rsidR="003166F2">
        <w:t xml:space="preserve"> for each slot</w:t>
      </w:r>
      <w:r>
        <w:t>.</w:t>
      </w:r>
    </w:p>
    <w:p w:rsidR="00337CD5" w:rsidRPr="002A0675" w:rsidRDefault="00AF7AD7" w:rsidP="002A0675">
      <w:r>
        <w:t>The results are shown in below.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066"/>
        <w:gridCol w:w="960"/>
        <w:gridCol w:w="960"/>
        <w:gridCol w:w="1300"/>
        <w:gridCol w:w="998"/>
        <w:gridCol w:w="960"/>
        <w:gridCol w:w="960"/>
        <w:gridCol w:w="960"/>
        <w:gridCol w:w="960"/>
      </w:tblGrid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0.9178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0.8233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0.5841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0.6396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0.1775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0.1572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0.8270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0.6432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0.1845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0.1629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0.1294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0.8434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0.6585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0.2485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</w:tbl>
    <w:p w:rsidR="009E3D5D" w:rsidRDefault="009E3D5D" w:rsidP="00855064"/>
    <w:p w:rsidR="000A18CA" w:rsidRDefault="000A18CA" w:rsidP="00855064"/>
    <w:p w:rsidR="0009440D" w:rsidRDefault="009E3D5D" w:rsidP="00855064">
      <w:r>
        <w:lastRenderedPageBreak/>
        <w:t>The “all” in the slot column means the average accuracy of all 9 slots.</w:t>
      </w:r>
    </w:p>
    <w:p w:rsidR="009E3D5D" w:rsidRDefault="009E3D5D" w:rsidP="00855064">
      <w:r>
        <w:t>The “joint” is the combination of the 9 slots. If one of them is wrong, the result is wrong.</w:t>
      </w:r>
    </w:p>
    <w:p w:rsidR="009E3D5D" w:rsidRDefault="009E3D5D" w:rsidP="00855064">
      <w:r>
        <w:t>The table above shows that the “</w:t>
      </w:r>
      <w:proofErr w:type="spellStart"/>
      <w:r>
        <w:t>nohistory</w:t>
      </w:r>
      <w:proofErr w:type="spellEnd"/>
      <w:r>
        <w:t xml:space="preserve">” model is better than </w:t>
      </w:r>
      <w:r w:rsidR="00F87A3B">
        <w:t>the baseline</w:t>
      </w:r>
      <w:r w:rsidR="00284D04">
        <w:t xml:space="preserve"> except the test3.</w:t>
      </w:r>
    </w:p>
    <w:p w:rsidR="009A51BF" w:rsidRDefault="009A51BF" w:rsidP="00855064">
      <w:r>
        <w:t xml:space="preserve">Here are some </w:t>
      </w:r>
      <w:r w:rsidR="00462C70">
        <w:t xml:space="preserve">possible </w:t>
      </w:r>
      <w:r>
        <w:t>reasons:</w:t>
      </w:r>
    </w:p>
    <w:p w:rsidR="00284D04" w:rsidRDefault="002D581D" w:rsidP="00AC5654">
      <w:pPr>
        <w:pStyle w:val="ListParagraph"/>
      </w:pPr>
      <w:r>
        <w:t>The “</w:t>
      </w:r>
      <w:proofErr w:type="spellStart"/>
      <w:r w:rsidRPr="0025107E">
        <w:rPr>
          <w:rFonts w:ascii="Calibri" w:eastAsia="Times New Roman" w:hAnsi="Calibri" w:cs="Times New Roman"/>
          <w:color w:val="000000"/>
        </w:rPr>
        <w:t>nohistory</w:t>
      </w:r>
      <w:proofErr w:type="spellEnd"/>
      <w:r>
        <w:t xml:space="preserve">” </w:t>
      </w:r>
      <w:r w:rsidR="00CC35A4">
        <w:t xml:space="preserve">model assumes that the </w:t>
      </w:r>
      <w:r w:rsidR="000E4432">
        <w:t>latest</w:t>
      </w:r>
      <w:r w:rsidR="00CC35A4">
        <w:t xml:space="preserve"> SLU result is the best.</w:t>
      </w:r>
      <w:r w:rsidR="000E4432">
        <w:t xml:space="preserve"> </w:t>
      </w:r>
      <w:r w:rsidR="00050C8B">
        <w:t xml:space="preserve"> It makes sense. If the slot appear again in the current turn, the same slot in the previous turns might be wrong. Or else, it will not show up.</w:t>
      </w:r>
    </w:p>
    <w:p w:rsidR="00FE3904" w:rsidRDefault="0059584F" w:rsidP="00AC5654">
      <w:pPr>
        <w:pStyle w:val="ListParagraph"/>
      </w:pPr>
      <w:r>
        <w:t xml:space="preserve">“test1”, “test2” and “test4” are from Group A and C. They both used a mixed-initiative design, where “test3” from Group B used a directed design. </w:t>
      </w:r>
      <w:r w:rsidR="002A26D6">
        <w:t xml:space="preserve">(Question: why </w:t>
      </w:r>
      <w:proofErr w:type="spellStart"/>
      <w:r w:rsidR="002A26D6">
        <w:t>nohistory</w:t>
      </w:r>
      <w:proofErr w:type="spellEnd"/>
      <w:r w:rsidR="002A26D6">
        <w:t xml:space="preserve"> is better for a mixed-initiative design?)</w:t>
      </w:r>
    </w:p>
    <w:p w:rsidR="00462C70" w:rsidRDefault="00462C70" w:rsidP="00855064">
      <w:r>
        <w:t>Inspired Feature</w:t>
      </w:r>
      <w:r w:rsidR="00225BD1">
        <w:t xml:space="preserve"> to try in the future</w:t>
      </w:r>
      <w:r>
        <w:t>:</w:t>
      </w:r>
    </w:p>
    <w:p w:rsidR="00A61E03" w:rsidRDefault="006A617C" w:rsidP="00AC5654">
      <w:pPr>
        <w:pStyle w:val="ListParagraph"/>
      </w:pPr>
      <w:r>
        <w:t>Whether the slot appeared before</w:t>
      </w:r>
    </w:p>
    <w:p w:rsidR="006A617C" w:rsidRDefault="00F024E5" w:rsidP="00AC5654">
      <w:pPr>
        <w:pStyle w:val="ListParagraph"/>
      </w:pPr>
      <w:r>
        <w:t xml:space="preserve">Is the old slot confirmed </w:t>
      </w:r>
      <w:r w:rsidR="00AC4ECC">
        <w:t>or denied?</w:t>
      </w:r>
    </w:p>
    <w:p w:rsidR="00AC4ECC" w:rsidRDefault="00E0133F" w:rsidP="00AC5654">
      <w:pPr>
        <w:pStyle w:val="ListParagraph"/>
      </w:pPr>
      <w:r>
        <w:t>The distance between the two slots</w:t>
      </w:r>
    </w:p>
    <w:p w:rsidR="003C5DBF" w:rsidRDefault="0049329F" w:rsidP="00AC5654">
      <w:pPr>
        <w:pStyle w:val="ListParagraph"/>
      </w:pPr>
      <w:r>
        <w:t>Whether there is a conflict between the two slots</w:t>
      </w:r>
    </w:p>
    <w:p w:rsidR="00C876A9" w:rsidRDefault="000F6F82" w:rsidP="00AC5654">
      <w:pPr>
        <w:pStyle w:val="ListParagraph"/>
      </w:pPr>
      <w:r>
        <w:t xml:space="preserve">If the slot values are </w:t>
      </w:r>
      <w:r w:rsidR="00210107">
        <w:t>different</w:t>
      </w:r>
      <w:r>
        <w:t>, at least one of them must be wrong</w:t>
      </w:r>
    </w:p>
    <w:p w:rsidR="00566069" w:rsidRDefault="00210107" w:rsidP="00AC5654">
      <w:pPr>
        <w:pStyle w:val="ListParagraph"/>
      </w:pPr>
      <w:r>
        <w:t>If the slot values are the same, the label for them must be the same too.</w:t>
      </w:r>
    </w:p>
    <w:p w:rsidR="0044493E" w:rsidRDefault="0044493E" w:rsidP="0044493E">
      <w:r>
        <w:t>Majority Baseline works pretty well except for “test3”.</w:t>
      </w:r>
      <w:r w:rsidR="009F2A08">
        <w:t xml:space="preserve"> It is because that </w:t>
      </w:r>
      <w:r w:rsidR="00291EFE">
        <w:t>most of time, there is no value for many slots.</w:t>
      </w:r>
    </w:p>
    <w:p w:rsidR="004946DF" w:rsidRDefault="004946DF" w:rsidP="004946DF">
      <w:pPr>
        <w:pStyle w:val="Heading2"/>
      </w:pPr>
      <w:r>
        <w:t>Topline</w:t>
      </w:r>
    </w:p>
    <w:p w:rsidR="002F272A" w:rsidRDefault="0075047E" w:rsidP="002F272A">
      <w:r>
        <w:t>For the topline, I consider the top</w:t>
      </w:r>
      <w:r w:rsidR="009F2CE0">
        <w:t xml:space="preserve"> </w:t>
      </w:r>
      <w:r>
        <w:t>10 SLU hypothesis</w:t>
      </w:r>
      <w:r w:rsidR="00772533">
        <w:t xml:space="preserve"> for each slot</w:t>
      </w:r>
      <w:r>
        <w:t>.</w:t>
      </w:r>
    </w:p>
    <w:p w:rsidR="0075047E" w:rsidRPr="002F272A" w:rsidRDefault="00C22F8D" w:rsidP="002F272A">
      <w:r>
        <w:t>The results are shown below.</w:t>
      </w:r>
    </w:p>
    <w:p w:rsidR="006F6118" w:rsidRDefault="002F272A" w:rsidP="006F6118">
      <w:r>
        <w:rPr>
          <w:noProof/>
          <w:lang w:eastAsia="en-US"/>
        </w:rPr>
        <w:lastRenderedPageBreak/>
        <w:drawing>
          <wp:inline distT="0" distB="0" distL="0" distR="0" wp14:anchorId="1FD5EE4A" wp14:editId="085B6657">
            <wp:extent cx="5943600" cy="3061335"/>
            <wp:effectExtent l="0" t="0" r="1905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272A" w:rsidRDefault="002F272A" w:rsidP="006F6118">
      <w:r>
        <w:rPr>
          <w:noProof/>
          <w:lang w:eastAsia="en-US"/>
        </w:rPr>
        <w:drawing>
          <wp:inline distT="0" distB="0" distL="0" distR="0" wp14:anchorId="17775964" wp14:editId="203B1970">
            <wp:extent cx="5943600" cy="3083560"/>
            <wp:effectExtent l="0" t="0" r="19050" b="215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272A" w:rsidRDefault="002F272A" w:rsidP="006F6118">
      <w:r>
        <w:rPr>
          <w:noProof/>
          <w:lang w:eastAsia="en-US"/>
        </w:rPr>
        <w:lastRenderedPageBreak/>
        <w:drawing>
          <wp:inline distT="0" distB="0" distL="0" distR="0" wp14:anchorId="246C611C" wp14:editId="6D020DF8">
            <wp:extent cx="5943600" cy="3083560"/>
            <wp:effectExtent l="0" t="0" r="19050" b="215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0EDC" w:rsidRDefault="008B7F9E" w:rsidP="00092A3E">
      <w:pPr>
        <w:pStyle w:val="Heading2"/>
      </w:pPr>
      <w:r>
        <w:t>Ob</w:t>
      </w:r>
      <w:r w:rsidR="002A38FE">
        <w:t>s</w:t>
      </w:r>
      <w:r>
        <w:t xml:space="preserve">ervation </w:t>
      </w:r>
    </w:p>
    <w:p w:rsidR="00693A55" w:rsidRDefault="009F11B4" w:rsidP="009F11B4">
      <w:pPr>
        <w:pStyle w:val="ListParagraph"/>
        <w:numPr>
          <w:ilvl w:val="0"/>
          <w:numId w:val="2"/>
        </w:numPr>
      </w:pPr>
      <w:proofErr w:type="spellStart"/>
      <w:r>
        <w:t>TopK</w:t>
      </w:r>
      <w:proofErr w:type="spellEnd"/>
      <w:r>
        <w:t xml:space="preserve"> != Baseline</w:t>
      </w:r>
    </w:p>
    <w:p w:rsidR="00813A20" w:rsidRDefault="005B1A8C" w:rsidP="00813A20">
      <w:r>
        <w:t xml:space="preserve">For the topline, I didn’t take the 10 SLU </w:t>
      </w:r>
      <w:r w:rsidR="00FA60DD">
        <w:t>hypotheses</w:t>
      </w:r>
      <w:r>
        <w:t xml:space="preserve"> first, but assign all SLU </w:t>
      </w:r>
      <w:r w:rsidR="00393AB7">
        <w:t>hypotheses</w:t>
      </w:r>
      <w:r>
        <w:t xml:space="preserve"> to each slot and then take the top 10 candidates in each slot.</w:t>
      </w:r>
    </w:p>
    <w:p w:rsidR="0076270B" w:rsidRDefault="0076270B" w:rsidP="00813A20">
      <w:r>
        <w:t>That’s why</w:t>
      </w:r>
      <w:r w:rsidR="005075F7">
        <w:t xml:space="preserve"> the Top1 </w:t>
      </w:r>
      <w:r w:rsidR="00E101CA">
        <w:t>is not equal to the baseline.</w:t>
      </w:r>
    </w:p>
    <w:p w:rsidR="007D1CB2" w:rsidRDefault="008D128D" w:rsidP="007D1CB2">
      <w:pPr>
        <w:pStyle w:val="ListParagraph"/>
        <w:numPr>
          <w:ilvl w:val="0"/>
          <w:numId w:val="2"/>
        </w:numPr>
      </w:pPr>
      <w:proofErr w:type="spellStart"/>
      <w:r>
        <w:t>TopK</w:t>
      </w:r>
      <w:proofErr w:type="spellEnd"/>
      <w:r>
        <w:t xml:space="preserve"> &gt;</w:t>
      </w:r>
      <w:r w:rsidR="007D1CB2">
        <w:t xml:space="preserve"> Baseline</w:t>
      </w:r>
      <w:r w:rsidR="002C00E0">
        <w:t xml:space="preserve"> for test3 and test4</w:t>
      </w:r>
    </w:p>
    <w:p w:rsidR="00D35A26" w:rsidRDefault="00B103A2" w:rsidP="00D35A26">
      <w:pPr>
        <w:pStyle w:val="ListParagraph"/>
      </w:pPr>
      <w:r>
        <w:t>It might be because NLU in these two data are better.</w:t>
      </w:r>
    </w:p>
    <w:p w:rsidR="0090199B" w:rsidRDefault="00620785" w:rsidP="007D1CB2">
      <w:pPr>
        <w:pStyle w:val="ListParagraph"/>
        <w:numPr>
          <w:ilvl w:val="0"/>
          <w:numId w:val="2"/>
        </w:numPr>
      </w:pPr>
      <w:proofErr w:type="spellStart"/>
      <w:r>
        <w:t>TopK</w:t>
      </w:r>
      <w:proofErr w:type="spellEnd"/>
      <w:r>
        <w:t xml:space="preserve"> &lt; Baseline for test1 a</w:t>
      </w:r>
      <w:r w:rsidR="00255B38">
        <w:t>nd test2</w:t>
      </w:r>
    </w:p>
    <w:p w:rsidR="0071342F" w:rsidRDefault="005530E8" w:rsidP="0071342F">
      <w:pPr>
        <w:pStyle w:val="ListParagraph"/>
      </w:pPr>
      <w:r>
        <w:t xml:space="preserve">It might </w:t>
      </w:r>
      <w:r w:rsidR="009B51DC">
        <w:t xml:space="preserve">be </w:t>
      </w:r>
      <w:r>
        <w:t xml:space="preserve">because </w:t>
      </w:r>
      <w:r w:rsidR="0099233C">
        <w:t>that th</w:t>
      </w:r>
      <w:r w:rsidR="005744CE">
        <w:t>e candidates for test1 and test2</w:t>
      </w:r>
      <w:r w:rsidR="0099233C">
        <w:t xml:space="preserve"> are generated </w:t>
      </w:r>
      <w:r w:rsidR="00CC3AD1">
        <w:t>offline</w:t>
      </w:r>
      <w:r w:rsidR="005744CE">
        <w:t xml:space="preserve"> and the number</w:t>
      </w:r>
      <w:r w:rsidR="008D0294">
        <w:t>s</w:t>
      </w:r>
      <w:r w:rsidR="005744CE">
        <w:t xml:space="preserve"> of candidates </w:t>
      </w:r>
      <w:r w:rsidR="008D0294">
        <w:t>are</w:t>
      </w:r>
      <w:r w:rsidR="005744CE">
        <w:t xml:space="preserve"> much more than the number in test3 and test4.</w:t>
      </w:r>
      <w:r w:rsidR="00A01F2C">
        <w:t xml:space="preserve"> (&gt;40)</w:t>
      </w:r>
    </w:p>
    <w:p w:rsidR="005744CE" w:rsidRDefault="00BF3167" w:rsidP="0071342F">
      <w:pPr>
        <w:pStyle w:val="ListParagraph"/>
      </w:pPr>
      <w:r>
        <w:t xml:space="preserve">We might need to </w:t>
      </w:r>
      <w:r w:rsidR="005271FE">
        <w:t>remove noise for test1 and test2.</w:t>
      </w:r>
    </w:p>
    <w:p w:rsidR="000572D8" w:rsidRDefault="00A03BDA" w:rsidP="00AD325D">
      <w:pPr>
        <w:pStyle w:val="Heading2"/>
      </w:pPr>
      <w:r>
        <w:t>Future Direction</w:t>
      </w:r>
    </w:p>
    <w:p w:rsidR="00382497" w:rsidRDefault="00C947C2" w:rsidP="00EF74F0">
      <w:pPr>
        <w:pStyle w:val="Heading3"/>
      </w:pPr>
      <w:proofErr w:type="spellStart"/>
      <w:r>
        <w:t>BinaryDecision</w:t>
      </w:r>
      <w:proofErr w:type="spellEnd"/>
      <w:r>
        <w:t xml:space="preserve"> Model</w:t>
      </w:r>
    </w:p>
    <w:p w:rsidR="0022527E" w:rsidRDefault="006968B6" w:rsidP="0022527E">
      <w:r>
        <w:t xml:space="preserve">The task of dialog state tracking </w:t>
      </w:r>
      <w:r w:rsidR="00997384">
        <w:t xml:space="preserve">is to </w:t>
      </w:r>
      <w:r w:rsidR="00AC03BC">
        <w:t xml:space="preserve">decide </w:t>
      </w:r>
      <w:r w:rsidR="009F3372">
        <w:t xml:space="preserve">whether the NLU result is correct or not. </w:t>
      </w:r>
      <w:r w:rsidR="006D46A7">
        <w:t xml:space="preserve">It means that </w:t>
      </w:r>
      <w:r w:rsidR="008F2C83">
        <w:t xml:space="preserve">what we need to do is just to check a decision is right or wrong. Therefore, </w:t>
      </w:r>
      <w:r w:rsidR="00475CFE">
        <w:t>we can assume it is right and check whether there is a conflict between them</w:t>
      </w:r>
      <w:r w:rsidR="00B85766">
        <w:t xml:space="preserve"> using some AI logic derivation</w:t>
      </w:r>
      <w:r w:rsidR="00475CFE">
        <w:t>.</w:t>
      </w:r>
    </w:p>
    <w:p w:rsidR="001238CE" w:rsidRDefault="00A40DCE" w:rsidP="0022527E">
      <w:r>
        <w:t>Possible rules:</w:t>
      </w:r>
    </w:p>
    <w:p w:rsidR="00A40DCE" w:rsidRDefault="00B46D1C" w:rsidP="00B46D1C">
      <w:pPr>
        <w:pStyle w:val="ListParagraph"/>
        <w:numPr>
          <w:ilvl w:val="0"/>
          <w:numId w:val="2"/>
        </w:numPr>
      </w:pPr>
      <w:r>
        <w:t>Only one value of the slot can be right</w:t>
      </w:r>
    </w:p>
    <w:p w:rsidR="006873A7" w:rsidRDefault="001A0115" w:rsidP="006873A7">
      <w:pPr>
        <w:pStyle w:val="ListParagraph"/>
      </w:pPr>
      <w:proofErr w:type="gramStart"/>
      <w:r>
        <w:t>route=</w:t>
      </w:r>
      <w:proofErr w:type="gramEnd"/>
      <w:r>
        <w:t xml:space="preserve">71A and route=71C </w:t>
      </w:r>
      <w:r w:rsidR="00A66A5F">
        <w:t>are</w:t>
      </w:r>
      <w:r>
        <w:t xml:space="preserve"> conflict</w:t>
      </w:r>
    </w:p>
    <w:p w:rsidR="00A53148" w:rsidRDefault="00A53148" w:rsidP="007260DF">
      <w:pPr>
        <w:pStyle w:val="ListParagraph"/>
      </w:pPr>
    </w:p>
    <w:p w:rsidR="00A53148" w:rsidRDefault="00A53148" w:rsidP="00A53148">
      <w:pPr>
        <w:pStyle w:val="ListParagraph"/>
        <w:numPr>
          <w:ilvl w:val="0"/>
          <w:numId w:val="2"/>
        </w:numPr>
      </w:pPr>
      <w:r>
        <w:lastRenderedPageBreak/>
        <w:t>For each turn, only one user slot can be identified.</w:t>
      </w:r>
      <w:r w:rsidR="002E097C">
        <w:t xml:space="preserve"> (Assume, only one information could be handled)</w:t>
      </w:r>
    </w:p>
    <w:p w:rsidR="007260DF" w:rsidRDefault="007260DF" w:rsidP="007260DF">
      <w:pPr>
        <w:pStyle w:val="ListParagraph"/>
      </w:pPr>
      <w:r>
        <w:t>The topline model doesn’t follow this rule.</w:t>
      </w:r>
    </w:p>
    <w:p w:rsidR="007420D5" w:rsidRPr="0022527E" w:rsidRDefault="007420D5" w:rsidP="007260DF"/>
    <w:p w:rsidR="000572D8" w:rsidRDefault="00BA4C14" w:rsidP="00001B5C">
      <w:pPr>
        <w:pStyle w:val="Heading3"/>
      </w:pPr>
      <w:r>
        <w:t>Ranking Model</w:t>
      </w:r>
    </w:p>
    <w:p w:rsidR="00001B5C" w:rsidRDefault="00001B5C" w:rsidP="00001B5C">
      <w:r>
        <w:t>We can also treat the task as a ranking problem: rank the candidates and select the best one.</w:t>
      </w:r>
      <w:r w:rsidR="00F95B2E">
        <w:t xml:space="preserve"> Therefore, we can use some ranking model instead of classification model for this problem.</w:t>
      </w:r>
    </w:p>
    <w:p w:rsidR="00AA4EE4" w:rsidRDefault="00BB2FEF" w:rsidP="00BB2FEF">
      <w:pPr>
        <w:pStyle w:val="Heading3"/>
      </w:pPr>
      <w:r>
        <w:t>Hierarchical Model</w:t>
      </w:r>
    </w:p>
    <w:p w:rsidR="00BB2FEF" w:rsidRDefault="00BA7AE4" w:rsidP="00BB2FEF">
      <w:r>
        <w:t xml:space="preserve">For this problem, </w:t>
      </w:r>
      <w:r w:rsidR="00FB1E12">
        <w:t>if we identify a slot that should not be there, it will be wrong forever</w:t>
      </w:r>
      <w:r w:rsidR="00DE3825">
        <w:t xml:space="preserve"> until it is been denied by the user</w:t>
      </w:r>
      <w:r w:rsidR="00FB1E12">
        <w:t xml:space="preserve">. </w:t>
      </w:r>
      <w:r w:rsidR="003A51FC">
        <w:t xml:space="preserve"> Therefore, it might be better if we can identify the slot exist or not first, and then assign the value to that slot</w:t>
      </w:r>
      <w:r w:rsidR="00C5124D">
        <w:t xml:space="preserve"> with another model</w:t>
      </w:r>
      <w:r w:rsidR="003A51FC">
        <w:t>. I think</w:t>
      </w:r>
      <w:proofErr w:type="gramStart"/>
      <w:r w:rsidR="003A51FC">
        <w:t>,</w:t>
      </w:r>
      <w:proofErr w:type="gramEnd"/>
      <w:r w:rsidR="003A51FC">
        <w:t xml:space="preserve"> it will also improve the joint score.</w:t>
      </w:r>
    </w:p>
    <w:p w:rsidR="001460AD" w:rsidRDefault="00AF586A" w:rsidP="00AF586A">
      <w:pPr>
        <w:pStyle w:val="Heading3"/>
      </w:pPr>
      <w:proofErr w:type="gramStart"/>
      <w:r>
        <w:t>Matching Different Dialog System</w:t>
      </w:r>
      <w:r w:rsidR="0091575A">
        <w:t xml:space="preserve"> (Graph Match</w:t>
      </w:r>
      <w:r w:rsidR="00D41188">
        <w:t>ing</w:t>
      </w:r>
      <w:r w:rsidR="0091575A">
        <w:t xml:space="preserve"> Problem?)</w:t>
      </w:r>
      <w:proofErr w:type="gramEnd"/>
    </w:p>
    <w:p w:rsidR="00200E05" w:rsidRDefault="00200E05" w:rsidP="00200E05">
      <w:r>
        <w:t>The dialog manager, SLU, ASR are all different from different dialog system.</w:t>
      </w:r>
      <w:r w:rsidR="00087D3B">
        <w:t xml:space="preserve"> Thus, if we can identify the relationship between different dialog system</w:t>
      </w:r>
      <w:r w:rsidR="00C3120F">
        <w:t>s</w:t>
      </w:r>
      <w:r w:rsidR="00087D3B">
        <w:t>, we can adapt it.</w:t>
      </w:r>
    </w:p>
    <w:p w:rsidR="00144FD9" w:rsidRDefault="00D86EE4" w:rsidP="00200E05">
      <w:r>
        <w:t>The thing we can match could be the dialog acts</w:t>
      </w:r>
      <w:r w:rsidR="00742FB7">
        <w:t xml:space="preserve"> and the relationship between the acts</w:t>
      </w:r>
      <w:r>
        <w:t>.</w:t>
      </w:r>
    </w:p>
    <w:p w:rsidR="008B5DE3" w:rsidRPr="00200E05" w:rsidRDefault="00822779" w:rsidP="00822779">
      <w:pPr>
        <w:pStyle w:val="Heading3"/>
      </w:pPr>
      <w:r>
        <w:t>Add Bus</w:t>
      </w:r>
      <w:r w:rsidR="0007746F">
        <w:t xml:space="preserve"> </w:t>
      </w:r>
      <w:r>
        <w:t>Schedule</w:t>
      </w:r>
      <w:r w:rsidR="0007746F">
        <w:t xml:space="preserve"> </w:t>
      </w:r>
      <w:r w:rsidR="006A2040">
        <w:t>Facts</w:t>
      </w:r>
    </w:p>
    <w:p w:rsidR="000670AA" w:rsidRDefault="008C7173" w:rsidP="00813A20">
      <w:r>
        <w:t>We can filter out the names that don’t appear in the bus schedule database.</w:t>
      </w:r>
    </w:p>
    <w:p w:rsidR="00783C14" w:rsidRDefault="00783C14" w:rsidP="00813A20">
      <w:r>
        <w:t>We can give more scores to specific street name if we know the route number.</w:t>
      </w:r>
      <w:r w:rsidR="00EE5E9D">
        <w:t xml:space="preserve"> For example, University of Pittsburgh can get more scores for 71A</w:t>
      </w:r>
      <w:r w:rsidR="003B66C2">
        <w:t xml:space="preserve">; </w:t>
      </w:r>
      <w:r w:rsidR="006079F9">
        <w:t>airport gets more scores for 28X.</w:t>
      </w:r>
    </w:p>
    <w:p w:rsidR="00357760" w:rsidRDefault="00760B3A" w:rsidP="00677D97">
      <w:pPr>
        <w:pStyle w:val="Heading3"/>
      </w:pPr>
      <w:r>
        <w:t>Clustering ASR Score</w:t>
      </w:r>
    </w:p>
    <w:p w:rsidR="00677D97" w:rsidRDefault="00182FE1" w:rsidP="00677D97">
      <w:r>
        <w:t>The assumption here is that if two ASR or NLU are similar with each other, they might be correct or they might be close to the correct one. For example, “</w:t>
      </w:r>
      <w:r w:rsidRPr="00182FE1">
        <w:t>from fifth avenue</w:t>
      </w:r>
      <w:r>
        <w:t>”, “</w:t>
      </w:r>
      <w:r w:rsidRPr="00182FE1">
        <w:t>town fifth avenue</w:t>
      </w:r>
      <w:r>
        <w:t>”, “</w:t>
      </w:r>
      <w:proofErr w:type="spellStart"/>
      <w:r w:rsidRPr="00182FE1">
        <w:t>ov</w:t>
      </w:r>
      <w:proofErr w:type="spellEnd"/>
      <w:r w:rsidRPr="00182FE1">
        <w:t xml:space="preserve"> fifth avenue</w:t>
      </w:r>
      <w:r>
        <w:t>”, “</w:t>
      </w:r>
      <w:r w:rsidRPr="00182FE1">
        <w:t>of fifth avenue</w:t>
      </w:r>
      <w:r>
        <w:t>”, etc. probably mean “fifth avenue” might be the correct one.</w:t>
      </w:r>
    </w:p>
    <w:p w:rsidR="00F558D1" w:rsidRDefault="00F558D1" w:rsidP="00677D97">
      <w:r>
        <w:t>Thus, we group the ASR by word edit distance or phone edit distance. Then, infer the correct one by the groups.</w:t>
      </w:r>
    </w:p>
    <w:p w:rsidR="00CE1C81" w:rsidRDefault="009E2374" w:rsidP="00CE1C81">
      <w:pPr>
        <w:pStyle w:val="Heading1"/>
      </w:pPr>
      <w:r>
        <w:t>Open</w:t>
      </w:r>
      <w:r w:rsidR="00CE1C81">
        <w:t xml:space="preserve"> Question</w:t>
      </w:r>
    </w:p>
    <w:p w:rsidR="00293B3F" w:rsidRDefault="00265A53" w:rsidP="00265A53">
      <w:pPr>
        <w:pStyle w:val="Heading2"/>
      </w:pPr>
      <w:r>
        <w:t xml:space="preserve">How to generate </w:t>
      </w:r>
      <w:proofErr w:type="spellStart"/>
      <w:r>
        <w:t>NBest</w:t>
      </w:r>
      <w:proofErr w:type="spellEnd"/>
      <w:r>
        <w:t xml:space="preserve"> lists for the joint?</w:t>
      </w:r>
    </w:p>
    <w:p w:rsidR="002648B1" w:rsidRDefault="005A242A" w:rsidP="002648B1">
      <w:r>
        <w:t>The joint score for all systems are very low. That would be an interesting problem to solve.</w:t>
      </w:r>
    </w:p>
    <w:p w:rsidR="005A242A" w:rsidRDefault="005A242A" w:rsidP="002648B1">
      <w:r>
        <w:t xml:space="preserve">However, I found I have no good idea to generate the </w:t>
      </w:r>
      <w:proofErr w:type="spellStart"/>
      <w:r>
        <w:t>NBest</w:t>
      </w:r>
      <w:proofErr w:type="spellEnd"/>
      <w:r>
        <w:t xml:space="preserve"> lists for the joint and rescore them.</w:t>
      </w:r>
    </w:p>
    <w:p w:rsidR="005A242A" w:rsidRDefault="002F352B" w:rsidP="002F352B">
      <w:pPr>
        <w:pStyle w:val="Heading3"/>
      </w:pPr>
      <w:r>
        <w:t>No Correct label</w:t>
      </w:r>
      <w:r w:rsidR="00A9106B">
        <w:t>?</w:t>
      </w:r>
    </w:p>
    <w:p w:rsidR="00753C48" w:rsidRPr="00813A20" w:rsidRDefault="00587376" w:rsidP="00813A20">
      <w:r>
        <w:t>The annotation is to just check whether each hypothesis is correct or not. But if all of them are wrong, it doesn’t provide the correct NLU.</w:t>
      </w:r>
      <w:r w:rsidR="00736E4A">
        <w:t xml:space="preserve"> It doesn’t make sense.</w:t>
      </w:r>
      <w:bookmarkStart w:id="0" w:name="_GoBack"/>
      <w:bookmarkEnd w:id="0"/>
    </w:p>
    <w:sectPr w:rsidR="00753C48" w:rsidRPr="008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F1A"/>
    <w:multiLevelType w:val="hybridMultilevel"/>
    <w:tmpl w:val="207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66AB4"/>
    <w:multiLevelType w:val="hybridMultilevel"/>
    <w:tmpl w:val="ADB8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35"/>
    <w:rsid w:val="00001B5C"/>
    <w:rsid w:val="00014121"/>
    <w:rsid w:val="00050C8B"/>
    <w:rsid w:val="000572D8"/>
    <w:rsid w:val="000670AA"/>
    <w:rsid w:val="0007746F"/>
    <w:rsid w:val="00087D3B"/>
    <w:rsid w:val="00092A3E"/>
    <w:rsid w:val="0009440D"/>
    <w:rsid w:val="000A18CA"/>
    <w:rsid w:val="000D2B02"/>
    <w:rsid w:val="000E1026"/>
    <w:rsid w:val="000E4432"/>
    <w:rsid w:val="000F2BF6"/>
    <w:rsid w:val="000F6F82"/>
    <w:rsid w:val="001238CE"/>
    <w:rsid w:val="00144FD9"/>
    <w:rsid w:val="001460AD"/>
    <w:rsid w:val="00182FE1"/>
    <w:rsid w:val="001A0115"/>
    <w:rsid w:val="00200E05"/>
    <w:rsid w:val="00210107"/>
    <w:rsid w:val="0022527E"/>
    <w:rsid w:val="00225BD1"/>
    <w:rsid w:val="0025107E"/>
    <w:rsid w:val="00255B38"/>
    <w:rsid w:val="00257A2D"/>
    <w:rsid w:val="002648B1"/>
    <w:rsid w:val="00265A53"/>
    <w:rsid w:val="00284D04"/>
    <w:rsid w:val="00291EFE"/>
    <w:rsid w:val="00293B3F"/>
    <w:rsid w:val="002A0675"/>
    <w:rsid w:val="002A26D6"/>
    <w:rsid w:val="002A38FE"/>
    <w:rsid w:val="002C00E0"/>
    <w:rsid w:val="002D581D"/>
    <w:rsid w:val="002E097C"/>
    <w:rsid w:val="002F272A"/>
    <w:rsid w:val="002F352B"/>
    <w:rsid w:val="002F3ADA"/>
    <w:rsid w:val="00301920"/>
    <w:rsid w:val="003166F2"/>
    <w:rsid w:val="003323D8"/>
    <w:rsid w:val="00337CD5"/>
    <w:rsid w:val="003511DE"/>
    <w:rsid w:val="00357760"/>
    <w:rsid w:val="00382497"/>
    <w:rsid w:val="00393AB7"/>
    <w:rsid w:val="003A51FC"/>
    <w:rsid w:val="003B66C2"/>
    <w:rsid w:val="003C5DBF"/>
    <w:rsid w:val="003D764A"/>
    <w:rsid w:val="00414285"/>
    <w:rsid w:val="004340AA"/>
    <w:rsid w:val="0044493E"/>
    <w:rsid w:val="00462C70"/>
    <w:rsid w:val="00475CFE"/>
    <w:rsid w:val="0049329F"/>
    <w:rsid w:val="004946DF"/>
    <w:rsid w:val="004A3EE7"/>
    <w:rsid w:val="004C6CD8"/>
    <w:rsid w:val="005075F7"/>
    <w:rsid w:val="005271FE"/>
    <w:rsid w:val="005530E8"/>
    <w:rsid w:val="00566069"/>
    <w:rsid w:val="005744CE"/>
    <w:rsid w:val="00587376"/>
    <w:rsid w:val="0059584F"/>
    <w:rsid w:val="005A242A"/>
    <w:rsid w:val="005B1A8C"/>
    <w:rsid w:val="005B26D7"/>
    <w:rsid w:val="006079F9"/>
    <w:rsid w:val="00620785"/>
    <w:rsid w:val="00677D97"/>
    <w:rsid w:val="006872BB"/>
    <w:rsid w:val="006873A7"/>
    <w:rsid w:val="00693A55"/>
    <w:rsid w:val="006968B6"/>
    <w:rsid w:val="006A2040"/>
    <w:rsid w:val="006A617C"/>
    <w:rsid w:val="006D46A7"/>
    <w:rsid w:val="006F0331"/>
    <w:rsid w:val="006F6118"/>
    <w:rsid w:val="0071342F"/>
    <w:rsid w:val="007260DF"/>
    <w:rsid w:val="00736E4A"/>
    <w:rsid w:val="007420D5"/>
    <w:rsid w:val="00742FB7"/>
    <w:rsid w:val="0075047E"/>
    <w:rsid w:val="00753C48"/>
    <w:rsid w:val="00760B3A"/>
    <w:rsid w:val="0076270B"/>
    <w:rsid w:val="00772533"/>
    <w:rsid w:val="00783C14"/>
    <w:rsid w:val="007B16A8"/>
    <w:rsid w:val="007D1064"/>
    <w:rsid w:val="007D1CB2"/>
    <w:rsid w:val="007E7716"/>
    <w:rsid w:val="008010AD"/>
    <w:rsid w:val="00813A20"/>
    <w:rsid w:val="00822779"/>
    <w:rsid w:val="00832F70"/>
    <w:rsid w:val="00855064"/>
    <w:rsid w:val="008B5DE3"/>
    <w:rsid w:val="008B7F9E"/>
    <w:rsid w:val="008C7173"/>
    <w:rsid w:val="008D0294"/>
    <w:rsid w:val="008D128D"/>
    <w:rsid w:val="008F2C83"/>
    <w:rsid w:val="0090199B"/>
    <w:rsid w:val="0091575A"/>
    <w:rsid w:val="00967FF8"/>
    <w:rsid w:val="0099233C"/>
    <w:rsid w:val="00997384"/>
    <w:rsid w:val="009A51BF"/>
    <w:rsid w:val="009B51DC"/>
    <w:rsid w:val="009B7A9D"/>
    <w:rsid w:val="009E2374"/>
    <w:rsid w:val="009E3D5D"/>
    <w:rsid w:val="009F11B4"/>
    <w:rsid w:val="009F2A08"/>
    <w:rsid w:val="009F2CE0"/>
    <w:rsid w:val="009F3372"/>
    <w:rsid w:val="00A01F2C"/>
    <w:rsid w:val="00A03BDA"/>
    <w:rsid w:val="00A21D17"/>
    <w:rsid w:val="00A40DCE"/>
    <w:rsid w:val="00A50817"/>
    <w:rsid w:val="00A53148"/>
    <w:rsid w:val="00A61E03"/>
    <w:rsid w:val="00A66A5F"/>
    <w:rsid w:val="00A9106B"/>
    <w:rsid w:val="00AA4EE4"/>
    <w:rsid w:val="00AC03BC"/>
    <w:rsid w:val="00AC4ECC"/>
    <w:rsid w:val="00AC5654"/>
    <w:rsid w:val="00AD325D"/>
    <w:rsid w:val="00AE6D77"/>
    <w:rsid w:val="00AF586A"/>
    <w:rsid w:val="00AF7AD7"/>
    <w:rsid w:val="00B03731"/>
    <w:rsid w:val="00B103A2"/>
    <w:rsid w:val="00B332A1"/>
    <w:rsid w:val="00B3649F"/>
    <w:rsid w:val="00B46D1C"/>
    <w:rsid w:val="00B85766"/>
    <w:rsid w:val="00BA4C14"/>
    <w:rsid w:val="00BA7AE4"/>
    <w:rsid w:val="00BB2FEF"/>
    <w:rsid w:val="00BD0621"/>
    <w:rsid w:val="00BF3167"/>
    <w:rsid w:val="00BF45D8"/>
    <w:rsid w:val="00C22F8D"/>
    <w:rsid w:val="00C3120F"/>
    <w:rsid w:val="00C5124D"/>
    <w:rsid w:val="00C63C19"/>
    <w:rsid w:val="00C876A9"/>
    <w:rsid w:val="00C947C2"/>
    <w:rsid w:val="00CC35A4"/>
    <w:rsid w:val="00CC3AD1"/>
    <w:rsid w:val="00CE1C81"/>
    <w:rsid w:val="00D35A26"/>
    <w:rsid w:val="00D41188"/>
    <w:rsid w:val="00D86EE4"/>
    <w:rsid w:val="00DE3825"/>
    <w:rsid w:val="00DE4096"/>
    <w:rsid w:val="00DF4D3D"/>
    <w:rsid w:val="00E0133F"/>
    <w:rsid w:val="00E101CA"/>
    <w:rsid w:val="00E70EDC"/>
    <w:rsid w:val="00E714FC"/>
    <w:rsid w:val="00E87235"/>
    <w:rsid w:val="00E95DCF"/>
    <w:rsid w:val="00EE5E9D"/>
    <w:rsid w:val="00EF74F0"/>
    <w:rsid w:val="00F024E5"/>
    <w:rsid w:val="00F26F3B"/>
    <w:rsid w:val="00F4565A"/>
    <w:rsid w:val="00F509F1"/>
    <w:rsid w:val="00F558D1"/>
    <w:rsid w:val="00F87A3B"/>
    <w:rsid w:val="00F95B2E"/>
    <w:rsid w:val="00FA60DD"/>
    <w:rsid w:val="00FB1E12"/>
    <w:rsid w:val="00FD67E9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2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F74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2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F74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09.26.2013%20Meeting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09.26.2013%20Meeting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09.26.2013%20Meeting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schedule1</a:t>
            </a:r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Topline!$J$2:$J$11</c:f>
              <c:numCache>
                <c:formatCode>0.0000</c:formatCode>
                <c:ptCount val="10"/>
                <c:pt idx="0">
                  <c:v>0.77480000000000004</c:v>
                </c:pt>
                <c:pt idx="1">
                  <c:v>0.77480000000000004</c:v>
                </c:pt>
                <c:pt idx="2">
                  <c:v>0.77480000000000004</c:v>
                </c:pt>
                <c:pt idx="3">
                  <c:v>0.77480000000000004</c:v>
                </c:pt>
                <c:pt idx="4">
                  <c:v>0.77480000000000004</c:v>
                </c:pt>
                <c:pt idx="5">
                  <c:v>0.77480000000000004</c:v>
                </c:pt>
                <c:pt idx="6">
                  <c:v>0.77480000000000004</c:v>
                </c:pt>
                <c:pt idx="7">
                  <c:v>0.77480000000000004</c:v>
                </c:pt>
                <c:pt idx="8">
                  <c:v>0.77480000000000004</c:v>
                </c:pt>
                <c:pt idx="9">
                  <c:v>0.77480000000000004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Topline!$F$2:$F$11</c:f>
              <c:numCache>
                <c:formatCode>General</c:formatCode>
                <c:ptCount val="10"/>
                <c:pt idx="0">
                  <c:v>0.52810000000000001</c:v>
                </c:pt>
                <c:pt idx="1">
                  <c:v>0.64329999999999998</c:v>
                </c:pt>
                <c:pt idx="2">
                  <c:v>0.69579999999999997</c:v>
                </c:pt>
                <c:pt idx="3">
                  <c:v>0.73160000000000003</c:v>
                </c:pt>
                <c:pt idx="4">
                  <c:v>0.75549999999999995</c:v>
                </c:pt>
                <c:pt idx="5">
                  <c:v>0.77249999999999996</c:v>
                </c:pt>
                <c:pt idx="6">
                  <c:v>0.78669999999999995</c:v>
                </c:pt>
                <c:pt idx="7">
                  <c:v>0.80059999999999998</c:v>
                </c:pt>
                <c:pt idx="8">
                  <c:v>0.81200000000000006</c:v>
                </c:pt>
                <c:pt idx="9">
                  <c:v>0.82230000000000003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val>
            <c:numRef>
              <c:f>Topline!$K$2:$K$11</c:f>
              <c:numCache>
                <c:formatCode>0.0000</c:formatCode>
                <c:ptCount val="10"/>
                <c:pt idx="0">
                  <c:v>0.79279999999999995</c:v>
                </c:pt>
                <c:pt idx="1">
                  <c:v>0.79279999999999995</c:v>
                </c:pt>
                <c:pt idx="2">
                  <c:v>0.79279999999999995</c:v>
                </c:pt>
                <c:pt idx="3">
                  <c:v>0.79279999999999995</c:v>
                </c:pt>
                <c:pt idx="4">
                  <c:v>0.79279999999999995</c:v>
                </c:pt>
                <c:pt idx="5">
                  <c:v>0.79279999999999995</c:v>
                </c:pt>
                <c:pt idx="6">
                  <c:v>0.79279999999999995</c:v>
                </c:pt>
                <c:pt idx="7">
                  <c:v>0.79279999999999995</c:v>
                </c:pt>
                <c:pt idx="8">
                  <c:v>0.79279999999999995</c:v>
                </c:pt>
                <c:pt idx="9">
                  <c:v>0.79279999999999995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Topline!$G$2:$G$11</c:f>
              <c:numCache>
                <c:formatCode>General</c:formatCode>
                <c:ptCount val="10"/>
                <c:pt idx="0">
                  <c:v>0.65769999999999995</c:v>
                </c:pt>
                <c:pt idx="1">
                  <c:v>0.70640000000000003</c:v>
                </c:pt>
                <c:pt idx="2">
                  <c:v>0.73440000000000005</c:v>
                </c:pt>
                <c:pt idx="3">
                  <c:v>0.75490000000000002</c:v>
                </c:pt>
                <c:pt idx="4">
                  <c:v>0.77</c:v>
                </c:pt>
                <c:pt idx="5">
                  <c:v>0.78369999999999995</c:v>
                </c:pt>
                <c:pt idx="6">
                  <c:v>0.79510000000000003</c:v>
                </c:pt>
                <c:pt idx="7">
                  <c:v>0.80720000000000003</c:v>
                </c:pt>
                <c:pt idx="8">
                  <c:v>0.81979999999999997</c:v>
                </c:pt>
                <c:pt idx="9">
                  <c:v>0.82940000000000003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Topline!$L$2:$L$10</c:f>
              <c:numCache>
                <c:formatCode>0.0000</c:formatCode>
                <c:ptCount val="9"/>
                <c:pt idx="0">
                  <c:v>0.91779999999999995</c:v>
                </c:pt>
                <c:pt idx="1">
                  <c:v>0.91779999999999995</c:v>
                </c:pt>
                <c:pt idx="2">
                  <c:v>0.91779999999999995</c:v>
                </c:pt>
                <c:pt idx="3">
                  <c:v>0.91779999999999995</c:v>
                </c:pt>
                <c:pt idx="4">
                  <c:v>0.91779999999999995</c:v>
                </c:pt>
                <c:pt idx="5">
                  <c:v>0.91779999999999995</c:v>
                </c:pt>
                <c:pt idx="6">
                  <c:v>0.91779999999999995</c:v>
                </c:pt>
                <c:pt idx="7">
                  <c:v>0.91779999999999995</c:v>
                </c:pt>
                <c:pt idx="8">
                  <c:v>0.91779999999999995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Topline!$H$2:$H$11</c:f>
              <c:numCache>
                <c:formatCode>General</c:formatCode>
                <c:ptCount val="10"/>
                <c:pt idx="0">
                  <c:v>0.83440000000000003</c:v>
                </c:pt>
                <c:pt idx="1">
                  <c:v>0.94810000000000005</c:v>
                </c:pt>
                <c:pt idx="2">
                  <c:v>0.96530000000000005</c:v>
                </c:pt>
                <c:pt idx="3">
                  <c:v>0.97309999999999997</c:v>
                </c:pt>
                <c:pt idx="4">
                  <c:v>0.97760000000000002</c:v>
                </c:pt>
                <c:pt idx="5">
                  <c:v>0.98119999999999996</c:v>
                </c:pt>
                <c:pt idx="6">
                  <c:v>0.98409999999999997</c:v>
                </c:pt>
                <c:pt idx="7">
                  <c:v>0.98580000000000001</c:v>
                </c:pt>
                <c:pt idx="8">
                  <c:v>0.98709999999999998</c:v>
                </c:pt>
                <c:pt idx="9">
                  <c:v>0.9889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Topline!$M$2:$M$11</c:f>
              <c:numCache>
                <c:formatCode>0.0000</c:formatCode>
                <c:ptCount val="10"/>
                <c:pt idx="0">
                  <c:v>0.82330000000000003</c:v>
                </c:pt>
                <c:pt idx="1">
                  <c:v>0.82330000000000003</c:v>
                </c:pt>
                <c:pt idx="2">
                  <c:v>0.82330000000000003</c:v>
                </c:pt>
                <c:pt idx="3">
                  <c:v>0.82330000000000003</c:v>
                </c:pt>
                <c:pt idx="4">
                  <c:v>0.82330000000000003</c:v>
                </c:pt>
                <c:pt idx="5">
                  <c:v>0.82330000000000003</c:v>
                </c:pt>
                <c:pt idx="6">
                  <c:v>0.82330000000000003</c:v>
                </c:pt>
                <c:pt idx="7">
                  <c:v>0.82330000000000003</c:v>
                </c:pt>
                <c:pt idx="8">
                  <c:v>0.82330000000000003</c:v>
                </c:pt>
                <c:pt idx="9">
                  <c:v>0.82330000000000003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Topline!$I$2:$I$11</c:f>
              <c:numCache>
                <c:formatCode>General</c:formatCode>
                <c:ptCount val="10"/>
                <c:pt idx="0">
                  <c:v>0.81979999999999997</c:v>
                </c:pt>
                <c:pt idx="1">
                  <c:v>0.92210000000000003</c:v>
                </c:pt>
                <c:pt idx="2">
                  <c:v>0.94159999999999999</c:v>
                </c:pt>
                <c:pt idx="3">
                  <c:v>0.9556</c:v>
                </c:pt>
                <c:pt idx="4">
                  <c:v>0.96399999999999997</c:v>
                </c:pt>
                <c:pt idx="5">
                  <c:v>0.96989999999999998</c:v>
                </c:pt>
                <c:pt idx="6">
                  <c:v>0.97640000000000005</c:v>
                </c:pt>
                <c:pt idx="7">
                  <c:v>0.98089999999999999</c:v>
                </c:pt>
                <c:pt idx="8">
                  <c:v>0.98319999999999996</c:v>
                </c:pt>
                <c:pt idx="9">
                  <c:v>0.98580000000000001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774656"/>
        <c:axId val="138691328"/>
      </c:lineChart>
      <c:catAx>
        <c:axId val="146774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38691328"/>
        <c:crosses val="autoZero"/>
        <c:auto val="1"/>
        <c:lblAlgn val="ctr"/>
        <c:lblOffset val="100"/>
        <c:noMultiLvlLbl val="0"/>
      </c:catAx>
      <c:valAx>
        <c:axId val="138691328"/>
        <c:scaling>
          <c:orientation val="minMax"/>
          <c:max val="1"/>
          <c:min val="0.4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146774656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schedule2</a:t>
            </a:r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8"/>
          <c:order val="0"/>
          <c:tx>
            <c:strRef>
              <c:f>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Topline!$J$12:$J$21</c:f>
              <c:numCache>
                <c:formatCode>0.0000</c:formatCode>
                <c:ptCount val="10"/>
                <c:pt idx="0">
                  <c:v>0.60199999999999998</c:v>
                </c:pt>
                <c:pt idx="1">
                  <c:v>0.60199999999999998</c:v>
                </c:pt>
                <c:pt idx="2">
                  <c:v>0.60199999999999998</c:v>
                </c:pt>
                <c:pt idx="3">
                  <c:v>0.60199999999999998</c:v>
                </c:pt>
                <c:pt idx="4">
                  <c:v>0.60199999999999998</c:v>
                </c:pt>
                <c:pt idx="5">
                  <c:v>0.60199999999999998</c:v>
                </c:pt>
                <c:pt idx="6">
                  <c:v>0.60199999999999998</c:v>
                </c:pt>
                <c:pt idx="7">
                  <c:v>0.60199999999999998</c:v>
                </c:pt>
                <c:pt idx="8">
                  <c:v>0.60199999999999998</c:v>
                </c:pt>
                <c:pt idx="9">
                  <c:v>0.60199999999999998</c:v>
                </c:pt>
              </c:numCache>
            </c:numRef>
          </c:val>
          <c:smooth val="0"/>
        </c:ser>
        <c:ser>
          <c:idx val="9"/>
          <c:order val="1"/>
          <c:tx>
            <c:strRef>
              <c:f>Topline!$F$1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Topline!$F$12:$F$21</c:f>
              <c:numCache>
                <c:formatCode>General</c:formatCode>
                <c:ptCount val="10"/>
                <c:pt idx="0">
                  <c:v>0.2084</c:v>
                </c:pt>
                <c:pt idx="1">
                  <c:v>0.34289999999999998</c:v>
                </c:pt>
                <c:pt idx="2">
                  <c:v>0.41310000000000002</c:v>
                </c:pt>
                <c:pt idx="3">
                  <c:v>0.4657</c:v>
                </c:pt>
                <c:pt idx="4">
                  <c:v>0.50380000000000003</c:v>
                </c:pt>
                <c:pt idx="5">
                  <c:v>0.53410000000000002</c:v>
                </c:pt>
                <c:pt idx="6">
                  <c:v>0.55930000000000002</c:v>
                </c:pt>
                <c:pt idx="7">
                  <c:v>0.58479999999999999</c:v>
                </c:pt>
                <c:pt idx="8">
                  <c:v>0.60599999999999998</c:v>
                </c:pt>
                <c:pt idx="9">
                  <c:v>0.62619999999999998</c:v>
                </c:pt>
              </c:numCache>
            </c:numRef>
          </c:val>
          <c:smooth val="0"/>
        </c:ser>
        <c:ser>
          <c:idx val="10"/>
          <c:order val="2"/>
          <c:tx>
            <c:strRef>
              <c:f>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val>
            <c:numRef>
              <c:f>Topline!$K$12:$K$21</c:f>
              <c:numCache>
                <c:formatCode>0.0000</c:formatCode>
                <c:ptCount val="10"/>
                <c:pt idx="0">
                  <c:v>0.49049999999999999</c:v>
                </c:pt>
                <c:pt idx="1">
                  <c:v>0.49049999999999999</c:v>
                </c:pt>
                <c:pt idx="2">
                  <c:v>0.49049999999999999</c:v>
                </c:pt>
                <c:pt idx="3">
                  <c:v>0.49049999999999999</c:v>
                </c:pt>
                <c:pt idx="4">
                  <c:v>0.49049999999999999</c:v>
                </c:pt>
                <c:pt idx="5">
                  <c:v>0.49049999999999999</c:v>
                </c:pt>
                <c:pt idx="6">
                  <c:v>0.49049999999999999</c:v>
                </c:pt>
                <c:pt idx="7">
                  <c:v>0.49049999999999999</c:v>
                </c:pt>
                <c:pt idx="8">
                  <c:v>0.49049999999999999</c:v>
                </c:pt>
                <c:pt idx="9">
                  <c:v>0.49049999999999999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Topline!$G$1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Topline!$G$12:$G$21</c:f>
              <c:numCache>
                <c:formatCode>General</c:formatCode>
                <c:ptCount val="10"/>
                <c:pt idx="0">
                  <c:v>0.16320000000000001</c:v>
                </c:pt>
                <c:pt idx="1">
                  <c:v>0.25629999999999997</c:v>
                </c:pt>
                <c:pt idx="2">
                  <c:v>0.31190000000000001</c:v>
                </c:pt>
                <c:pt idx="3">
                  <c:v>0.36070000000000002</c:v>
                </c:pt>
                <c:pt idx="4">
                  <c:v>0.39750000000000002</c:v>
                </c:pt>
                <c:pt idx="5">
                  <c:v>0.43030000000000002</c:v>
                </c:pt>
                <c:pt idx="6">
                  <c:v>0.45789999999999997</c:v>
                </c:pt>
                <c:pt idx="7">
                  <c:v>0.48620000000000002</c:v>
                </c:pt>
                <c:pt idx="8">
                  <c:v>0.51549999999999996</c:v>
                </c:pt>
                <c:pt idx="9">
                  <c:v>0.53910000000000002</c:v>
                </c:pt>
              </c:numCache>
            </c:numRef>
          </c:val>
          <c:smooth val="0"/>
        </c:ser>
        <c:ser>
          <c:idx val="12"/>
          <c:order val="4"/>
          <c:tx>
            <c:strRef>
              <c:f>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Topline!$L$12:$L$21</c:f>
              <c:numCache>
                <c:formatCode>0.0000</c:formatCode>
                <c:ptCount val="10"/>
                <c:pt idx="0">
                  <c:v>0.62019999999999997</c:v>
                </c:pt>
                <c:pt idx="1">
                  <c:v>0.62019999999999997</c:v>
                </c:pt>
                <c:pt idx="2">
                  <c:v>0.62019999999999997</c:v>
                </c:pt>
                <c:pt idx="3">
                  <c:v>0.62019999999999997</c:v>
                </c:pt>
                <c:pt idx="4">
                  <c:v>0.62019999999999997</c:v>
                </c:pt>
                <c:pt idx="5">
                  <c:v>0.62019999999999997</c:v>
                </c:pt>
                <c:pt idx="6">
                  <c:v>0.62019999999999997</c:v>
                </c:pt>
                <c:pt idx="7">
                  <c:v>0.62019999999999997</c:v>
                </c:pt>
                <c:pt idx="8">
                  <c:v>0.62019999999999997</c:v>
                </c:pt>
                <c:pt idx="9">
                  <c:v>0.62019999999999997</c:v>
                </c:pt>
              </c:numCache>
            </c:numRef>
          </c:val>
          <c:smooth val="0"/>
        </c:ser>
        <c:ser>
          <c:idx val="13"/>
          <c:order val="5"/>
          <c:tx>
            <c:strRef>
              <c:f>Topline!$H$1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Topline!$H$12:$H$21</c:f>
              <c:numCache>
                <c:formatCode>General</c:formatCode>
                <c:ptCount val="10"/>
                <c:pt idx="0">
                  <c:v>0.41520000000000001</c:v>
                </c:pt>
                <c:pt idx="1">
                  <c:v>0.77039999999999997</c:v>
                </c:pt>
                <c:pt idx="2">
                  <c:v>0.83699999999999997</c:v>
                </c:pt>
                <c:pt idx="3">
                  <c:v>0.86639999999999995</c:v>
                </c:pt>
                <c:pt idx="4">
                  <c:v>0.88449999999999995</c:v>
                </c:pt>
                <c:pt idx="5">
                  <c:v>0.89810000000000001</c:v>
                </c:pt>
                <c:pt idx="6">
                  <c:v>0.91349999999999998</c:v>
                </c:pt>
                <c:pt idx="7">
                  <c:v>0.92300000000000004</c:v>
                </c:pt>
                <c:pt idx="8">
                  <c:v>0.93</c:v>
                </c:pt>
                <c:pt idx="9">
                  <c:v>0.93679999999999997</c:v>
                </c:pt>
              </c:numCache>
            </c:numRef>
          </c:val>
          <c:smooth val="0"/>
        </c:ser>
        <c:ser>
          <c:idx val="14"/>
          <c:order val="6"/>
          <c:tx>
            <c:strRef>
              <c:f>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Topline!$M$12:$M$21</c:f>
              <c:numCache>
                <c:formatCode>0.0000</c:formatCode>
                <c:ptCount val="10"/>
                <c:pt idx="0">
                  <c:v>0.58409999999999995</c:v>
                </c:pt>
                <c:pt idx="1">
                  <c:v>0.58409999999999995</c:v>
                </c:pt>
                <c:pt idx="2">
                  <c:v>0.58409999999999995</c:v>
                </c:pt>
                <c:pt idx="3">
                  <c:v>0.58409999999999995</c:v>
                </c:pt>
                <c:pt idx="4">
                  <c:v>0.58409999999999995</c:v>
                </c:pt>
                <c:pt idx="5">
                  <c:v>0.58409999999999995</c:v>
                </c:pt>
                <c:pt idx="6">
                  <c:v>0.58409999999999995</c:v>
                </c:pt>
                <c:pt idx="7">
                  <c:v>0.58409999999999995</c:v>
                </c:pt>
                <c:pt idx="8">
                  <c:v>0.58409999999999995</c:v>
                </c:pt>
                <c:pt idx="9">
                  <c:v>0.58409999999999995</c:v>
                </c:pt>
              </c:numCache>
            </c:numRef>
          </c:val>
          <c:smooth val="0"/>
        </c:ser>
        <c:ser>
          <c:idx val="15"/>
          <c:order val="7"/>
          <c:tx>
            <c:strRef>
              <c:f>Topline!$I$1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Topline!$I$12:$I$21</c:f>
              <c:numCache>
                <c:formatCode>General</c:formatCode>
                <c:ptCount val="10"/>
                <c:pt idx="0">
                  <c:v>0.59160000000000001</c:v>
                </c:pt>
                <c:pt idx="1">
                  <c:v>0.80079999999999996</c:v>
                </c:pt>
                <c:pt idx="2">
                  <c:v>0.85189999999999999</c:v>
                </c:pt>
                <c:pt idx="3">
                  <c:v>0.88800000000000001</c:v>
                </c:pt>
                <c:pt idx="4">
                  <c:v>0.90900000000000003</c:v>
                </c:pt>
                <c:pt idx="5">
                  <c:v>0.92449999999999999</c:v>
                </c:pt>
                <c:pt idx="6">
                  <c:v>0.94199999999999995</c:v>
                </c:pt>
                <c:pt idx="7">
                  <c:v>0.9536</c:v>
                </c:pt>
                <c:pt idx="8">
                  <c:v>0.96030000000000004</c:v>
                </c:pt>
                <c:pt idx="9">
                  <c:v>0.96560000000000001</c:v>
                </c:pt>
              </c:numCache>
            </c:numRef>
          </c:val>
          <c:smooth val="0"/>
        </c:ser>
        <c:ser>
          <c:idx val="1"/>
          <c:order val="8"/>
          <c:tx>
            <c:strRef>
              <c:f>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Topline!$J$12:$J$21</c:f>
              <c:numCache>
                <c:formatCode>0.0000</c:formatCode>
                <c:ptCount val="10"/>
                <c:pt idx="0">
                  <c:v>0.60199999999999998</c:v>
                </c:pt>
                <c:pt idx="1">
                  <c:v>0.60199999999999998</c:v>
                </c:pt>
                <c:pt idx="2">
                  <c:v>0.60199999999999998</c:v>
                </c:pt>
                <c:pt idx="3">
                  <c:v>0.60199999999999998</c:v>
                </c:pt>
                <c:pt idx="4">
                  <c:v>0.60199999999999998</c:v>
                </c:pt>
                <c:pt idx="5">
                  <c:v>0.60199999999999998</c:v>
                </c:pt>
                <c:pt idx="6">
                  <c:v>0.60199999999999998</c:v>
                </c:pt>
                <c:pt idx="7">
                  <c:v>0.60199999999999998</c:v>
                </c:pt>
                <c:pt idx="8">
                  <c:v>0.60199999999999998</c:v>
                </c:pt>
                <c:pt idx="9">
                  <c:v>0.60199999999999998</c:v>
                </c:pt>
              </c:numCache>
            </c:numRef>
          </c:val>
          <c:smooth val="0"/>
        </c:ser>
        <c:ser>
          <c:idx val="0"/>
          <c:order val="9"/>
          <c:tx>
            <c:strRef>
              <c:f>Topline!$F$1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Topline!$F$12:$F$21</c:f>
              <c:numCache>
                <c:formatCode>General</c:formatCode>
                <c:ptCount val="10"/>
                <c:pt idx="0">
                  <c:v>0.2084</c:v>
                </c:pt>
                <c:pt idx="1">
                  <c:v>0.34289999999999998</c:v>
                </c:pt>
                <c:pt idx="2">
                  <c:v>0.41310000000000002</c:v>
                </c:pt>
                <c:pt idx="3">
                  <c:v>0.4657</c:v>
                </c:pt>
                <c:pt idx="4">
                  <c:v>0.50380000000000003</c:v>
                </c:pt>
                <c:pt idx="5">
                  <c:v>0.53410000000000002</c:v>
                </c:pt>
                <c:pt idx="6">
                  <c:v>0.55930000000000002</c:v>
                </c:pt>
                <c:pt idx="7">
                  <c:v>0.58479999999999999</c:v>
                </c:pt>
                <c:pt idx="8">
                  <c:v>0.60599999999999998</c:v>
                </c:pt>
                <c:pt idx="9">
                  <c:v>0.62619999999999998</c:v>
                </c:pt>
              </c:numCache>
            </c:numRef>
          </c:val>
          <c:smooth val="0"/>
        </c:ser>
        <c:ser>
          <c:idx val="2"/>
          <c:order val="10"/>
          <c:tx>
            <c:strRef>
              <c:f>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val>
            <c:numRef>
              <c:f>Topline!$K$12:$K$21</c:f>
              <c:numCache>
                <c:formatCode>0.0000</c:formatCode>
                <c:ptCount val="10"/>
                <c:pt idx="0">
                  <c:v>0.49049999999999999</c:v>
                </c:pt>
                <c:pt idx="1">
                  <c:v>0.49049999999999999</c:v>
                </c:pt>
                <c:pt idx="2">
                  <c:v>0.49049999999999999</c:v>
                </c:pt>
                <c:pt idx="3">
                  <c:v>0.49049999999999999</c:v>
                </c:pt>
                <c:pt idx="4">
                  <c:v>0.49049999999999999</c:v>
                </c:pt>
                <c:pt idx="5">
                  <c:v>0.49049999999999999</c:v>
                </c:pt>
                <c:pt idx="6">
                  <c:v>0.49049999999999999</c:v>
                </c:pt>
                <c:pt idx="7">
                  <c:v>0.49049999999999999</c:v>
                </c:pt>
                <c:pt idx="8">
                  <c:v>0.49049999999999999</c:v>
                </c:pt>
                <c:pt idx="9">
                  <c:v>0.49049999999999999</c:v>
                </c:pt>
              </c:numCache>
            </c:numRef>
          </c:val>
          <c:smooth val="0"/>
        </c:ser>
        <c:ser>
          <c:idx val="3"/>
          <c:order val="11"/>
          <c:tx>
            <c:strRef>
              <c:f>Topline!$G$1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Topline!$G$12:$G$21</c:f>
              <c:numCache>
                <c:formatCode>General</c:formatCode>
                <c:ptCount val="10"/>
                <c:pt idx="0">
                  <c:v>0.16320000000000001</c:v>
                </c:pt>
                <c:pt idx="1">
                  <c:v>0.25629999999999997</c:v>
                </c:pt>
                <c:pt idx="2">
                  <c:v>0.31190000000000001</c:v>
                </c:pt>
                <c:pt idx="3">
                  <c:v>0.36070000000000002</c:v>
                </c:pt>
                <c:pt idx="4">
                  <c:v>0.39750000000000002</c:v>
                </c:pt>
                <c:pt idx="5">
                  <c:v>0.43030000000000002</c:v>
                </c:pt>
                <c:pt idx="6">
                  <c:v>0.45789999999999997</c:v>
                </c:pt>
                <c:pt idx="7">
                  <c:v>0.48620000000000002</c:v>
                </c:pt>
                <c:pt idx="8">
                  <c:v>0.51549999999999996</c:v>
                </c:pt>
                <c:pt idx="9">
                  <c:v>0.53910000000000002</c:v>
                </c:pt>
              </c:numCache>
            </c:numRef>
          </c:val>
          <c:smooth val="0"/>
        </c:ser>
        <c:ser>
          <c:idx val="6"/>
          <c:order val="12"/>
          <c:tx>
            <c:strRef>
              <c:f>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Topline!$L$12:$L$21</c:f>
              <c:numCache>
                <c:formatCode>0.0000</c:formatCode>
                <c:ptCount val="10"/>
                <c:pt idx="0">
                  <c:v>0.62019999999999997</c:v>
                </c:pt>
                <c:pt idx="1">
                  <c:v>0.62019999999999997</c:v>
                </c:pt>
                <c:pt idx="2">
                  <c:v>0.62019999999999997</c:v>
                </c:pt>
                <c:pt idx="3">
                  <c:v>0.62019999999999997</c:v>
                </c:pt>
                <c:pt idx="4">
                  <c:v>0.62019999999999997</c:v>
                </c:pt>
                <c:pt idx="5">
                  <c:v>0.62019999999999997</c:v>
                </c:pt>
                <c:pt idx="6">
                  <c:v>0.62019999999999997</c:v>
                </c:pt>
                <c:pt idx="7">
                  <c:v>0.62019999999999997</c:v>
                </c:pt>
                <c:pt idx="8">
                  <c:v>0.62019999999999997</c:v>
                </c:pt>
                <c:pt idx="9">
                  <c:v>0.62019999999999997</c:v>
                </c:pt>
              </c:numCache>
            </c:numRef>
          </c:val>
          <c:smooth val="0"/>
        </c:ser>
        <c:ser>
          <c:idx val="4"/>
          <c:order val="13"/>
          <c:tx>
            <c:strRef>
              <c:f>Topline!$H$1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Topline!$H$12:$H$21</c:f>
              <c:numCache>
                <c:formatCode>General</c:formatCode>
                <c:ptCount val="10"/>
                <c:pt idx="0">
                  <c:v>0.41520000000000001</c:v>
                </c:pt>
                <c:pt idx="1">
                  <c:v>0.77039999999999997</c:v>
                </c:pt>
                <c:pt idx="2">
                  <c:v>0.83699999999999997</c:v>
                </c:pt>
                <c:pt idx="3">
                  <c:v>0.86639999999999995</c:v>
                </c:pt>
                <c:pt idx="4">
                  <c:v>0.88449999999999995</c:v>
                </c:pt>
                <c:pt idx="5">
                  <c:v>0.89810000000000001</c:v>
                </c:pt>
                <c:pt idx="6">
                  <c:v>0.91349999999999998</c:v>
                </c:pt>
                <c:pt idx="7">
                  <c:v>0.92300000000000004</c:v>
                </c:pt>
                <c:pt idx="8">
                  <c:v>0.93</c:v>
                </c:pt>
                <c:pt idx="9">
                  <c:v>0.93679999999999997</c:v>
                </c:pt>
              </c:numCache>
            </c:numRef>
          </c:val>
          <c:smooth val="0"/>
        </c:ser>
        <c:ser>
          <c:idx val="7"/>
          <c:order val="14"/>
          <c:tx>
            <c:strRef>
              <c:f>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Topline!$M$12:$M$21</c:f>
              <c:numCache>
                <c:formatCode>0.0000</c:formatCode>
                <c:ptCount val="10"/>
                <c:pt idx="0">
                  <c:v>0.58409999999999995</c:v>
                </c:pt>
                <c:pt idx="1">
                  <c:v>0.58409999999999995</c:v>
                </c:pt>
                <c:pt idx="2">
                  <c:v>0.58409999999999995</c:v>
                </c:pt>
                <c:pt idx="3">
                  <c:v>0.58409999999999995</c:v>
                </c:pt>
                <c:pt idx="4">
                  <c:v>0.58409999999999995</c:v>
                </c:pt>
                <c:pt idx="5">
                  <c:v>0.58409999999999995</c:v>
                </c:pt>
                <c:pt idx="6">
                  <c:v>0.58409999999999995</c:v>
                </c:pt>
                <c:pt idx="7">
                  <c:v>0.58409999999999995</c:v>
                </c:pt>
                <c:pt idx="8">
                  <c:v>0.58409999999999995</c:v>
                </c:pt>
                <c:pt idx="9">
                  <c:v>0.58409999999999995</c:v>
                </c:pt>
              </c:numCache>
            </c:numRef>
          </c:val>
          <c:smooth val="0"/>
        </c:ser>
        <c:ser>
          <c:idx val="5"/>
          <c:order val="15"/>
          <c:tx>
            <c:strRef>
              <c:f>Topline!$I$1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Topline!$I$12:$I$21</c:f>
              <c:numCache>
                <c:formatCode>General</c:formatCode>
                <c:ptCount val="10"/>
                <c:pt idx="0">
                  <c:v>0.59160000000000001</c:v>
                </c:pt>
                <c:pt idx="1">
                  <c:v>0.80079999999999996</c:v>
                </c:pt>
                <c:pt idx="2">
                  <c:v>0.85189999999999999</c:v>
                </c:pt>
                <c:pt idx="3">
                  <c:v>0.88800000000000001</c:v>
                </c:pt>
                <c:pt idx="4">
                  <c:v>0.90900000000000003</c:v>
                </c:pt>
                <c:pt idx="5">
                  <c:v>0.92449999999999999</c:v>
                </c:pt>
                <c:pt idx="6">
                  <c:v>0.94199999999999995</c:v>
                </c:pt>
                <c:pt idx="7">
                  <c:v>0.9536</c:v>
                </c:pt>
                <c:pt idx="8">
                  <c:v>0.96030000000000004</c:v>
                </c:pt>
                <c:pt idx="9">
                  <c:v>0.96560000000000001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76832"/>
        <c:axId val="147187200"/>
      </c:lineChart>
      <c:catAx>
        <c:axId val="147176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47187200"/>
        <c:crossesAt val="0"/>
        <c:auto val="1"/>
        <c:lblAlgn val="ctr"/>
        <c:lblOffset val="100"/>
        <c:noMultiLvlLbl val="0"/>
      </c:catAx>
      <c:valAx>
        <c:axId val="1471872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147176832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schedule3</a:t>
            </a:r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Topline!$J$22:$J$31</c:f>
              <c:numCache>
                <c:formatCode>0.0000</c:formatCode>
                <c:ptCount val="10"/>
                <c:pt idx="0">
                  <c:v>0.59819999999999995</c:v>
                </c:pt>
                <c:pt idx="1">
                  <c:v>0.59819999999999995</c:v>
                </c:pt>
                <c:pt idx="2">
                  <c:v>0.59819999999999995</c:v>
                </c:pt>
                <c:pt idx="3">
                  <c:v>0.59819999999999995</c:v>
                </c:pt>
                <c:pt idx="4">
                  <c:v>0.59819999999999995</c:v>
                </c:pt>
                <c:pt idx="5">
                  <c:v>0.59819999999999995</c:v>
                </c:pt>
                <c:pt idx="6">
                  <c:v>0.59819999999999995</c:v>
                </c:pt>
                <c:pt idx="7">
                  <c:v>0.59819999999999995</c:v>
                </c:pt>
                <c:pt idx="8">
                  <c:v>0.59819999999999995</c:v>
                </c:pt>
                <c:pt idx="9">
                  <c:v>0.59819999999999995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Topline!$F$22:$F$31</c:f>
              <c:numCache>
                <c:formatCode>General</c:formatCode>
                <c:ptCount val="10"/>
                <c:pt idx="0">
                  <c:v>0.26850000000000002</c:v>
                </c:pt>
                <c:pt idx="1">
                  <c:v>0.44140000000000001</c:v>
                </c:pt>
                <c:pt idx="2">
                  <c:v>0.51259999999999994</c:v>
                </c:pt>
                <c:pt idx="3">
                  <c:v>0.56089999999999995</c:v>
                </c:pt>
                <c:pt idx="4">
                  <c:v>0.59419999999999995</c:v>
                </c:pt>
                <c:pt idx="5">
                  <c:v>0.61719999999999997</c:v>
                </c:pt>
                <c:pt idx="6">
                  <c:v>0.63870000000000005</c:v>
                </c:pt>
                <c:pt idx="7">
                  <c:v>0.65610000000000002</c:v>
                </c:pt>
                <c:pt idx="8">
                  <c:v>0.67410000000000003</c:v>
                </c:pt>
                <c:pt idx="9">
                  <c:v>0.69089999999999996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val>
            <c:numRef>
              <c:f>Topline!$K$22:$K$31</c:f>
              <c:numCache>
                <c:formatCode>0.0000</c:formatCode>
                <c:ptCount val="10"/>
                <c:pt idx="0">
                  <c:v>0.4869</c:v>
                </c:pt>
                <c:pt idx="1">
                  <c:v>0.4869</c:v>
                </c:pt>
                <c:pt idx="2">
                  <c:v>0.4869</c:v>
                </c:pt>
                <c:pt idx="3">
                  <c:v>0.4869</c:v>
                </c:pt>
                <c:pt idx="4">
                  <c:v>0.4869</c:v>
                </c:pt>
                <c:pt idx="5">
                  <c:v>0.4869</c:v>
                </c:pt>
                <c:pt idx="6">
                  <c:v>0.4869</c:v>
                </c:pt>
                <c:pt idx="7">
                  <c:v>0.4869</c:v>
                </c:pt>
                <c:pt idx="8">
                  <c:v>0.4869</c:v>
                </c:pt>
                <c:pt idx="9">
                  <c:v>0.4869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Topline!$G$22:$G$31</c:f>
              <c:numCache>
                <c:formatCode>General</c:formatCode>
                <c:ptCount val="10"/>
                <c:pt idx="0">
                  <c:v>0.21929999999999999</c:v>
                </c:pt>
                <c:pt idx="1">
                  <c:v>0.32719999999999999</c:v>
                </c:pt>
                <c:pt idx="2">
                  <c:v>0.38800000000000001</c:v>
                </c:pt>
                <c:pt idx="3">
                  <c:v>0.43469999999999998</c:v>
                </c:pt>
                <c:pt idx="4">
                  <c:v>0.46970000000000001</c:v>
                </c:pt>
                <c:pt idx="5">
                  <c:v>0.50180000000000002</c:v>
                </c:pt>
                <c:pt idx="6">
                  <c:v>0.52890000000000004</c:v>
                </c:pt>
                <c:pt idx="7">
                  <c:v>0.55940000000000001</c:v>
                </c:pt>
                <c:pt idx="8">
                  <c:v>0.59009999999999996</c:v>
                </c:pt>
                <c:pt idx="9">
                  <c:v>0.61399999999999999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Topline!$L$22:$L$31</c:f>
              <c:numCache>
                <c:formatCode>0.0000</c:formatCode>
                <c:ptCount val="10"/>
                <c:pt idx="0">
                  <c:v>0.70330000000000004</c:v>
                </c:pt>
                <c:pt idx="1">
                  <c:v>0.70330000000000004</c:v>
                </c:pt>
                <c:pt idx="2">
                  <c:v>0.70330000000000004</c:v>
                </c:pt>
                <c:pt idx="3">
                  <c:v>0.70330000000000004</c:v>
                </c:pt>
                <c:pt idx="4">
                  <c:v>0.70330000000000004</c:v>
                </c:pt>
                <c:pt idx="5">
                  <c:v>0.70330000000000004</c:v>
                </c:pt>
                <c:pt idx="6">
                  <c:v>0.70330000000000004</c:v>
                </c:pt>
                <c:pt idx="7">
                  <c:v>0.70330000000000004</c:v>
                </c:pt>
                <c:pt idx="8">
                  <c:v>0.70330000000000004</c:v>
                </c:pt>
                <c:pt idx="9">
                  <c:v>0.70330000000000004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Topline!$H$22:$H$31</c:f>
              <c:numCache>
                <c:formatCode>General</c:formatCode>
                <c:ptCount val="10"/>
                <c:pt idx="0">
                  <c:v>0.38030000000000003</c:v>
                </c:pt>
                <c:pt idx="1">
                  <c:v>0.81950000000000001</c:v>
                </c:pt>
                <c:pt idx="2">
                  <c:v>0.87739999999999996</c:v>
                </c:pt>
                <c:pt idx="3">
                  <c:v>0.9012</c:v>
                </c:pt>
                <c:pt idx="4">
                  <c:v>0.91569999999999996</c:v>
                </c:pt>
                <c:pt idx="5">
                  <c:v>0.92820000000000003</c:v>
                </c:pt>
                <c:pt idx="6">
                  <c:v>0.93979999999999997</c:v>
                </c:pt>
                <c:pt idx="7">
                  <c:v>0.94630000000000003</c:v>
                </c:pt>
                <c:pt idx="8">
                  <c:v>0.95140000000000002</c:v>
                </c:pt>
                <c:pt idx="9">
                  <c:v>0.95750000000000002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Topline!$M$22:$M$31</c:f>
              <c:numCache>
                <c:formatCode>0.0000</c:formatCode>
                <c:ptCount val="10"/>
                <c:pt idx="0">
                  <c:v>0.63959999999999995</c:v>
                </c:pt>
                <c:pt idx="1">
                  <c:v>0.63959999999999995</c:v>
                </c:pt>
                <c:pt idx="2">
                  <c:v>0.63959999999999995</c:v>
                </c:pt>
                <c:pt idx="3">
                  <c:v>0.63959999999999995</c:v>
                </c:pt>
                <c:pt idx="4">
                  <c:v>0.63959999999999995</c:v>
                </c:pt>
                <c:pt idx="5">
                  <c:v>0.63959999999999995</c:v>
                </c:pt>
                <c:pt idx="6">
                  <c:v>0.63959999999999995</c:v>
                </c:pt>
                <c:pt idx="7">
                  <c:v>0.63959999999999995</c:v>
                </c:pt>
                <c:pt idx="8">
                  <c:v>0.63959999999999995</c:v>
                </c:pt>
                <c:pt idx="9">
                  <c:v>0.63959999999999995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Topline!$I$22:$I$31</c:f>
              <c:numCache>
                <c:formatCode>General</c:formatCode>
                <c:ptCount val="10"/>
                <c:pt idx="0">
                  <c:v>0.61339999999999995</c:v>
                </c:pt>
                <c:pt idx="1">
                  <c:v>0.84079999999999999</c:v>
                </c:pt>
                <c:pt idx="2">
                  <c:v>0.88449999999999995</c:v>
                </c:pt>
                <c:pt idx="3">
                  <c:v>0.91339999999999999</c:v>
                </c:pt>
                <c:pt idx="4">
                  <c:v>0.92959999999999998</c:v>
                </c:pt>
                <c:pt idx="5">
                  <c:v>0.94359999999999999</c:v>
                </c:pt>
                <c:pt idx="6">
                  <c:v>0.95489999999999997</c:v>
                </c:pt>
                <c:pt idx="7">
                  <c:v>0.96660000000000001</c:v>
                </c:pt>
                <c:pt idx="8">
                  <c:v>0.97109999999999996</c:v>
                </c:pt>
                <c:pt idx="9">
                  <c:v>0.97609999999999997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942720"/>
        <c:axId val="92944640"/>
      </c:lineChart>
      <c:catAx>
        <c:axId val="92942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92944640"/>
        <c:crossesAt val="0"/>
        <c:auto val="1"/>
        <c:lblAlgn val="ctr"/>
        <c:lblOffset val="100"/>
        <c:noMultiLvlLbl val="0"/>
      </c:catAx>
      <c:valAx>
        <c:axId val="92944640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92942720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04D78-9F1C-48B3-8166-02BC35D2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91F09E2D.dotm</Template>
  <TotalTime>93</TotalTime>
  <Pages>5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207</cp:revision>
  <dcterms:created xsi:type="dcterms:W3CDTF">2013-09-25T15:32:00Z</dcterms:created>
  <dcterms:modified xsi:type="dcterms:W3CDTF">2013-09-26T01:26:00Z</dcterms:modified>
</cp:coreProperties>
</file>