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922E6" w14:textId="6B80689E" w:rsidR="00172B48" w:rsidRDefault="00B945AF" w:rsidP="00793E92">
      <w:pPr>
        <w:pStyle w:val="Heading1"/>
      </w:pPr>
      <w:r>
        <w:t>Straightforward</w:t>
      </w:r>
      <w:r w:rsidR="001E5BB3">
        <w:t xml:space="preserve"> price difference</w:t>
      </w:r>
    </w:p>
    <w:p w14:paraId="401F4231" w14:textId="0775AA21" w:rsidR="001E5BB3" w:rsidRDefault="001E5B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studying price differences, one intuitive subject is the straightforward difference </w:t>
      </w:r>
      <w:r w:rsidR="00C91167">
        <w:rPr>
          <w:rFonts w:ascii="Courier New" w:hAnsi="Courier New" w:cs="Courier New"/>
        </w:rPr>
        <w:t>between</w:t>
      </w:r>
      <w:r>
        <w:rPr>
          <w:rFonts w:ascii="Courier New" w:hAnsi="Courier New" w:cs="Courier New"/>
        </w:rPr>
        <w:t xml:space="preserve"> the prices or the log value of the prices. Following this idea, we first investigate the difference from the raw prices or their log values</w:t>
      </w:r>
      <w:r w:rsidR="00DE67C4">
        <w:rPr>
          <w:rFonts w:ascii="Courier New" w:hAnsi="Courier New" w:cs="Courier New"/>
        </w:rPr>
        <w:t xml:space="preserve">. </w:t>
      </w:r>
      <w:r w:rsidR="00C06DE1">
        <w:rPr>
          <w:rFonts w:ascii="Courier New" w:hAnsi="Courier New" w:cs="Courier New"/>
        </w:rPr>
        <w:t xml:space="preserve">Denote </w:t>
      </w:r>
      <m:oMath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r>
              <w:rPr>
                <w:rFonts w:ascii="Cambria Math" w:hAnsi="Cambria Math" w:cs="Courier New"/>
              </w:rPr>
              <m:t>P</m:t>
            </m:r>
          </m:e>
          <m:sub>
            <m:r>
              <w:rPr>
                <w:rFonts w:ascii="Cambria Math" w:hAnsi="Cambria Math" w:cs="Courier New"/>
              </w:rPr>
              <m:t>i,t</m:t>
            </m:r>
          </m:sub>
          <m:sup>
            <m:r>
              <w:rPr>
                <w:rFonts w:ascii="Cambria Math" w:hAnsi="Cambria Math" w:cs="Courier New"/>
              </w:rPr>
              <m:t>(A)</m:t>
            </m:r>
          </m:sup>
        </m:sSubSup>
      </m:oMath>
      <w:r w:rsidR="00C06DE1">
        <w:rPr>
          <w:rFonts w:ascii="Courier New" w:hAnsi="Courier New" w:cs="Courier New"/>
        </w:rPr>
        <w:t xml:space="preserve"> and </w:t>
      </w:r>
      <m:oMath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r>
              <w:rPr>
                <w:rFonts w:ascii="Cambria Math" w:hAnsi="Cambria Math" w:cs="Courier New"/>
              </w:rPr>
              <m:t>P</m:t>
            </m:r>
          </m:e>
          <m:sub>
            <m:r>
              <w:rPr>
                <w:rFonts w:ascii="Cambria Math" w:hAnsi="Cambria Math" w:cs="Courier New"/>
              </w:rPr>
              <m:t>i,t</m:t>
            </m:r>
          </m:sub>
          <m:sup>
            <m:r>
              <w:rPr>
                <w:rFonts w:ascii="Cambria Math" w:hAnsi="Cambria Math" w:cs="Courier New"/>
              </w:rPr>
              <m:t>(H)</m:t>
            </m:r>
          </m:sup>
        </m:sSubSup>
      </m:oMath>
      <w:r w:rsidR="00C06DE1">
        <w:rPr>
          <w:rFonts w:ascii="Courier New" w:hAnsi="Courier New" w:cs="Courier New"/>
        </w:rPr>
        <w:t xml:space="preserve"> to be the (foreign exchange adjusted) A- and H- price of the </w:t>
      </w:r>
      <w:proofErr w:type="spellStart"/>
      <w:r w:rsidR="00C06DE1">
        <w:rPr>
          <w:rFonts w:ascii="Courier New" w:hAnsi="Courier New" w:cs="Courier New"/>
        </w:rPr>
        <w:t>i-th</w:t>
      </w:r>
      <w:proofErr w:type="spellEnd"/>
      <w:r w:rsidR="00C06DE1">
        <w:rPr>
          <w:rFonts w:ascii="Courier New" w:hAnsi="Courier New" w:cs="Courier New"/>
        </w:rPr>
        <w:t xml:space="preserve"> stock at time t. And d</w:t>
      </w:r>
      <w:r w:rsidR="00DE67C4">
        <w:rPr>
          <w:rFonts w:ascii="Courier New" w:hAnsi="Courier New" w:cs="Courier New"/>
        </w:rPr>
        <w:t>efine</w:t>
      </w:r>
    </w:p>
    <w:p w14:paraId="3BDC1DB1" w14:textId="12785ED5" w:rsidR="00DE67C4" w:rsidRPr="00C06DE1" w:rsidRDefault="00DE67C4" w:rsidP="00C06DE1">
      <w:pPr>
        <w:jc w:val="distribute"/>
        <w:rPr>
          <w:rFonts w:ascii="Courier New" w:hAnsi="Courier New" w:cs="Courier New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</w:rPr>
            <m:t>∆</m:t>
          </m:r>
          <m:sSub>
            <m:sSubPr>
              <m:ctrlPr>
                <w:rPr>
                  <w:rFonts w:ascii="Cambria Math" w:hAnsi="Cambria Math" w:cs="Courier New"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P</m:t>
              </m:r>
            </m:e>
            <m:sub>
              <m:r>
                <w:rPr>
                  <w:rFonts w:ascii="Cambria Math" w:hAnsi="Cambria Math" w:cs="Courier New"/>
                </w:rPr>
                <m:t>i, t</m:t>
              </m:r>
            </m:sub>
          </m:sSub>
          <m:r>
            <w:rPr>
              <w:rFonts w:ascii="Cambria Math" w:hAnsi="Cambria Math" w:cs="Courier New"/>
            </w:rPr>
            <m:t>=</m:t>
          </m:r>
          <m:sSubSup>
            <m:sSubSupPr>
              <m:ctrlPr>
                <w:rPr>
                  <w:rFonts w:ascii="Cambria Math" w:hAnsi="Cambria Math" w:cs="Courier New"/>
                  <w:i/>
                </w:rPr>
              </m:ctrlPr>
            </m:sSubSupPr>
            <m:e>
              <m:r>
                <w:rPr>
                  <w:rFonts w:ascii="Cambria Math" w:hAnsi="Cambria Math" w:cs="Courier New"/>
                </w:rPr>
                <m:t>P</m:t>
              </m:r>
            </m:e>
            <m:sub>
              <m:r>
                <w:rPr>
                  <w:rFonts w:ascii="Cambria Math" w:hAnsi="Cambria Math" w:cs="Courier New"/>
                </w:rPr>
                <m:t>i,t</m:t>
              </m:r>
            </m:sub>
            <m:sup>
              <m:r>
                <w:rPr>
                  <w:rFonts w:ascii="Cambria Math" w:hAnsi="Cambria Math" w:cs="Courier New"/>
                </w:rPr>
                <m:t>(A)</m:t>
              </m:r>
            </m:sup>
          </m:sSubSup>
          <m:r>
            <w:rPr>
              <w:rFonts w:ascii="Cambria Math" w:hAnsi="Cambria Math" w:cs="Courier New"/>
            </w:rPr>
            <m:t>-</m:t>
          </m:r>
          <m:sSubSup>
            <m:sSubSupPr>
              <m:ctrlPr>
                <w:rPr>
                  <w:rFonts w:ascii="Cambria Math" w:hAnsi="Cambria Math" w:cs="Courier New"/>
                  <w:i/>
                </w:rPr>
              </m:ctrlPr>
            </m:sSubSupPr>
            <m:e>
              <m:r>
                <w:rPr>
                  <w:rFonts w:ascii="Cambria Math" w:hAnsi="Cambria Math" w:cs="Courier New"/>
                </w:rPr>
                <m:t>P</m:t>
              </m:r>
            </m:e>
            <m:sub>
              <m:r>
                <w:rPr>
                  <w:rFonts w:ascii="Cambria Math" w:hAnsi="Cambria Math" w:cs="Courier New"/>
                </w:rPr>
                <m:t>i,t</m:t>
              </m:r>
            </m:sub>
            <m:sup>
              <m:r>
                <w:rPr>
                  <w:rFonts w:ascii="Cambria Math" w:hAnsi="Cambria Math" w:cs="Courier New"/>
                </w:rPr>
                <m:t>(H)</m:t>
              </m:r>
            </m:sup>
          </m:sSubSup>
        </m:oMath>
      </m:oMathPara>
    </w:p>
    <w:p w14:paraId="2EDAD484" w14:textId="4D3C6576" w:rsidR="00C06DE1" w:rsidRPr="00C06DE1" w:rsidRDefault="00933B77" w:rsidP="00C06DE1">
      <w:pPr>
        <w:jc w:val="distribute"/>
        <w:rPr>
          <w:rFonts w:ascii="Courier New" w:hAnsi="Courier New" w:cs="Courier New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</w:rPr>
              </m:ctrlPr>
            </m:sSubSupPr>
            <m:e>
              <m:r>
                <w:rPr>
                  <w:rFonts w:ascii="Cambria Math" w:hAnsi="Cambria Math" w:cs="Courier New"/>
                </w:rPr>
                <m:t>p</m:t>
              </m:r>
            </m:e>
            <m:sub>
              <m:r>
                <w:rPr>
                  <w:rFonts w:ascii="Cambria Math" w:hAnsi="Cambria Math" w:cs="Courier New"/>
                </w:rPr>
                <m:t>i,t</m:t>
              </m:r>
            </m:sub>
            <m:sup>
              <m:r>
                <w:rPr>
                  <w:rFonts w:ascii="Cambria Math" w:hAnsi="Cambria Math" w:cs="Courier New"/>
                </w:rPr>
                <m:t>(A)</m:t>
              </m:r>
            </m:sup>
          </m:sSubSup>
          <m:r>
            <w:rPr>
              <w:rFonts w:ascii="Cambria Math" w:hAnsi="Cambria Math" w:cs="Courier New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 w:cs="Courier New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i,t</m:t>
                  </m:r>
                </m:sub>
                <m:sup>
                  <m:r>
                    <w:rPr>
                      <w:rFonts w:ascii="Cambria Math" w:hAnsi="Cambria Math" w:cs="Courier New"/>
                    </w:rPr>
                    <m:t>(A)</m:t>
                  </m:r>
                </m:sup>
              </m:sSubSup>
            </m:e>
          </m:func>
          <m:r>
            <w:rPr>
              <w:rFonts w:ascii="Cambria Math" w:hAnsi="Cambria Math" w:cs="Courier New"/>
            </w:rPr>
            <m:t xml:space="preserve">, </m:t>
          </m:r>
          <m:sSubSup>
            <m:sSubSupPr>
              <m:ctrlPr>
                <w:rPr>
                  <w:rFonts w:ascii="Cambria Math" w:hAnsi="Cambria Math" w:cs="Courier New"/>
                  <w:i/>
                </w:rPr>
              </m:ctrlPr>
            </m:sSubSupPr>
            <m:e>
              <m:r>
                <w:rPr>
                  <w:rFonts w:ascii="Cambria Math" w:hAnsi="Cambria Math" w:cs="Courier New"/>
                </w:rPr>
                <m:t>p</m:t>
              </m:r>
            </m:e>
            <m:sub>
              <m:r>
                <w:rPr>
                  <w:rFonts w:ascii="Cambria Math" w:hAnsi="Cambria Math" w:cs="Courier New"/>
                </w:rPr>
                <m:t>i,t</m:t>
              </m:r>
            </m:sub>
            <m:sup>
              <m:r>
                <w:rPr>
                  <w:rFonts w:ascii="Cambria Math" w:hAnsi="Cambria Math" w:cs="Courier New"/>
                </w:rPr>
                <m:t>(H)</m:t>
              </m:r>
            </m:sup>
          </m:sSubSup>
          <m:r>
            <w:rPr>
              <w:rFonts w:ascii="Cambria Math" w:hAnsi="Cambria Math" w:cs="Courier New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 w:cs="Courier New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i,t</m:t>
                  </m:r>
                </m:sub>
                <m:sup>
                  <m:r>
                    <w:rPr>
                      <w:rFonts w:ascii="Cambria Math" w:hAnsi="Cambria Math" w:cs="Courier New"/>
                    </w:rPr>
                    <m:t>(H)</m:t>
                  </m:r>
                </m:sup>
              </m:sSubSup>
            </m:e>
          </m:func>
        </m:oMath>
      </m:oMathPara>
    </w:p>
    <w:p w14:paraId="672D0992" w14:textId="7B188AC9" w:rsidR="00C06DE1" w:rsidRPr="00C06DE1" w:rsidRDefault="00C06DE1" w:rsidP="00C06DE1">
      <w:pPr>
        <w:jc w:val="distribute"/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>∆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p</m:t>
              </m:r>
            </m:e>
            <m:sub>
              <m:r>
                <w:rPr>
                  <w:rFonts w:ascii="Cambria Math" w:hAnsi="Cambria Math" w:cs="Courier New"/>
                </w:rPr>
                <m:t>i,t</m:t>
              </m:r>
            </m:sub>
          </m:sSub>
          <m:r>
            <w:rPr>
              <w:rFonts w:ascii="Cambria Math" w:hAnsi="Cambria Math" w:cs="Courier New"/>
            </w:rPr>
            <m:t>=</m:t>
          </m:r>
          <m:sSubSup>
            <m:sSubSupPr>
              <m:ctrlPr>
                <w:rPr>
                  <w:rFonts w:ascii="Cambria Math" w:hAnsi="Cambria Math" w:cs="Courier New"/>
                  <w:i/>
                </w:rPr>
              </m:ctrlPr>
            </m:sSubSupPr>
            <m:e>
              <m:r>
                <w:rPr>
                  <w:rFonts w:ascii="Cambria Math" w:hAnsi="Cambria Math" w:cs="Courier New"/>
                </w:rPr>
                <m:t>p</m:t>
              </m:r>
            </m:e>
            <m:sub>
              <m:r>
                <w:rPr>
                  <w:rFonts w:ascii="Cambria Math" w:hAnsi="Cambria Math" w:cs="Courier New"/>
                </w:rPr>
                <m:t>i,t</m:t>
              </m:r>
            </m:sub>
            <m:sup>
              <m:r>
                <w:rPr>
                  <w:rFonts w:ascii="Cambria Math" w:hAnsi="Cambria Math" w:cs="Courier New"/>
                </w:rPr>
                <m:t>(A)</m:t>
              </m:r>
            </m:sup>
          </m:sSubSup>
          <m:r>
            <w:rPr>
              <w:rFonts w:ascii="Cambria Math" w:hAnsi="Cambria Math" w:cs="Courier New"/>
            </w:rPr>
            <m:t>-</m:t>
          </m:r>
          <m:sSubSup>
            <m:sSubSupPr>
              <m:ctrlPr>
                <w:rPr>
                  <w:rFonts w:ascii="Cambria Math" w:hAnsi="Cambria Math" w:cs="Courier New"/>
                  <w:i/>
                </w:rPr>
              </m:ctrlPr>
            </m:sSubSupPr>
            <m:e>
              <m:r>
                <w:rPr>
                  <w:rFonts w:ascii="Cambria Math" w:hAnsi="Cambria Math" w:cs="Courier New"/>
                </w:rPr>
                <m:t>p</m:t>
              </m:r>
            </m:e>
            <m:sub>
              <m:r>
                <w:rPr>
                  <w:rFonts w:ascii="Cambria Math" w:hAnsi="Cambria Math" w:cs="Courier New"/>
                </w:rPr>
                <m:t>i,t</m:t>
              </m:r>
            </m:sub>
            <m:sup>
              <m:r>
                <w:rPr>
                  <w:rFonts w:ascii="Cambria Math" w:hAnsi="Cambria Math" w:cs="Courier New"/>
                </w:rPr>
                <m:t>(H)</m:t>
              </m:r>
            </m:sup>
          </m:sSubSup>
        </m:oMath>
      </m:oMathPara>
    </w:p>
    <w:p w14:paraId="7C6AE689" w14:textId="383A6BC9" w:rsidR="00C06DE1" w:rsidRDefault="00C06DE1" w:rsidP="00C06DE1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the absolute price difference, log price and log price difference, respectively.</w:t>
      </w:r>
    </w:p>
    <w:p w14:paraId="3445D78F" w14:textId="54853759" w:rsidR="00B945AF" w:rsidRDefault="00B945AF" w:rsidP="00060C84">
      <w:pPr>
        <w:pStyle w:val="Heading2"/>
      </w:pPr>
      <w:r>
        <w:t>Difference of raw price</w:t>
      </w:r>
    </w:p>
    <w:p w14:paraId="1E1764F2" w14:textId="2887BF82" w:rsidR="00C06DE1" w:rsidRDefault="00C06DE1" w:rsidP="00C06DE1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looking into the ACFs of </w:t>
      </w:r>
      <m:oMath>
        <m:r>
          <m:rPr>
            <m:sty m:val="p"/>
          </m:rPr>
          <w:rPr>
            <w:rFonts w:ascii="Cambria Math" w:hAnsi="Cambria Math" w:cs="Courier New"/>
          </w:rPr>
          <m:t>∆</m:t>
        </m:r>
        <m:sSub>
          <m:sSubPr>
            <m:ctrlPr>
              <w:rPr>
                <w:rFonts w:ascii="Cambria Math" w:hAnsi="Cambria Math" w:cs="Courier New"/>
              </w:rPr>
            </m:ctrlPr>
          </m:sSubPr>
          <m:e>
            <m:r>
              <w:rPr>
                <w:rFonts w:ascii="Cambria Math" w:hAnsi="Cambria Math" w:cs="Courier New"/>
              </w:rPr>
              <m:t>P</m:t>
            </m:r>
          </m:e>
          <m:sub>
            <m:r>
              <w:rPr>
                <w:rFonts w:ascii="Cambria Math" w:hAnsi="Cambria Math" w:cs="Courier New"/>
              </w:rPr>
              <m:t>i, t</m:t>
            </m:r>
          </m:sub>
        </m:sSub>
      </m:oMath>
      <w:r>
        <w:rPr>
          <w:rFonts w:ascii="Courier New" w:hAnsi="Courier New" w:cs="Courier New"/>
        </w:rPr>
        <w:t xml:space="preserve"> of all the stocks, we find a very strong serial correlation. For instance, the ACF plot</w:t>
      </w:r>
      <w:r w:rsidR="00BB3EA0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of </w:t>
      </w:r>
      <w:r w:rsidR="002848A6">
        <w:rPr>
          <w:rFonts w:ascii="Courier New" w:hAnsi="Courier New" w:cs="Courier New"/>
        </w:rPr>
        <w:t xml:space="preserve">China Construction Bank (A: </w:t>
      </w:r>
      <w:r w:rsidR="002848A6" w:rsidRPr="002848A6">
        <w:rPr>
          <w:rFonts w:ascii="Courier New" w:hAnsi="Courier New" w:cs="Courier New"/>
        </w:rPr>
        <w:t>601939.SH</w:t>
      </w:r>
      <w:r w:rsidR="002848A6">
        <w:rPr>
          <w:rFonts w:ascii="Courier New" w:hAnsi="Courier New" w:cs="Courier New"/>
        </w:rPr>
        <w:t xml:space="preserve">, H: </w:t>
      </w:r>
      <w:r w:rsidR="002848A6" w:rsidRPr="002848A6">
        <w:rPr>
          <w:rFonts w:ascii="Courier New" w:hAnsi="Courier New" w:cs="Courier New"/>
        </w:rPr>
        <w:t>00939.HK</w:t>
      </w:r>
      <w:r w:rsidR="00BB3EA0">
        <w:rPr>
          <w:rFonts w:ascii="Courier New" w:hAnsi="Courier New" w:cs="Courier New"/>
        </w:rPr>
        <w:t>, Sector: Banking</w:t>
      </w:r>
      <w:r w:rsidR="002848A6">
        <w:rPr>
          <w:rFonts w:ascii="Courier New" w:hAnsi="Courier New" w:cs="Courier New"/>
        </w:rPr>
        <w:t>)</w:t>
      </w:r>
      <w:r w:rsidR="00BB3EA0">
        <w:rPr>
          <w:rFonts w:ascii="Courier New" w:hAnsi="Courier New" w:cs="Courier New"/>
        </w:rPr>
        <w:t xml:space="preserve"> and China Life (H: </w:t>
      </w:r>
      <w:r w:rsidR="00BB3EA0" w:rsidRPr="00BB3EA0">
        <w:rPr>
          <w:rFonts w:ascii="Courier New" w:hAnsi="Courier New" w:cs="Courier New"/>
        </w:rPr>
        <w:t>02628.HK</w:t>
      </w:r>
      <w:r w:rsidR="00BB3EA0">
        <w:rPr>
          <w:rFonts w:ascii="Courier New" w:hAnsi="Courier New" w:cs="Courier New"/>
        </w:rPr>
        <w:t xml:space="preserve">, A: </w:t>
      </w:r>
      <w:r w:rsidR="00BB3EA0" w:rsidRPr="00BB3EA0">
        <w:rPr>
          <w:rFonts w:ascii="Courier New" w:hAnsi="Courier New" w:cs="Courier New"/>
        </w:rPr>
        <w:t>601628.SH</w:t>
      </w:r>
      <w:r w:rsidR="00BB3EA0">
        <w:rPr>
          <w:rFonts w:ascii="Courier New" w:hAnsi="Courier New" w:cs="Courier New"/>
        </w:rPr>
        <w:t>, Sector: Insurance) are as follows with lag 20 (monthly lag).</w:t>
      </w:r>
    </w:p>
    <w:p w14:paraId="45D2F7E3" w14:textId="62C38A84" w:rsidR="00BB3EA0" w:rsidRDefault="00BB3EA0" w:rsidP="00C06DE1">
      <w:pPr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51E0647" wp14:editId="2A358888">
            <wp:extent cx="5274310" cy="3939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E43D" w14:textId="3C76E7EE" w:rsidR="00BB3EA0" w:rsidRDefault="00BB3EA0" w:rsidP="00C06DE1">
      <w:pPr>
        <w:jc w:val="lef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38AC62A3" wp14:editId="2DD4FA34">
            <wp:extent cx="5274310" cy="3939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370A" w14:textId="6FFD47FB" w:rsidR="0066683F" w:rsidRDefault="0066683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Difference of log price</w:t>
      </w:r>
    </w:p>
    <w:p w14:paraId="05242F70" w14:textId="2F0338CD" w:rsidR="00C91167" w:rsidRDefault="0066683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Given the strong serial correlation of </w:t>
      </w:r>
      <m:oMath>
        <m:r>
          <m:rPr>
            <m:sty m:val="p"/>
          </m:rPr>
          <w:rPr>
            <w:rFonts w:ascii="Cambria Math" w:hAnsi="Cambria Math" w:cs="Courier New"/>
          </w:rPr>
          <m:t>∆</m:t>
        </m:r>
        <m:sSub>
          <m:sSubPr>
            <m:ctrlPr>
              <w:rPr>
                <w:rFonts w:ascii="Cambria Math" w:hAnsi="Cambria Math" w:cs="Courier New"/>
              </w:rPr>
            </m:ctrlPr>
          </m:sSubPr>
          <m:e>
            <m:r>
              <w:rPr>
                <w:rFonts w:ascii="Cambria Math" w:hAnsi="Cambria Math" w:cs="Courier New"/>
              </w:rPr>
              <m:t>P</m:t>
            </m:r>
          </m:e>
          <m:sub>
            <m:r>
              <w:rPr>
                <w:rFonts w:ascii="Cambria Math" w:hAnsi="Cambria Math" w:cs="Courier New"/>
              </w:rPr>
              <m:t>i, t</m:t>
            </m:r>
          </m:sub>
        </m:sSub>
      </m:oMath>
      <w:r>
        <w:rPr>
          <w:rFonts w:ascii="Courier New" w:hAnsi="Courier New" w:cs="Courier New"/>
        </w:rPr>
        <w:t>,</w:t>
      </w:r>
      <w:r w:rsidR="006A4239">
        <w:rPr>
          <w:rFonts w:ascii="Courier New" w:hAnsi="Courier New" w:cs="Courier New"/>
        </w:rPr>
        <w:t xml:space="preserve"> we turn to </w:t>
      </w:r>
      <w:r w:rsidR="00060C84">
        <w:rPr>
          <w:rFonts w:ascii="Courier New" w:hAnsi="Courier New" w:cs="Courier New"/>
        </w:rPr>
        <w:t xml:space="preserve">study the ACF of </w:t>
      </w:r>
      <m:oMath>
        <m:r>
          <w:rPr>
            <w:rFonts w:ascii="Cambria Math" w:hAnsi="Cambria Math" w:cs="Courier New"/>
          </w:rPr>
          <m:t>∆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p</m:t>
            </m:r>
          </m:e>
          <m:sub>
            <m:r>
              <w:rPr>
                <w:rFonts w:ascii="Cambria Math" w:hAnsi="Cambria Math" w:cs="Courier New"/>
              </w:rPr>
              <m:t>i,t</m:t>
            </m:r>
          </m:sub>
        </m:sSub>
      </m:oMath>
      <w:r>
        <w:rPr>
          <w:rFonts w:ascii="Courier New" w:hAnsi="Courier New" w:cs="Courier New"/>
        </w:rPr>
        <w:t>.</w:t>
      </w:r>
      <w:r w:rsidR="0062243B">
        <w:rPr>
          <w:rFonts w:ascii="Courier New" w:hAnsi="Courier New" w:cs="Courier New"/>
        </w:rPr>
        <w:t xml:space="preserve"> Strong serial correlation can also be observed for all the stock pairs. Again, taking China Life and China Construction Bank as examples,</w:t>
      </w:r>
    </w:p>
    <w:p w14:paraId="29A6EA63" w14:textId="72682729" w:rsidR="0062243B" w:rsidRDefault="0062243B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10A0A36" wp14:editId="6A163E7D">
            <wp:extent cx="5274310" cy="31286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435C" w14:textId="523D7291" w:rsidR="0062243B" w:rsidRDefault="0062243B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34A293F" wp14:editId="7B644F27">
            <wp:extent cx="5274310" cy="31286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17FE" w14:textId="1BB61F2E" w:rsidR="0062243B" w:rsidRDefault="0062243B" w:rsidP="00CE7AA2">
      <w:pPr>
        <w:pStyle w:val="Heading3"/>
      </w:pPr>
      <w:r>
        <w:t>First</w:t>
      </w:r>
      <w:r w:rsidR="00B41912">
        <w:t xml:space="preserve">-order and Lag-1 </w:t>
      </w:r>
      <w:r>
        <w:t xml:space="preserve">Differenced Series of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</m:oMath>
    </w:p>
    <w:p w14:paraId="3E15E915" w14:textId="31F41842" w:rsidR="00CE7AA2" w:rsidRDefault="00CE7A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Considering the high series correlation of direct analysis of price difference and log price difference, we try to check the first</w:t>
      </w:r>
      <w:r w:rsidR="00154F08">
        <w:rPr>
          <w:rFonts w:ascii="Courier New" w:hAnsi="Courier New" w:cs="Courier New"/>
        </w:rPr>
        <w:t>-order and lag-1</w:t>
      </w:r>
      <w:r>
        <w:rPr>
          <w:rFonts w:ascii="Courier New" w:hAnsi="Courier New" w:cs="Courier New"/>
        </w:rPr>
        <w:t xml:space="preserve"> differenced series of the log price difference, i.e.</w:t>
      </w:r>
    </w:p>
    <w:p w14:paraId="7E95A5C4" w14:textId="20D8E5D4" w:rsidR="00CE7AA2" w:rsidRPr="00CE7AA2" w:rsidRDefault="00CE7AA2">
      <w:pPr>
        <w:rPr>
          <w:rFonts w:ascii="Courier New" w:hAnsi="Courier New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∆</m:t>
              </m:r>
            </m:e>
            <m:sub>
              <m:r>
                <w:rPr>
                  <w:rFonts w:ascii="Cambria Math" w:hAnsi="Cambria Math" w:cs="Courier New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</m:sSub>
            </m:e>
          </m:d>
          <m:r>
            <w:rPr>
              <w:rFonts w:ascii="Cambria Math" w:hAnsi="Cambria Math" w:cs="Courier New"/>
            </w:rPr>
            <m:t>=</m:t>
          </m:r>
          <m:r>
            <w:rPr>
              <w:rFonts w:ascii="Cambria Math" w:hAnsi="Cambria Math" w:cs="Courier New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cs="Courier New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i,t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=(1-B)</m:t>
          </m:r>
          <m:r>
            <w:rPr>
              <w:rFonts w:ascii="Cambria Math" w:hAnsi="Cambria Math" w:cs="Courier New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</m:oMath>
      </m:oMathPara>
    </w:p>
    <w:p w14:paraId="3BF5C165" w14:textId="77777777" w:rsidR="00CE7AA2" w:rsidRPr="001E5BB3" w:rsidRDefault="00CE7AA2">
      <w:pPr>
        <w:rPr>
          <w:rFonts w:ascii="Courier New" w:hAnsi="Courier New" w:cs="Courier New"/>
        </w:rPr>
      </w:pPr>
      <w:bookmarkStart w:id="0" w:name="_GoBack"/>
      <w:bookmarkEnd w:id="0"/>
    </w:p>
    <w:sectPr w:rsidR="00CE7AA2" w:rsidRPr="001E5BB3" w:rsidSect="0020032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14"/>
    <w:rsid w:val="00060C84"/>
    <w:rsid w:val="00154F08"/>
    <w:rsid w:val="00172B48"/>
    <w:rsid w:val="001E5BB3"/>
    <w:rsid w:val="0020032A"/>
    <w:rsid w:val="002848A6"/>
    <w:rsid w:val="0062243B"/>
    <w:rsid w:val="0066683F"/>
    <w:rsid w:val="006A4239"/>
    <w:rsid w:val="00793E92"/>
    <w:rsid w:val="008C1A14"/>
    <w:rsid w:val="00933B77"/>
    <w:rsid w:val="00B41912"/>
    <w:rsid w:val="00B945AF"/>
    <w:rsid w:val="00BA4672"/>
    <w:rsid w:val="00BB3EA0"/>
    <w:rsid w:val="00BF1D57"/>
    <w:rsid w:val="00C06DE1"/>
    <w:rsid w:val="00C91167"/>
    <w:rsid w:val="00CE7AA2"/>
    <w:rsid w:val="00DE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CCFA"/>
  <w15:chartTrackingRefBased/>
  <w15:docId w15:val="{B2F9C29D-FAF9-46BA-94CA-0F5EDEFC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3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67C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93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E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93E92"/>
    <w:pPr>
      <w:widowControl w:val="0"/>
      <w:spacing w:after="0" w:line="240" w:lineRule="auto"/>
      <w:jc w:val="both"/>
    </w:pPr>
  </w:style>
  <w:style w:type="character" w:customStyle="1" w:styleId="Heading3Char">
    <w:name w:val="Heading 3 Char"/>
    <w:basedOn w:val="DefaultParagraphFont"/>
    <w:link w:val="Heading3"/>
    <w:uiPriority w:val="9"/>
    <w:rsid w:val="00CE7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7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Jiao</dc:creator>
  <cp:keywords/>
  <dc:description/>
  <cp:lastModifiedBy>Wenchao Hu</cp:lastModifiedBy>
  <cp:revision>9</cp:revision>
  <dcterms:created xsi:type="dcterms:W3CDTF">2019-05-12T02:11:00Z</dcterms:created>
  <dcterms:modified xsi:type="dcterms:W3CDTF">2019-05-12T12:52:00Z</dcterms:modified>
</cp:coreProperties>
</file>