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40A58" w14:textId="566DD34E" w:rsidR="0054036A" w:rsidRPr="00BF73AF" w:rsidRDefault="009341B3" w:rsidP="009341B3">
      <w:pPr>
        <w:pStyle w:val="a3"/>
        <w:numPr>
          <w:ilvl w:val="0"/>
          <w:numId w:val="1"/>
        </w:numPr>
        <w:ind w:firstLineChars="0"/>
        <w:rPr>
          <w:rFonts w:ascii="黑体" w:eastAsia="黑体" w:hAnsi="黑体"/>
        </w:rPr>
      </w:pPr>
      <w:r w:rsidRPr="00BF73AF">
        <w:rPr>
          <w:rFonts w:ascii="黑体" w:eastAsia="黑体" w:hAnsi="黑体" w:hint="eastAsia"/>
        </w:rPr>
        <w:t>在机械生产过程中，每发生330起意外事件，有300起未造成人员伤害，29起造成人员轻微伤害，1起导致重伤或死亡，即严重伤害、轻微伤害和没有伤害的事故件数之比为1:29:300，这称为海因里希法则</w:t>
      </w:r>
    </w:p>
    <w:p w14:paraId="3E8BF71E" w14:textId="41F606BE" w:rsidR="009341B3" w:rsidRPr="00BF73AF" w:rsidRDefault="009341B3" w:rsidP="009341B3">
      <w:pPr>
        <w:pStyle w:val="a3"/>
        <w:numPr>
          <w:ilvl w:val="0"/>
          <w:numId w:val="1"/>
        </w:numPr>
        <w:ind w:firstLineChars="0"/>
        <w:rPr>
          <w:rFonts w:ascii="黑体" w:eastAsia="黑体" w:hAnsi="黑体"/>
        </w:rPr>
      </w:pPr>
      <w:r w:rsidRPr="00BF73AF">
        <w:rPr>
          <w:rFonts w:ascii="黑体" w:eastAsia="黑体" w:hAnsi="黑体" w:hint="eastAsia"/>
        </w:rPr>
        <w:t>危险与可操作性分析（HAZOP）： HAZOP 方法是一种用于辨识工艺设计缺陷、工艺过程危险及操作性问题的定性分析方法，包括：辨识潜在的偏离设计目的的偏差，分析其可能的原因并评估相应的后果。</w:t>
      </w:r>
    </w:p>
    <w:p w14:paraId="1089F03B" w14:textId="5CE358FE" w:rsidR="009341B3" w:rsidRPr="00BF73AF" w:rsidRDefault="009341B3" w:rsidP="009341B3">
      <w:pPr>
        <w:pStyle w:val="a3"/>
        <w:numPr>
          <w:ilvl w:val="0"/>
          <w:numId w:val="1"/>
        </w:numPr>
        <w:ind w:firstLineChars="0"/>
        <w:rPr>
          <w:rFonts w:ascii="黑体" w:eastAsia="黑体" w:hAnsi="黑体"/>
        </w:rPr>
      </w:pPr>
      <w:r w:rsidRPr="00BF73AF">
        <w:rPr>
          <w:rFonts w:ascii="黑体" w:eastAsia="黑体" w:hAnsi="黑体" w:hint="eastAsia"/>
        </w:rPr>
        <w:t>安全评价类型：安全预评价，安全验收评价，安全现状评价，危险化学品建设项目设立安全评价和建设项目安全设施竣工验收评价</w:t>
      </w:r>
    </w:p>
    <w:p w14:paraId="170BE17A" w14:textId="77777777" w:rsidR="009341B3" w:rsidRPr="00BF73AF" w:rsidRDefault="009341B3" w:rsidP="009341B3">
      <w:pPr>
        <w:pStyle w:val="a3"/>
        <w:numPr>
          <w:ilvl w:val="0"/>
          <w:numId w:val="1"/>
        </w:numPr>
        <w:ind w:firstLineChars="0"/>
        <w:rPr>
          <w:rFonts w:ascii="黑体" w:eastAsia="黑体" w:hAnsi="黑体"/>
        </w:rPr>
      </w:pPr>
      <w:r w:rsidRPr="00BF73AF">
        <w:rPr>
          <w:rFonts w:ascii="黑体" w:eastAsia="黑体" w:hAnsi="黑体" w:hint="eastAsia"/>
        </w:rPr>
        <w:t>填料密封：填料作密封件的密封。</w:t>
      </w:r>
    </w:p>
    <w:p w14:paraId="6CD90330" w14:textId="24F5722C" w:rsidR="009341B3" w:rsidRPr="00BF73AF" w:rsidRDefault="009341B3" w:rsidP="009341B3">
      <w:pPr>
        <w:numPr>
          <w:ilvl w:val="0"/>
          <w:numId w:val="1"/>
        </w:numPr>
        <w:rPr>
          <w:rFonts w:ascii="黑体" w:eastAsia="黑体" w:hAnsi="黑体"/>
        </w:rPr>
      </w:pPr>
      <w:r w:rsidRPr="009341B3">
        <w:rPr>
          <w:rFonts w:ascii="黑体" w:eastAsia="黑体" w:hAnsi="黑体" w:hint="eastAsia"/>
        </w:rPr>
        <w:t>燃烧三要素</w:t>
      </w:r>
      <w:r w:rsidRPr="00BF73AF">
        <w:rPr>
          <w:rFonts w:ascii="黑体" w:eastAsia="黑体" w:hAnsi="黑体" w:hint="eastAsia"/>
        </w:rPr>
        <w:t>：</w:t>
      </w:r>
      <w:r w:rsidRPr="009341B3">
        <w:rPr>
          <w:rFonts w:ascii="黑体" w:eastAsia="黑体" w:hAnsi="黑体" w:hint="eastAsia"/>
        </w:rPr>
        <w:t>可燃物</w:t>
      </w:r>
      <w:r w:rsidRPr="00BF73AF">
        <w:rPr>
          <w:rFonts w:ascii="黑体" w:eastAsia="黑体" w:hAnsi="黑体" w:hint="eastAsia"/>
        </w:rPr>
        <w:t>，</w:t>
      </w:r>
      <w:r w:rsidRPr="009341B3">
        <w:rPr>
          <w:rFonts w:ascii="黑体" w:eastAsia="黑体" w:hAnsi="黑体" w:hint="eastAsia"/>
        </w:rPr>
        <w:t>助燃物</w:t>
      </w:r>
      <w:r w:rsidRPr="00BF73AF">
        <w:rPr>
          <w:rFonts w:ascii="黑体" w:eastAsia="黑体" w:hAnsi="黑体" w:hint="eastAsia"/>
        </w:rPr>
        <w:t>，</w:t>
      </w:r>
      <w:r w:rsidRPr="009341B3">
        <w:rPr>
          <w:rFonts w:ascii="黑体" w:eastAsia="黑体" w:hAnsi="黑体" w:hint="eastAsia"/>
        </w:rPr>
        <w:t>点火源</w:t>
      </w:r>
    </w:p>
    <w:p w14:paraId="3BE4B1F0" w14:textId="77777777" w:rsidR="009341B3" w:rsidRPr="0032455C" w:rsidRDefault="009341B3" w:rsidP="009341B3">
      <w:pPr>
        <w:numPr>
          <w:ilvl w:val="0"/>
          <w:numId w:val="1"/>
        </w:numPr>
        <w:rPr>
          <w:rFonts w:ascii="黑体" w:eastAsia="黑体" w:hAnsi="黑体" w:hint="eastAsia"/>
          <w:highlight w:val="yellow"/>
        </w:rPr>
      </w:pPr>
      <w:r w:rsidRPr="0032455C">
        <w:rPr>
          <w:rFonts w:ascii="黑体" w:eastAsia="黑体" w:hAnsi="黑体" w:hint="eastAsia"/>
          <w:highlight w:val="yellow"/>
        </w:rPr>
        <w:t>检修作业中安全要求（1～8）</w:t>
      </w:r>
    </w:p>
    <w:p w14:paraId="4F8B1842" w14:textId="5A28F6FD" w:rsidR="009341B3" w:rsidRPr="0032455C" w:rsidRDefault="009341B3" w:rsidP="0032455C">
      <w:pPr>
        <w:pStyle w:val="a3"/>
        <w:numPr>
          <w:ilvl w:val="0"/>
          <w:numId w:val="3"/>
        </w:numPr>
        <w:ind w:firstLineChars="0"/>
        <w:rPr>
          <w:rFonts w:ascii="黑体" w:eastAsia="黑体" w:hAnsi="黑体" w:hint="eastAsia"/>
        </w:rPr>
      </w:pPr>
      <w:r w:rsidRPr="0032455C">
        <w:rPr>
          <w:rFonts w:ascii="黑体" w:eastAsia="黑体" w:hAnsi="黑体" w:hint="eastAsia"/>
        </w:rPr>
        <w:t>检修作业人员应按规定正确佩戴个体防护装备；</w:t>
      </w:r>
    </w:p>
    <w:p w14:paraId="262E6E2D" w14:textId="7098214C" w:rsidR="009341B3" w:rsidRPr="0032455C" w:rsidRDefault="009341B3" w:rsidP="0032455C">
      <w:pPr>
        <w:pStyle w:val="a3"/>
        <w:numPr>
          <w:ilvl w:val="0"/>
          <w:numId w:val="3"/>
        </w:numPr>
        <w:ind w:firstLineChars="0"/>
        <w:rPr>
          <w:rFonts w:ascii="黑体" w:eastAsia="黑体" w:hAnsi="黑体" w:hint="eastAsia"/>
        </w:rPr>
      </w:pPr>
      <w:r w:rsidRPr="0032455C">
        <w:rPr>
          <w:rFonts w:ascii="黑体" w:eastAsia="黑体" w:hAnsi="黑体" w:hint="eastAsia"/>
        </w:rPr>
        <w:t>检修作业人员应遵守本工种安全技术操作规程；</w:t>
      </w:r>
    </w:p>
    <w:p w14:paraId="5E4571CA" w14:textId="17425533" w:rsidR="009341B3" w:rsidRPr="0032455C" w:rsidRDefault="009341B3" w:rsidP="0032455C">
      <w:pPr>
        <w:pStyle w:val="a3"/>
        <w:numPr>
          <w:ilvl w:val="0"/>
          <w:numId w:val="3"/>
        </w:numPr>
        <w:ind w:firstLineChars="0"/>
        <w:rPr>
          <w:rFonts w:ascii="黑体" w:eastAsia="黑体" w:hAnsi="黑体" w:hint="eastAsia"/>
        </w:rPr>
      </w:pPr>
      <w:r w:rsidRPr="0032455C">
        <w:rPr>
          <w:rFonts w:ascii="黑体" w:eastAsia="黑体" w:hAnsi="黑体" w:hint="eastAsia"/>
        </w:rPr>
        <w:t>从事特种作业的检修人员应持有特种作业操作证；</w:t>
      </w:r>
    </w:p>
    <w:p w14:paraId="292B2A20" w14:textId="66CB5147" w:rsidR="009341B3" w:rsidRPr="0032455C" w:rsidRDefault="009341B3" w:rsidP="0032455C">
      <w:pPr>
        <w:pStyle w:val="a3"/>
        <w:numPr>
          <w:ilvl w:val="0"/>
          <w:numId w:val="3"/>
        </w:numPr>
        <w:ind w:firstLineChars="0"/>
        <w:rPr>
          <w:rFonts w:ascii="黑体" w:eastAsia="黑体" w:hAnsi="黑体" w:hint="eastAsia"/>
        </w:rPr>
      </w:pPr>
      <w:r w:rsidRPr="0032455C">
        <w:rPr>
          <w:rFonts w:ascii="黑体" w:eastAsia="黑体" w:hAnsi="黑体" w:hint="eastAsia"/>
        </w:rPr>
        <w:t>多工种、多层次交叉作业时，应统一协调，采取相应的防护措施；</w:t>
      </w:r>
    </w:p>
    <w:p w14:paraId="77FBDBFF" w14:textId="20FA0323" w:rsidR="009341B3" w:rsidRPr="0032455C" w:rsidRDefault="009341B3" w:rsidP="0032455C">
      <w:pPr>
        <w:pStyle w:val="a3"/>
        <w:numPr>
          <w:ilvl w:val="0"/>
          <w:numId w:val="3"/>
        </w:numPr>
        <w:ind w:firstLineChars="0"/>
        <w:rPr>
          <w:rFonts w:ascii="黑体" w:eastAsia="黑体" w:hAnsi="黑体" w:hint="eastAsia"/>
        </w:rPr>
      </w:pPr>
      <w:r w:rsidRPr="0032455C">
        <w:rPr>
          <w:rFonts w:ascii="黑体" w:eastAsia="黑体" w:hAnsi="黑体" w:hint="eastAsia"/>
        </w:rPr>
        <w:t>有放射性物质的检修时，应通知现场有关人员避让，确认好安全防护距离，设置明显警示标志，并设专人监护；</w:t>
      </w:r>
    </w:p>
    <w:p w14:paraId="1433C5B1" w14:textId="3257103C" w:rsidR="009341B3" w:rsidRPr="0032455C" w:rsidRDefault="009341B3" w:rsidP="0032455C">
      <w:pPr>
        <w:pStyle w:val="a3"/>
        <w:numPr>
          <w:ilvl w:val="0"/>
          <w:numId w:val="3"/>
        </w:numPr>
        <w:ind w:firstLineChars="0"/>
        <w:rPr>
          <w:rFonts w:ascii="黑体" w:eastAsia="黑体" w:hAnsi="黑体" w:hint="eastAsia"/>
        </w:rPr>
      </w:pPr>
      <w:r w:rsidRPr="0032455C">
        <w:rPr>
          <w:rFonts w:ascii="黑体" w:eastAsia="黑体" w:hAnsi="黑体" w:hint="eastAsia"/>
        </w:rPr>
        <w:t>夜间及特殊天气的检修作业，应安排专人进行安全监护；</w:t>
      </w:r>
    </w:p>
    <w:p w14:paraId="2133DB1D" w14:textId="288FC451" w:rsidR="009341B3" w:rsidRPr="0032455C" w:rsidRDefault="009341B3" w:rsidP="0032455C">
      <w:pPr>
        <w:pStyle w:val="a3"/>
        <w:numPr>
          <w:ilvl w:val="0"/>
          <w:numId w:val="3"/>
        </w:numPr>
        <w:ind w:firstLineChars="0"/>
        <w:rPr>
          <w:rFonts w:ascii="黑体" w:eastAsia="黑体" w:hAnsi="黑体" w:hint="eastAsia"/>
        </w:rPr>
      </w:pPr>
      <w:r w:rsidRPr="0032455C">
        <w:rPr>
          <w:rFonts w:ascii="黑体" w:eastAsia="黑体" w:hAnsi="黑体" w:hint="eastAsia"/>
        </w:rPr>
        <w:t>当装置出现异常情况可能危及检修人员安全时，应立即通知检修人员停止作业迅速撤离作业场所；经处理，异常情况排除且确认安全后，检修人员方可恢复作业；</w:t>
      </w:r>
    </w:p>
    <w:p w14:paraId="379CF5B1" w14:textId="2E6B2055" w:rsidR="009341B3" w:rsidRPr="0032455C" w:rsidRDefault="009341B3" w:rsidP="0032455C">
      <w:pPr>
        <w:pStyle w:val="a3"/>
        <w:numPr>
          <w:ilvl w:val="0"/>
          <w:numId w:val="3"/>
        </w:numPr>
        <w:ind w:firstLineChars="0"/>
        <w:rPr>
          <w:rFonts w:ascii="黑体" w:eastAsia="黑体" w:hAnsi="黑体"/>
        </w:rPr>
      </w:pPr>
      <w:r w:rsidRPr="0032455C">
        <w:rPr>
          <w:rFonts w:ascii="黑体" w:eastAsia="黑体" w:hAnsi="黑体" w:hint="eastAsia"/>
        </w:rPr>
        <w:t>设备使用方应安排专职安全管理人员对检修过程进行监督。</w:t>
      </w:r>
    </w:p>
    <w:p w14:paraId="1CBE2A02" w14:textId="1AA824FB" w:rsidR="009341B3" w:rsidRPr="00BF73AF" w:rsidRDefault="009341B3" w:rsidP="009341B3">
      <w:pPr>
        <w:pStyle w:val="a3"/>
        <w:numPr>
          <w:ilvl w:val="0"/>
          <w:numId w:val="1"/>
        </w:numPr>
        <w:ind w:firstLineChars="0"/>
        <w:rPr>
          <w:rFonts w:ascii="黑体" w:eastAsia="黑体" w:hAnsi="黑体"/>
        </w:rPr>
      </w:pPr>
      <w:r w:rsidRPr="00BF73AF">
        <w:rPr>
          <w:rFonts w:ascii="黑体" w:eastAsia="黑体" w:hAnsi="黑体" w:hint="eastAsia"/>
        </w:rPr>
        <w:t>动火作业：是指直接或间接产生明火的工艺设备以外的禁火区内可能产生火焰、火花或炽热表面的非常规作业，如使用电焊、气焊（割）、喷灯、电钻、砂轮、喷砂机等进行的作业。</w:t>
      </w:r>
    </w:p>
    <w:p w14:paraId="3BB2275A" w14:textId="778021B6" w:rsidR="009341B3" w:rsidRPr="00BF73AF" w:rsidRDefault="009341B3" w:rsidP="009341B3">
      <w:pPr>
        <w:numPr>
          <w:ilvl w:val="0"/>
          <w:numId w:val="1"/>
        </w:numPr>
        <w:rPr>
          <w:rFonts w:ascii="黑体" w:eastAsia="黑体" w:hAnsi="黑体"/>
        </w:rPr>
      </w:pPr>
      <w:r w:rsidRPr="009341B3">
        <w:rPr>
          <w:rFonts w:ascii="黑体" w:eastAsia="黑体" w:hAnsi="黑体" w:hint="eastAsia"/>
          <w:highlight w:val="yellow"/>
        </w:rPr>
        <w:t>特种设备</w:t>
      </w:r>
      <w:r w:rsidRPr="00BF73AF">
        <w:rPr>
          <w:rFonts w:ascii="黑体" w:eastAsia="黑体" w:hAnsi="黑体" w:hint="eastAsia"/>
        </w:rPr>
        <w:t>：</w:t>
      </w:r>
      <w:r w:rsidRPr="009341B3">
        <w:rPr>
          <w:rFonts w:ascii="黑体" w:eastAsia="黑体" w:hAnsi="黑体" w:hint="eastAsia"/>
        </w:rPr>
        <w:t>是指对人身和财产安全有较大危险性的锅炉、压力容器（含气瓶）、压力管道、电梯、起重机械、客运索道、大型游乐设施、场（厂）内专用机动车辆，以及法律、行政法规规定适用本法的其他特种设备。</w:t>
      </w:r>
    </w:p>
    <w:p w14:paraId="6207ADBA" w14:textId="3BF2F450" w:rsidR="009341B3" w:rsidRPr="009341B3" w:rsidRDefault="009341B3" w:rsidP="009341B3">
      <w:pPr>
        <w:numPr>
          <w:ilvl w:val="0"/>
          <w:numId w:val="1"/>
        </w:numPr>
        <w:rPr>
          <w:rFonts w:ascii="黑体" w:eastAsia="黑体" w:hAnsi="黑体"/>
        </w:rPr>
      </w:pPr>
      <w:r w:rsidRPr="009341B3">
        <w:rPr>
          <w:rFonts w:ascii="黑体" w:eastAsia="黑体" w:hAnsi="黑体" w:hint="eastAsia"/>
        </w:rPr>
        <w:t>个体防护装备（劳动防护用品）</w:t>
      </w:r>
      <w:r w:rsidRPr="00BF73AF">
        <w:rPr>
          <w:rFonts w:ascii="黑体" w:eastAsia="黑体" w:hAnsi="黑体" w:hint="eastAsia"/>
        </w:rPr>
        <w:t>：</w:t>
      </w:r>
      <w:r w:rsidRPr="009341B3">
        <w:rPr>
          <w:rFonts w:ascii="黑体" w:eastAsia="黑体" w:hAnsi="黑体" w:hint="eastAsia"/>
        </w:rPr>
        <w:t>是指从业人员为防御物理、化学、生物等外界因素伤害所穿戴、配备和使用的护品的总称。</w:t>
      </w:r>
    </w:p>
    <w:p w14:paraId="4C8DB45B" w14:textId="77777777" w:rsidR="00BF73AF" w:rsidRPr="00BF73AF" w:rsidRDefault="00BF73AF" w:rsidP="00BF73AF">
      <w:pPr>
        <w:numPr>
          <w:ilvl w:val="0"/>
          <w:numId w:val="1"/>
        </w:numPr>
        <w:rPr>
          <w:rFonts w:ascii="黑体" w:eastAsia="黑体" w:hAnsi="黑体"/>
        </w:rPr>
      </w:pPr>
      <w:r w:rsidRPr="00BF73AF">
        <w:rPr>
          <w:rFonts w:ascii="黑体" w:eastAsia="黑体" w:hAnsi="黑体" w:hint="eastAsia"/>
        </w:rPr>
        <w:t>臭氧是强烈的氧化剂，它能氧</w:t>
      </w:r>
      <w:proofErr w:type="gramStart"/>
      <w:r w:rsidRPr="00BF73AF">
        <w:rPr>
          <w:rFonts w:ascii="黑体" w:eastAsia="黑体" w:hAnsi="黑体" w:hint="eastAsia"/>
        </w:rPr>
        <w:t>化多种</w:t>
      </w:r>
      <w:proofErr w:type="gramEnd"/>
      <w:r w:rsidRPr="00BF73AF">
        <w:rPr>
          <w:rFonts w:ascii="黑体" w:eastAsia="黑体" w:hAnsi="黑体" w:hint="eastAsia"/>
        </w:rPr>
        <w:t>有机物和无机物，清除对臭氧的高度氧化活性很敏感的毒物，如酚类、苯环类、氰化物、硫化物、亚硝酸盐、铁、锰、有机氮化合物等，由于对各种有机物的作用范围较广，可以去除其他方法不易去除的COD和TOC；同时又具有很强的氧化漂白作用，可以明显降低水的色度。采用臭氧</w:t>
      </w:r>
      <w:proofErr w:type="gramStart"/>
      <w:r w:rsidRPr="00BF73AF">
        <w:rPr>
          <w:rFonts w:ascii="黑体" w:eastAsia="黑体" w:hAnsi="黑体" w:hint="eastAsia"/>
        </w:rPr>
        <w:t>氧</w:t>
      </w:r>
      <w:proofErr w:type="gramEnd"/>
      <w:r w:rsidRPr="00BF73AF">
        <w:rPr>
          <w:rFonts w:ascii="黑体" w:eastAsia="黑体" w:hAnsi="黑体" w:hint="eastAsia"/>
        </w:rPr>
        <w:t>化技术处理有机废水，具有反应速度快、无二次污染等优点。</w:t>
      </w:r>
    </w:p>
    <w:p w14:paraId="7C8E841F" w14:textId="1CBF8A9B" w:rsidR="009341B3" w:rsidRPr="00BF73AF" w:rsidRDefault="00BF73AF" w:rsidP="009341B3">
      <w:pPr>
        <w:numPr>
          <w:ilvl w:val="0"/>
          <w:numId w:val="1"/>
        </w:numPr>
        <w:rPr>
          <w:rFonts w:ascii="黑体" w:eastAsia="黑体" w:hAnsi="黑体" w:hint="eastAsia"/>
        </w:rPr>
      </w:pPr>
      <w:r w:rsidRPr="00BF73AF">
        <w:rPr>
          <w:rFonts w:ascii="黑体" w:eastAsia="黑体" w:hAnsi="黑体" w:hint="eastAsia"/>
        </w:rPr>
        <w:t>气态污染物：含硫化合物</w:t>
      </w:r>
      <w:r w:rsidRPr="00BF73AF">
        <w:rPr>
          <w:rFonts w:ascii="黑体" w:eastAsia="黑体" w:hAnsi="黑体" w:hint="eastAsia"/>
        </w:rPr>
        <w:t>，</w:t>
      </w:r>
      <w:r w:rsidRPr="00BF73AF">
        <w:rPr>
          <w:rFonts w:ascii="黑体" w:eastAsia="黑体" w:hAnsi="黑体" w:hint="eastAsia"/>
        </w:rPr>
        <w:t>含氮化合物</w:t>
      </w:r>
      <w:r w:rsidRPr="00BF73AF">
        <w:rPr>
          <w:rFonts w:ascii="黑体" w:eastAsia="黑体" w:hAnsi="黑体" w:hint="eastAsia"/>
        </w:rPr>
        <w:t>，</w:t>
      </w:r>
      <w:r w:rsidRPr="00BF73AF">
        <w:rPr>
          <w:rFonts w:ascii="黑体" w:eastAsia="黑体" w:hAnsi="黑体" w:hint="eastAsia"/>
        </w:rPr>
        <w:t>碳氧化合物</w:t>
      </w:r>
      <w:r w:rsidRPr="00BF73AF">
        <w:rPr>
          <w:rFonts w:ascii="黑体" w:eastAsia="黑体" w:hAnsi="黑体" w:hint="eastAsia"/>
        </w:rPr>
        <w:t>，</w:t>
      </w:r>
      <w:r w:rsidRPr="00BF73AF">
        <w:rPr>
          <w:rFonts w:ascii="黑体" w:eastAsia="黑体" w:hAnsi="黑体" w:hint="eastAsia"/>
        </w:rPr>
        <w:t>有机化合物</w:t>
      </w:r>
      <w:r w:rsidRPr="00BF73AF">
        <w:rPr>
          <w:rFonts w:ascii="黑体" w:eastAsia="黑体" w:hAnsi="黑体" w:hint="eastAsia"/>
        </w:rPr>
        <w:t>，</w:t>
      </w:r>
      <w:r w:rsidRPr="00BF73AF">
        <w:rPr>
          <w:rFonts w:ascii="黑体" w:eastAsia="黑体" w:hAnsi="黑体" w:hint="eastAsia"/>
        </w:rPr>
        <w:t xml:space="preserve">卤素化合物  </w:t>
      </w:r>
    </w:p>
    <w:sectPr w:rsidR="009341B3" w:rsidRPr="00BF7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F13B9"/>
    <w:multiLevelType w:val="hybridMultilevel"/>
    <w:tmpl w:val="ADE4A6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802409"/>
    <w:multiLevelType w:val="hybridMultilevel"/>
    <w:tmpl w:val="844A81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FA6B08"/>
    <w:multiLevelType w:val="hybridMultilevel"/>
    <w:tmpl w:val="A1804CF4"/>
    <w:lvl w:ilvl="0" w:tplc="04090011">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num w:numId="1" w16cid:durableId="1296064647">
    <w:abstractNumId w:val="1"/>
  </w:num>
  <w:num w:numId="2" w16cid:durableId="427895749">
    <w:abstractNumId w:val="0"/>
  </w:num>
  <w:num w:numId="3" w16cid:durableId="2069725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41B3"/>
    <w:rsid w:val="0000491D"/>
    <w:rsid w:val="00040D8B"/>
    <w:rsid w:val="0032455C"/>
    <w:rsid w:val="0054036A"/>
    <w:rsid w:val="009341B3"/>
    <w:rsid w:val="00A2738B"/>
    <w:rsid w:val="00BF73AF"/>
    <w:rsid w:val="00D70F9D"/>
    <w:rsid w:val="00FB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1EEE"/>
  <w15:chartTrackingRefBased/>
  <w15:docId w15:val="{24F0A747-3688-413D-8C3B-25789A38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1B3"/>
    <w:pPr>
      <w:ind w:firstLineChars="200" w:firstLine="420"/>
    </w:pPr>
  </w:style>
  <w:style w:type="paragraph" w:styleId="a4">
    <w:name w:val="Normal (Web)"/>
    <w:basedOn w:val="a"/>
    <w:uiPriority w:val="99"/>
    <w:semiHidden/>
    <w:unhideWhenUsed/>
    <w:rsid w:val="00BF73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77507">
      <w:bodyDiv w:val="1"/>
      <w:marLeft w:val="0"/>
      <w:marRight w:val="0"/>
      <w:marTop w:val="0"/>
      <w:marBottom w:val="0"/>
      <w:divBdr>
        <w:top w:val="none" w:sz="0" w:space="0" w:color="auto"/>
        <w:left w:val="none" w:sz="0" w:space="0" w:color="auto"/>
        <w:bottom w:val="none" w:sz="0" w:space="0" w:color="auto"/>
        <w:right w:val="none" w:sz="0" w:space="0" w:color="auto"/>
      </w:divBdr>
    </w:div>
    <w:div w:id="542250578">
      <w:bodyDiv w:val="1"/>
      <w:marLeft w:val="0"/>
      <w:marRight w:val="0"/>
      <w:marTop w:val="0"/>
      <w:marBottom w:val="0"/>
      <w:divBdr>
        <w:top w:val="none" w:sz="0" w:space="0" w:color="auto"/>
        <w:left w:val="none" w:sz="0" w:space="0" w:color="auto"/>
        <w:bottom w:val="none" w:sz="0" w:space="0" w:color="auto"/>
        <w:right w:val="none" w:sz="0" w:space="0" w:color="auto"/>
      </w:divBdr>
    </w:div>
    <w:div w:id="556160315">
      <w:bodyDiv w:val="1"/>
      <w:marLeft w:val="0"/>
      <w:marRight w:val="0"/>
      <w:marTop w:val="0"/>
      <w:marBottom w:val="0"/>
      <w:divBdr>
        <w:top w:val="none" w:sz="0" w:space="0" w:color="auto"/>
        <w:left w:val="none" w:sz="0" w:space="0" w:color="auto"/>
        <w:bottom w:val="none" w:sz="0" w:space="0" w:color="auto"/>
        <w:right w:val="none" w:sz="0" w:space="0" w:color="auto"/>
      </w:divBdr>
    </w:div>
    <w:div w:id="927930176">
      <w:bodyDiv w:val="1"/>
      <w:marLeft w:val="0"/>
      <w:marRight w:val="0"/>
      <w:marTop w:val="0"/>
      <w:marBottom w:val="0"/>
      <w:divBdr>
        <w:top w:val="none" w:sz="0" w:space="0" w:color="auto"/>
        <w:left w:val="none" w:sz="0" w:space="0" w:color="auto"/>
        <w:bottom w:val="none" w:sz="0" w:space="0" w:color="auto"/>
        <w:right w:val="none" w:sz="0" w:space="0" w:color="auto"/>
      </w:divBdr>
    </w:div>
    <w:div w:id="1200511745">
      <w:bodyDiv w:val="1"/>
      <w:marLeft w:val="0"/>
      <w:marRight w:val="0"/>
      <w:marTop w:val="0"/>
      <w:marBottom w:val="0"/>
      <w:divBdr>
        <w:top w:val="none" w:sz="0" w:space="0" w:color="auto"/>
        <w:left w:val="none" w:sz="0" w:space="0" w:color="auto"/>
        <w:bottom w:val="none" w:sz="0" w:space="0" w:color="auto"/>
        <w:right w:val="none" w:sz="0" w:space="0" w:color="auto"/>
      </w:divBdr>
    </w:div>
    <w:div w:id="1221012798">
      <w:bodyDiv w:val="1"/>
      <w:marLeft w:val="0"/>
      <w:marRight w:val="0"/>
      <w:marTop w:val="0"/>
      <w:marBottom w:val="0"/>
      <w:divBdr>
        <w:top w:val="none" w:sz="0" w:space="0" w:color="auto"/>
        <w:left w:val="none" w:sz="0" w:space="0" w:color="auto"/>
        <w:bottom w:val="none" w:sz="0" w:space="0" w:color="auto"/>
        <w:right w:val="none" w:sz="0" w:space="0" w:color="auto"/>
      </w:divBdr>
    </w:div>
    <w:div w:id="1232735027">
      <w:bodyDiv w:val="1"/>
      <w:marLeft w:val="0"/>
      <w:marRight w:val="0"/>
      <w:marTop w:val="0"/>
      <w:marBottom w:val="0"/>
      <w:divBdr>
        <w:top w:val="none" w:sz="0" w:space="0" w:color="auto"/>
        <w:left w:val="none" w:sz="0" w:space="0" w:color="auto"/>
        <w:bottom w:val="none" w:sz="0" w:space="0" w:color="auto"/>
        <w:right w:val="none" w:sz="0" w:space="0" w:color="auto"/>
      </w:divBdr>
    </w:div>
    <w:div w:id="12449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wencker wan</dc:creator>
  <cp:keywords/>
  <dc:description/>
  <cp:lastModifiedBy>wencker wan</cp:lastModifiedBy>
  <cp:revision>1</cp:revision>
  <dcterms:created xsi:type="dcterms:W3CDTF">2025-01-08T12:34:00Z</dcterms:created>
  <dcterms:modified xsi:type="dcterms:W3CDTF">2025-01-08T13:10:00Z</dcterms:modified>
</cp:coreProperties>
</file>