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638B4" w14:textId="4096C8F3" w:rsidR="00E77CC1" w:rsidRDefault="00E77CC1" w:rsidP="00E77CC1">
      <w:pPr>
        <w:spacing w:after="129" w:line="261" w:lineRule="auto"/>
        <w:jc w:val="both"/>
        <w:rPr>
          <w:rFonts w:ascii="Times New Roman" w:hAnsi="Times New Roman" w:cs="Times New Roman"/>
          <w:sz w:val="24"/>
          <w:szCs w:val="24"/>
        </w:rPr>
      </w:pPr>
      <w:r w:rsidRPr="00843F21">
        <w:rPr>
          <w:rFonts w:ascii="Times New Roman" w:hAnsi="Times New Roman" w:cs="Times New Roman"/>
          <w:sz w:val="24"/>
          <w:szCs w:val="24"/>
        </w:rPr>
        <w:t>PA 5431/HRIR 5655: Public Policies on Work and Pay</w:t>
      </w:r>
    </w:p>
    <w:p w14:paraId="73A7DEDA" w14:textId="168AD2D3" w:rsidR="002B4F92" w:rsidRPr="00843F21" w:rsidRDefault="002B4F92" w:rsidP="00E77CC1">
      <w:pPr>
        <w:spacing w:after="129" w:line="261" w:lineRule="auto"/>
        <w:jc w:val="both"/>
        <w:rPr>
          <w:rFonts w:ascii="Times New Roman" w:hAnsi="Times New Roman" w:cs="Times New Roman"/>
          <w:sz w:val="24"/>
          <w:szCs w:val="24"/>
        </w:rPr>
      </w:pPr>
      <w:r>
        <w:rPr>
          <w:rFonts w:ascii="Times New Roman" w:hAnsi="Times New Roman" w:cs="Times New Roman"/>
          <w:sz w:val="24"/>
          <w:szCs w:val="24"/>
        </w:rPr>
        <w:t>Due Date:</w:t>
      </w:r>
      <w:r w:rsidR="0052451C">
        <w:rPr>
          <w:rFonts w:ascii="Times New Roman" w:hAnsi="Times New Roman" w:cs="Times New Roman"/>
          <w:sz w:val="24"/>
          <w:szCs w:val="24"/>
        </w:rPr>
        <w:t>October 6</w:t>
      </w:r>
      <w:r w:rsidR="0052451C" w:rsidRPr="0052451C">
        <w:rPr>
          <w:rFonts w:ascii="Times New Roman" w:hAnsi="Times New Roman" w:cs="Times New Roman"/>
          <w:sz w:val="24"/>
          <w:szCs w:val="24"/>
          <w:vertAlign w:val="superscript"/>
        </w:rPr>
        <w:t>th</w:t>
      </w:r>
      <w:r w:rsidR="0052451C">
        <w:rPr>
          <w:rFonts w:ascii="Times New Roman" w:hAnsi="Times New Roman" w:cs="Times New Roman"/>
          <w:sz w:val="24"/>
          <w:szCs w:val="24"/>
        </w:rPr>
        <w:t>, 2020</w:t>
      </w:r>
      <w:bookmarkStart w:id="0" w:name="_GoBack"/>
      <w:bookmarkEnd w:id="0"/>
      <w:r>
        <w:rPr>
          <w:rFonts w:ascii="Times New Roman" w:hAnsi="Times New Roman" w:cs="Times New Roman"/>
          <w:sz w:val="24"/>
          <w:szCs w:val="24"/>
        </w:rPr>
        <w:t xml:space="preserve"> </w:t>
      </w:r>
    </w:p>
    <w:p w14:paraId="15CA2623" w14:textId="5640E625" w:rsidR="00E77CC1" w:rsidRPr="00843F21" w:rsidRDefault="00E77CC1" w:rsidP="00E77CC1">
      <w:pPr>
        <w:spacing w:after="0"/>
        <w:rPr>
          <w:rFonts w:ascii="Times New Roman" w:hAnsi="Times New Roman" w:cs="Times New Roman"/>
          <w:sz w:val="24"/>
          <w:szCs w:val="24"/>
        </w:rPr>
      </w:pPr>
      <w:r w:rsidRPr="00843F21">
        <w:rPr>
          <w:rFonts w:ascii="Times New Roman" w:hAnsi="Times New Roman" w:cs="Times New Roman"/>
          <w:sz w:val="24"/>
          <w:szCs w:val="24"/>
        </w:rPr>
        <w:t>Fall 20</w:t>
      </w:r>
      <w:r w:rsidR="002B4F92">
        <w:rPr>
          <w:rFonts w:ascii="Times New Roman" w:hAnsi="Times New Roman" w:cs="Times New Roman"/>
          <w:sz w:val="24"/>
          <w:szCs w:val="24"/>
        </w:rPr>
        <w:t>20</w:t>
      </w:r>
    </w:p>
    <w:p w14:paraId="0725D0E7" w14:textId="77777777" w:rsidR="00E77CC1" w:rsidRPr="00843F21" w:rsidRDefault="00E77CC1" w:rsidP="00E77CC1">
      <w:pPr>
        <w:jc w:val="center"/>
        <w:rPr>
          <w:rFonts w:ascii="Times New Roman" w:hAnsi="Times New Roman" w:cs="Times New Roman"/>
          <w:b/>
          <w:sz w:val="24"/>
          <w:szCs w:val="24"/>
        </w:rPr>
      </w:pPr>
      <w:r w:rsidRPr="00843F21">
        <w:rPr>
          <w:rFonts w:ascii="Times New Roman" w:hAnsi="Times New Roman" w:cs="Times New Roman"/>
          <w:b/>
          <w:sz w:val="24"/>
          <w:szCs w:val="24"/>
        </w:rPr>
        <w:t>Homework 3</w:t>
      </w:r>
    </w:p>
    <w:p w14:paraId="50CBECA2" w14:textId="0D4161D3" w:rsidR="00E77CC1" w:rsidRPr="00843F21" w:rsidRDefault="00E77CC1" w:rsidP="00E77CC1">
      <w:pPr>
        <w:spacing w:after="200" w:line="256" w:lineRule="auto"/>
        <w:jc w:val="both"/>
        <w:rPr>
          <w:rFonts w:ascii="Times New Roman" w:hAnsi="Times New Roman" w:cs="Times New Roman"/>
          <w:sz w:val="24"/>
          <w:szCs w:val="24"/>
        </w:rPr>
      </w:pPr>
      <w:r w:rsidRPr="00843F21">
        <w:rPr>
          <w:rFonts w:ascii="Times New Roman" w:hAnsi="Times New Roman" w:cs="Times New Roman"/>
          <w:b/>
          <w:sz w:val="24"/>
          <w:szCs w:val="24"/>
        </w:rPr>
        <w:t>Part A</w:t>
      </w:r>
      <w:r w:rsidRPr="00843F21">
        <w:rPr>
          <w:rFonts w:ascii="Times New Roman" w:hAnsi="Times New Roman" w:cs="Times New Roman"/>
          <w:sz w:val="24"/>
          <w:szCs w:val="24"/>
        </w:rPr>
        <w:t>: During the last recession the Department of Labor was asked to evaluate four public policies to deal</w:t>
      </w:r>
      <w:r w:rsidR="00A17CB3">
        <w:rPr>
          <w:rFonts w:ascii="Times New Roman" w:hAnsi="Times New Roman" w:cs="Times New Roman"/>
          <w:sz w:val="24"/>
          <w:szCs w:val="24"/>
        </w:rPr>
        <w:t xml:space="preserve"> with </w:t>
      </w:r>
      <w:r w:rsidRPr="00843F21">
        <w:rPr>
          <w:rFonts w:ascii="Times New Roman" w:hAnsi="Times New Roman" w:cs="Times New Roman"/>
          <w:sz w:val="24"/>
          <w:szCs w:val="24"/>
        </w:rPr>
        <w:t>the labor market consequences of the economic downturn.</w:t>
      </w:r>
    </w:p>
    <w:p w14:paraId="3A41DDF7" w14:textId="5D27989E" w:rsidR="00E77CC1" w:rsidRPr="00843F21" w:rsidRDefault="00E77CC1" w:rsidP="00E77CC1">
      <w:pPr>
        <w:numPr>
          <w:ilvl w:val="1"/>
          <w:numId w:val="1"/>
        </w:numPr>
        <w:spacing w:after="100" w:line="256" w:lineRule="auto"/>
        <w:ind w:hanging="398"/>
        <w:jc w:val="both"/>
        <w:rPr>
          <w:rFonts w:ascii="Times New Roman" w:hAnsi="Times New Roman" w:cs="Times New Roman"/>
          <w:sz w:val="24"/>
          <w:szCs w:val="24"/>
        </w:rPr>
      </w:pPr>
      <w:r w:rsidRPr="00843F21">
        <w:rPr>
          <w:rFonts w:ascii="Times New Roman" w:hAnsi="Times New Roman" w:cs="Times New Roman"/>
          <w:sz w:val="24"/>
          <w:szCs w:val="24"/>
        </w:rPr>
        <w:t xml:space="preserve">Cut the employer share of social security taxes by </w:t>
      </w:r>
      <w:r w:rsidR="00E42398">
        <w:rPr>
          <w:rFonts w:ascii="Times New Roman" w:hAnsi="Times New Roman" w:cs="Times New Roman"/>
          <w:sz w:val="24"/>
          <w:szCs w:val="24"/>
        </w:rPr>
        <w:t xml:space="preserve">1 </w:t>
      </w:r>
      <w:r w:rsidRPr="00843F21">
        <w:rPr>
          <w:rFonts w:ascii="Times New Roman" w:hAnsi="Times New Roman" w:cs="Times New Roman"/>
          <w:sz w:val="24"/>
          <w:szCs w:val="24"/>
        </w:rPr>
        <w:t>percent.</w:t>
      </w:r>
    </w:p>
    <w:p w14:paraId="0BED21C7" w14:textId="77777777" w:rsidR="00E77CC1" w:rsidRPr="00843F21" w:rsidRDefault="00E77CC1" w:rsidP="00E77CC1">
      <w:pPr>
        <w:numPr>
          <w:ilvl w:val="1"/>
          <w:numId w:val="1"/>
        </w:numPr>
        <w:spacing w:after="100" w:line="256" w:lineRule="auto"/>
        <w:ind w:hanging="398"/>
        <w:jc w:val="both"/>
        <w:rPr>
          <w:rFonts w:ascii="Times New Roman" w:hAnsi="Times New Roman" w:cs="Times New Roman"/>
          <w:sz w:val="24"/>
          <w:szCs w:val="24"/>
        </w:rPr>
      </w:pPr>
      <w:r w:rsidRPr="00843F21">
        <w:rPr>
          <w:rFonts w:ascii="Times New Roman" w:hAnsi="Times New Roman" w:cs="Times New Roman"/>
          <w:sz w:val="24"/>
          <w:szCs w:val="24"/>
        </w:rPr>
        <w:t>An employment tax credit of $12 per person day worked in excess of the previous year’s employment.</w:t>
      </w:r>
    </w:p>
    <w:p w14:paraId="233588FD" w14:textId="77777777" w:rsidR="00E77CC1" w:rsidRPr="00843F21" w:rsidRDefault="00E77CC1" w:rsidP="00E77CC1">
      <w:pPr>
        <w:numPr>
          <w:ilvl w:val="1"/>
          <w:numId w:val="1"/>
        </w:numPr>
        <w:spacing w:after="100" w:line="256" w:lineRule="auto"/>
        <w:ind w:hanging="398"/>
        <w:jc w:val="both"/>
        <w:rPr>
          <w:rFonts w:ascii="Times New Roman" w:hAnsi="Times New Roman" w:cs="Times New Roman"/>
          <w:sz w:val="24"/>
          <w:szCs w:val="24"/>
        </w:rPr>
      </w:pPr>
      <w:r w:rsidRPr="00843F21">
        <w:rPr>
          <w:rFonts w:ascii="Times New Roman" w:hAnsi="Times New Roman" w:cs="Times New Roman"/>
          <w:sz w:val="24"/>
          <w:szCs w:val="24"/>
        </w:rPr>
        <w:t>An increase in the taxable base for unemployment insurance contributions to offset the depletions included by the recession.</w:t>
      </w:r>
    </w:p>
    <w:p w14:paraId="57D52681" w14:textId="77777777" w:rsidR="00E77CC1" w:rsidRPr="00843F21" w:rsidRDefault="00E77CC1" w:rsidP="00E77CC1">
      <w:pPr>
        <w:numPr>
          <w:ilvl w:val="1"/>
          <w:numId w:val="1"/>
        </w:numPr>
        <w:spacing w:after="173" w:line="256" w:lineRule="auto"/>
        <w:ind w:hanging="398"/>
        <w:jc w:val="both"/>
        <w:rPr>
          <w:rFonts w:ascii="Times New Roman" w:hAnsi="Times New Roman" w:cs="Times New Roman"/>
          <w:sz w:val="24"/>
          <w:szCs w:val="24"/>
        </w:rPr>
      </w:pPr>
      <w:r w:rsidRPr="00843F21">
        <w:rPr>
          <w:rFonts w:ascii="Times New Roman" w:hAnsi="Times New Roman" w:cs="Times New Roman"/>
          <w:sz w:val="24"/>
          <w:szCs w:val="24"/>
        </w:rPr>
        <w:t>A tax on group health insurance premiums to be used as a trust fund to continue group health coverage for employees on layoff.</w:t>
      </w:r>
    </w:p>
    <w:p w14:paraId="2732FF7A" w14:textId="77777777" w:rsidR="00E77CC1" w:rsidRPr="00843F21" w:rsidRDefault="00E77CC1" w:rsidP="00E77CC1">
      <w:pPr>
        <w:spacing w:after="202"/>
        <w:ind w:left="545"/>
        <w:rPr>
          <w:rFonts w:ascii="Times New Roman" w:hAnsi="Times New Roman" w:cs="Times New Roman"/>
          <w:sz w:val="24"/>
          <w:szCs w:val="24"/>
        </w:rPr>
      </w:pPr>
      <w:r w:rsidRPr="00843F21">
        <w:rPr>
          <w:rFonts w:ascii="Times New Roman" w:hAnsi="Times New Roman" w:cs="Times New Roman"/>
          <w:sz w:val="24"/>
          <w:szCs w:val="24"/>
        </w:rPr>
        <w:t>Using simulation methods and measures of elasticity of labor demand estimates the analysts found the following impacts:</w:t>
      </w:r>
    </w:p>
    <w:p w14:paraId="6A7FB246" w14:textId="77777777" w:rsidR="00E77CC1" w:rsidRPr="00843F21" w:rsidRDefault="00E77CC1" w:rsidP="00E77CC1">
      <w:pPr>
        <w:numPr>
          <w:ilvl w:val="1"/>
          <w:numId w:val="2"/>
        </w:numPr>
        <w:spacing w:after="100" w:line="256" w:lineRule="auto"/>
        <w:jc w:val="both"/>
        <w:rPr>
          <w:rFonts w:ascii="Times New Roman" w:hAnsi="Times New Roman" w:cs="Times New Roman"/>
          <w:sz w:val="24"/>
          <w:szCs w:val="24"/>
        </w:rPr>
      </w:pPr>
      <w:r w:rsidRPr="00843F21">
        <w:rPr>
          <w:rFonts w:ascii="Times New Roman" w:hAnsi="Times New Roman" w:cs="Times New Roman"/>
          <w:sz w:val="24"/>
          <w:szCs w:val="24"/>
        </w:rPr>
        <w:t>For policy one the employment effect was growth of approximately 200</w:t>
      </w:r>
      <w:r w:rsidRPr="00843F21">
        <w:rPr>
          <w:rFonts w:ascii="Times New Roman" w:hAnsi="Times New Roman" w:cs="Times New Roman"/>
          <w:i/>
          <w:sz w:val="24"/>
          <w:szCs w:val="24"/>
        </w:rPr>
        <w:t>,</w:t>
      </w:r>
      <w:r w:rsidRPr="00843F21">
        <w:rPr>
          <w:rFonts w:ascii="Times New Roman" w:hAnsi="Times New Roman" w:cs="Times New Roman"/>
          <w:sz w:val="24"/>
          <w:szCs w:val="24"/>
        </w:rPr>
        <w:t>000 jobs for four quarters.</w:t>
      </w:r>
    </w:p>
    <w:p w14:paraId="3FE72828" w14:textId="77777777" w:rsidR="00E77CC1" w:rsidRPr="00843F21" w:rsidRDefault="00E77CC1" w:rsidP="00E77CC1">
      <w:pPr>
        <w:numPr>
          <w:ilvl w:val="1"/>
          <w:numId w:val="2"/>
        </w:numPr>
        <w:spacing w:after="100" w:line="256" w:lineRule="auto"/>
        <w:jc w:val="both"/>
        <w:rPr>
          <w:rFonts w:ascii="Times New Roman" w:hAnsi="Times New Roman" w:cs="Times New Roman"/>
          <w:sz w:val="24"/>
          <w:szCs w:val="24"/>
        </w:rPr>
      </w:pPr>
      <w:r w:rsidRPr="00843F21">
        <w:rPr>
          <w:rFonts w:ascii="Times New Roman" w:hAnsi="Times New Roman" w:cs="Times New Roman"/>
          <w:sz w:val="24"/>
          <w:szCs w:val="24"/>
        </w:rPr>
        <w:t>For policy two, the employment effect was a growth of approximately 800</w:t>
      </w:r>
      <w:r w:rsidRPr="00843F21">
        <w:rPr>
          <w:rFonts w:ascii="Times New Roman" w:hAnsi="Times New Roman" w:cs="Times New Roman"/>
          <w:i/>
          <w:sz w:val="24"/>
          <w:szCs w:val="24"/>
        </w:rPr>
        <w:t>,</w:t>
      </w:r>
      <w:r w:rsidRPr="00843F21">
        <w:rPr>
          <w:rFonts w:ascii="Times New Roman" w:hAnsi="Times New Roman" w:cs="Times New Roman"/>
          <w:sz w:val="24"/>
          <w:szCs w:val="24"/>
        </w:rPr>
        <w:t>000 jobs for four quarters.</w:t>
      </w:r>
    </w:p>
    <w:p w14:paraId="21FC629F" w14:textId="77777777" w:rsidR="00E77CC1" w:rsidRPr="00843F21" w:rsidRDefault="00E77CC1" w:rsidP="00E77CC1">
      <w:pPr>
        <w:numPr>
          <w:ilvl w:val="1"/>
          <w:numId w:val="2"/>
        </w:numPr>
        <w:spacing w:after="100" w:line="256" w:lineRule="auto"/>
        <w:jc w:val="both"/>
        <w:rPr>
          <w:rFonts w:ascii="Times New Roman" w:hAnsi="Times New Roman" w:cs="Times New Roman"/>
          <w:sz w:val="24"/>
          <w:szCs w:val="24"/>
        </w:rPr>
      </w:pPr>
      <w:r w:rsidRPr="00843F21">
        <w:rPr>
          <w:rFonts w:ascii="Times New Roman" w:hAnsi="Times New Roman" w:cs="Times New Roman"/>
          <w:sz w:val="24"/>
          <w:szCs w:val="24"/>
        </w:rPr>
        <w:t>For policy three, the employment effect was a decline of approximately 50</w:t>
      </w:r>
      <w:r w:rsidRPr="00843F21">
        <w:rPr>
          <w:rFonts w:ascii="Times New Roman" w:hAnsi="Times New Roman" w:cs="Times New Roman"/>
          <w:i/>
          <w:sz w:val="24"/>
          <w:szCs w:val="24"/>
        </w:rPr>
        <w:t>,</w:t>
      </w:r>
      <w:r w:rsidRPr="00843F21">
        <w:rPr>
          <w:rFonts w:ascii="Times New Roman" w:hAnsi="Times New Roman" w:cs="Times New Roman"/>
          <w:sz w:val="24"/>
          <w:szCs w:val="24"/>
        </w:rPr>
        <w:t>000 jobs for four quarters.</w:t>
      </w:r>
    </w:p>
    <w:p w14:paraId="6A602A4D" w14:textId="77777777" w:rsidR="00E77CC1" w:rsidRPr="00843F21" w:rsidRDefault="00E77CC1" w:rsidP="00E77CC1">
      <w:pPr>
        <w:numPr>
          <w:ilvl w:val="1"/>
          <w:numId w:val="2"/>
        </w:numPr>
        <w:spacing w:after="371" w:line="256" w:lineRule="auto"/>
        <w:jc w:val="both"/>
        <w:rPr>
          <w:rFonts w:ascii="Times New Roman" w:hAnsi="Times New Roman" w:cs="Times New Roman"/>
          <w:sz w:val="24"/>
          <w:szCs w:val="24"/>
        </w:rPr>
      </w:pPr>
      <w:r w:rsidRPr="00843F21">
        <w:rPr>
          <w:rFonts w:ascii="Times New Roman" w:hAnsi="Times New Roman" w:cs="Times New Roman"/>
          <w:sz w:val="24"/>
          <w:szCs w:val="24"/>
        </w:rPr>
        <w:t>For policy four, the employment effect was a decline of approximately 38</w:t>
      </w:r>
      <w:r w:rsidRPr="00843F21">
        <w:rPr>
          <w:rFonts w:ascii="Times New Roman" w:hAnsi="Times New Roman" w:cs="Times New Roman"/>
          <w:i/>
          <w:sz w:val="24"/>
          <w:szCs w:val="24"/>
        </w:rPr>
        <w:t>,</w:t>
      </w:r>
      <w:r w:rsidRPr="00843F21">
        <w:rPr>
          <w:rFonts w:ascii="Times New Roman" w:hAnsi="Times New Roman" w:cs="Times New Roman"/>
          <w:sz w:val="24"/>
          <w:szCs w:val="24"/>
        </w:rPr>
        <w:t>000 jobs for four quarters.</w:t>
      </w:r>
    </w:p>
    <w:p w14:paraId="0643C330" w14:textId="77777777" w:rsidR="00E77CC1" w:rsidRPr="00843F21" w:rsidRDefault="00E77CC1" w:rsidP="00E77CC1">
      <w:pPr>
        <w:spacing w:after="371" w:line="256" w:lineRule="auto"/>
        <w:jc w:val="both"/>
        <w:rPr>
          <w:rFonts w:ascii="Times New Roman" w:hAnsi="Times New Roman" w:cs="Times New Roman"/>
          <w:sz w:val="24"/>
          <w:szCs w:val="24"/>
          <w:u w:val="single"/>
        </w:rPr>
      </w:pPr>
      <w:r w:rsidRPr="00843F21">
        <w:rPr>
          <w:rFonts w:ascii="Times New Roman" w:hAnsi="Times New Roman" w:cs="Times New Roman"/>
          <w:sz w:val="24"/>
          <w:szCs w:val="24"/>
          <w:u w:val="single"/>
        </w:rPr>
        <w:t>Questions</w:t>
      </w:r>
    </w:p>
    <w:p w14:paraId="70A3BB89" w14:textId="77777777" w:rsidR="00E77CC1" w:rsidRPr="00843F21" w:rsidRDefault="00E77CC1" w:rsidP="00E77CC1">
      <w:pPr>
        <w:pStyle w:val="ListParagraph"/>
        <w:numPr>
          <w:ilvl w:val="0"/>
          <w:numId w:val="3"/>
        </w:numPr>
        <w:spacing w:after="61" w:line="256" w:lineRule="auto"/>
        <w:jc w:val="both"/>
        <w:rPr>
          <w:rFonts w:ascii="Times New Roman" w:hAnsi="Times New Roman" w:cs="Times New Roman"/>
          <w:sz w:val="24"/>
          <w:szCs w:val="24"/>
        </w:rPr>
      </w:pPr>
      <w:r w:rsidRPr="00843F21">
        <w:rPr>
          <w:rFonts w:ascii="Times New Roman" w:hAnsi="Times New Roman" w:cs="Times New Roman"/>
          <w:sz w:val="24"/>
          <w:szCs w:val="24"/>
        </w:rPr>
        <w:t>Using your knowledge of demand analysis explain why the estimates in policy one differs from policy two by such a large amount.</w:t>
      </w:r>
      <w:bookmarkStart w:id="1" w:name="_Hlk519244774"/>
    </w:p>
    <w:p w14:paraId="545E7253" w14:textId="77777777" w:rsidR="00E77CC1" w:rsidRPr="00843F21" w:rsidRDefault="00E77CC1" w:rsidP="00E77CC1">
      <w:pPr>
        <w:pStyle w:val="ListParagraph"/>
        <w:numPr>
          <w:ilvl w:val="0"/>
          <w:numId w:val="3"/>
        </w:numPr>
        <w:spacing w:after="61" w:line="256" w:lineRule="auto"/>
        <w:jc w:val="both"/>
        <w:rPr>
          <w:rFonts w:ascii="Times New Roman" w:hAnsi="Times New Roman" w:cs="Times New Roman"/>
          <w:sz w:val="24"/>
          <w:szCs w:val="24"/>
        </w:rPr>
      </w:pPr>
      <w:r w:rsidRPr="00843F21">
        <w:rPr>
          <w:rFonts w:ascii="Times New Roman" w:hAnsi="Times New Roman" w:cs="Times New Roman"/>
          <w:sz w:val="24"/>
          <w:szCs w:val="24"/>
        </w:rPr>
        <w:t xml:space="preserve">Explain why policies one and two differ in their outcomes from three and four. </w:t>
      </w:r>
      <w:bookmarkEnd w:id="1"/>
    </w:p>
    <w:p w14:paraId="4654C839" w14:textId="77777777" w:rsidR="00E77CC1" w:rsidRPr="00843F21" w:rsidRDefault="00E77CC1" w:rsidP="00E77CC1">
      <w:pPr>
        <w:pStyle w:val="ListParagraph"/>
        <w:numPr>
          <w:ilvl w:val="0"/>
          <w:numId w:val="3"/>
        </w:numPr>
        <w:spacing w:after="61" w:line="256" w:lineRule="auto"/>
        <w:jc w:val="both"/>
        <w:rPr>
          <w:rFonts w:ascii="Times New Roman" w:hAnsi="Times New Roman" w:cs="Times New Roman"/>
          <w:sz w:val="24"/>
          <w:szCs w:val="24"/>
        </w:rPr>
      </w:pPr>
      <w:r w:rsidRPr="00843F21">
        <w:rPr>
          <w:rFonts w:ascii="Times New Roman" w:hAnsi="Times New Roman" w:cs="Times New Roman"/>
          <w:sz w:val="24"/>
          <w:szCs w:val="24"/>
        </w:rPr>
        <w:t>What are the political implications of using only four quarters rather than long run estimates?</w:t>
      </w:r>
    </w:p>
    <w:p w14:paraId="696158FF" w14:textId="77777777" w:rsidR="002B4F92" w:rsidRDefault="002B4F92" w:rsidP="00E77CC1">
      <w:pPr>
        <w:spacing w:after="200" w:line="256" w:lineRule="auto"/>
        <w:jc w:val="both"/>
        <w:rPr>
          <w:rFonts w:ascii="Times New Roman" w:hAnsi="Times New Roman" w:cs="Times New Roman"/>
          <w:b/>
          <w:sz w:val="24"/>
          <w:szCs w:val="24"/>
        </w:rPr>
      </w:pPr>
    </w:p>
    <w:p w14:paraId="592F0B6A" w14:textId="77777777" w:rsidR="002B4F92" w:rsidRDefault="002B4F92" w:rsidP="00E77CC1">
      <w:pPr>
        <w:spacing w:after="200" w:line="256" w:lineRule="auto"/>
        <w:jc w:val="both"/>
        <w:rPr>
          <w:rFonts w:ascii="Times New Roman" w:hAnsi="Times New Roman" w:cs="Times New Roman"/>
          <w:b/>
          <w:sz w:val="24"/>
          <w:szCs w:val="24"/>
        </w:rPr>
      </w:pPr>
    </w:p>
    <w:p w14:paraId="3246EB8D" w14:textId="77777777" w:rsidR="002B4F92" w:rsidRDefault="002B4F92" w:rsidP="00E77CC1">
      <w:pPr>
        <w:spacing w:after="200" w:line="256" w:lineRule="auto"/>
        <w:jc w:val="both"/>
        <w:rPr>
          <w:rFonts w:ascii="Times New Roman" w:hAnsi="Times New Roman" w:cs="Times New Roman"/>
          <w:b/>
          <w:sz w:val="24"/>
          <w:szCs w:val="24"/>
        </w:rPr>
      </w:pPr>
    </w:p>
    <w:p w14:paraId="2B417036" w14:textId="77777777" w:rsidR="002B4F92" w:rsidRDefault="002B4F92" w:rsidP="00E77CC1">
      <w:pPr>
        <w:spacing w:after="200" w:line="256" w:lineRule="auto"/>
        <w:jc w:val="both"/>
        <w:rPr>
          <w:rFonts w:ascii="Times New Roman" w:hAnsi="Times New Roman" w:cs="Times New Roman"/>
          <w:b/>
          <w:sz w:val="24"/>
          <w:szCs w:val="24"/>
        </w:rPr>
      </w:pPr>
    </w:p>
    <w:p w14:paraId="3D920607" w14:textId="269FA4A7" w:rsidR="00E77CC1" w:rsidRPr="00E77CC1" w:rsidRDefault="00E77CC1" w:rsidP="00E77CC1">
      <w:pPr>
        <w:spacing w:after="200" w:line="256" w:lineRule="auto"/>
        <w:jc w:val="both"/>
        <w:rPr>
          <w:rFonts w:ascii="Times New Roman" w:hAnsi="Times New Roman" w:cs="Times New Roman"/>
        </w:rPr>
      </w:pPr>
      <w:r w:rsidRPr="00843F21">
        <w:rPr>
          <w:rFonts w:ascii="Times New Roman" w:hAnsi="Times New Roman" w:cs="Times New Roman"/>
          <w:b/>
          <w:sz w:val="24"/>
          <w:szCs w:val="24"/>
        </w:rPr>
        <w:lastRenderedPageBreak/>
        <w:t xml:space="preserve">Part B: </w:t>
      </w:r>
      <w:r w:rsidRPr="00843F21">
        <w:rPr>
          <w:rFonts w:ascii="Times New Roman" w:hAnsi="Times New Roman" w:cs="Times New Roman"/>
          <w:sz w:val="24"/>
          <w:szCs w:val="24"/>
        </w:rPr>
        <w:t>As a policy analyst for the Congressional Budget Office, you have been asked to estimate the potential costs of occupational licensing to the U.S. economy. Using demand analysis, a basic examination of the national costs of licensing could be developed as follows: Suppose that the entire 1</w:t>
      </w:r>
      <w:r w:rsidR="00FC550A">
        <w:rPr>
          <w:rFonts w:ascii="Times New Roman" w:hAnsi="Times New Roman" w:cs="Times New Roman"/>
          <w:sz w:val="24"/>
          <w:szCs w:val="24"/>
        </w:rPr>
        <w:t>5</w:t>
      </w:r>
      <w:r w:rsidRPr="00843F21">
        <w:rPr>
          <w:rFonts w:ascii="Times New Roman" w:hAnsi="Times New Roman" w:cs="Times New Roman"/>
          <w:sz w:val="24"/>
          <w:szCs w:val="24"/>
        </w:rPr>
        <w:t xml:space="preserve"> percent wage premium is from market power (as opposed to greater productivity from enhanced human capital), and further assume that labor supply is perfectly elastic and the labor demand elasticity is 0.</w:t>
      </w:r>
      <w:r w:rsidR="00FC550A">
        <w:rPr>
          <w:rFonts w:ascii="Times New Roman" w:hAnsi="Times New Roman" w:cs="Times New Roman"/>
          <w:sz w:val="24"/>
          <w:szCs w:val="24"/>
        </w:rPr>
        <w:t>6</w:t>
      </w:r>
      <w:r w:rsidRPr="00843F21">
        <w:rPr>
          <w:rFonts w:ascii="Times New Roman" w:hAnsi="Times New Roman" w:cs="Times New Roman"/>
          <w:sz w:val="24"/>
          <w:szCs w:val="24"/>
        </w:rPr>
        <w:t>. Hypothetically, assume that the Census data suggests that there are approximately 8</w:t>
      </w:r>
      <w:r w:rsidR="00FC550A">
        <w:rPr>
          <w:rFonts w:ascii="Times New Roman" w:hAnsi="Times New Roman" w:cs="Times New Roman"/>
          <w:sz w:val="24"/>
          <w:szCs w:val="24"/>
        </w:rPr>
        <w:t>0</w:t>
      </w:r>
      <w:r w:rsidRPr="00843F21">
        <w:rPr>
          <w:rFonts w:ascii="Times New Roman" w:hAnsi="Times New Roman" w:cs="Times New Roman"/>
          <w:sz w:val="24"/>
          <w:szCs w:val="24"/>
        </w:rPr>
        <w:t xml:space="preserve"> million licensed workers in the U.S. Also assume that the average earning is $</w:t>
      </w:r>
      <w:r w:rsidR="00FC550A">
        <w:rPr>
          <w:rFonts w:ascii="Times New Roman" w:hAnsi="Times New Roman" w:cs="Times New Roman"/>
          <w:sz w:val="24"/>
          <w:szCs w:val="24"/>
        </w:rPr>
        <w:t>62</w:t>
      </w:r>
      <w:r w:rsidRPr="00843F21">
        <w:rPr>
          <w:rFonts w:ascii="Times New Roman" w:hAnsi="Times New Roman" w:cs="Times New Roman"/>
          <w:sz w:val="24"/>
          <w:szCs w:val="24"/>
        </w:rPr>
        <w:t>,000. Calculate the potential job loss and the annual cost to consumers as a consequence of occupational licensing.</w:t>
      </w:r>
      <w:r w:rsidRPr="00843F21">
        <w:rPr>
          <w:rFonts w:ascii="Times New Roman" w:hAnsi="Times New Roman" w:cs="Times New Roman"/>
          <w:sz w:val="24"/>
          <w:szCs w:val="24"/>
          <w:vertAlign w:val="superscript"/>
        </w:rPr>
        <w:footnoteReference w:id="1"/>
      </w:r>
      <w:r w:rsidRPr="00843F21">
        <w:rPr>
          <w:rFonts w:ascii="Times New Roman" w:eastAsiaTheme="minorEastAsia" w:hAnsi="Times New Roman" w:cs="Times New Roman"/>
          <w:sz w:val="24"/>
          <w:szCs w:val="24"/>
        </w:rPr>
        <w:t xml:space="preserve"> </w:t>
      </w:r>
    </w:p>
    <w:sectPr w:rsidR="00E77CC1" w:rsidRPr="00E77C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CE452" w14:textId="77777777" w:rsidR="00B83A9D" w:rsidRDefault="00B83A9D" w:rsidP="00E77CC1">
      <w:pPr>
        <w:spacing w:after="0" w:line="240" w:lineRule="auto"/>
      </w:pPr>
      <w:r>
        <w:separator/>
      </w:r>
    </w:p>
  </w:endnote>
  <w:endnote w:type="continuationSeparator" w:id="0">
    <w:p w14:paraId="6FB94384" w14:textId="77777777" w:rsidR="00B83A9D" w:rsidRDefault="00B83A9D" w:rsidP="00E7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178544"/>
      <w:docPartObj>
        <w:docPartGallery w:val="Page Numbers (Bottom of Page)"/>
        <w:docPartUnique/>
      </w:docPartObj>
    </w:sdtPr>
    <w:sdtEndPr>
      <w:rPr>
        <w:noProof/>
      </w:rPr>
    </w:sdtEndPr>
    <w:sdtContent>
      <w:p w14:paraId="22095F8A" w14:textId="719615EB" w:rsidR="00A17CB3" w:rsidRDefault="00A17C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17C637" w14:textId="77777777" w:rsidR="00A17CB3" w:rsidRDefault="00A17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B18C9" w14:textId="77777777" w:rsidR="00B83A9D" w:rsidRDefault="00B83A9D" w:rsidP="00E77CC1">
      <w:pPr>
        <w:spacing w:after="0" w:line="240" w:lineRule="auto"/>
      </w:pPr>
      <w:r>
        <w:separator/>
      </w:r>
    </w:p>
  </w:footnote>
  <w:footnote w:type="continuationSeparator" w:id="0">
    <w:p w14:paraId="76F383CB" w14:textId="77777777" w:rsidR="00B83A9D" w:rsidRDefault="00B83A9D" w:rsidP="00E77CC1">
      <w:pPr>
        <w:spacing w:after="0" w:line="240" w:lineRule="auto"/>
      </w:pPr>
      <w:r>
        <w:continuationSeparator/>
      </w:r>
    </w:p>
  </w:footnote>
  <w:footnote w:id="1">
    <w:p w14:paraId="742014B9" w14:textId="77777777" w:rsidR="00E77CC1" w:rsidRPr="00161EC8" w:rsidRDefault="00E77CC1" w:rsidP="00E77CC1">
      <w:pPr>
        <w:pStyle w:val="footnotedescription"/>
        <w:spacing w:line="256" w:lineRule="auto"/>
        <w:ind w:left="249" w:firstLine="0"/>
        <w:rPr>
          <w:sz w:val="24"/>
          <w:szCs w:val="24"/>
        </w:rPr>
      </w:pPr>
      <w:r w:rsidRPr="00161EC8">
        <w:rPr>
          <w:rStyle w:val="footnotemark"/>
          <w:sz w:val="24"/>
          <w:szCs w:val="24"/>
        </w:rPr>
        <w:footnoteRef/>
      </w:r>
      <w:r w:rsidRPr="00161EC8">
        <w:rPr>
          <w:sz w:val="24"/>
          <w:szCs w:val="24"/>
        </w:rPr>
        <w:t xml:space="preserve"> Hint: Recall that the movement up the demand curve is the change in wages times the labor demand elasticity times the number of workers. To calculate the costs, what would a license worker make if they were unregulated?</w:t>
      </w:r>
      <w:r>
        <w:rPr>
          <w:sz w:val="24"/>
          <w:szCs w:val="24"/>
        </w:rPr>
        <w:t xml:space="preserve"> See Endnote 3 in “Reforming Occupational Licensing Policies” (Kleiner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0078"/>
    <w:multiLevelType w:val="hybridMultilevel"/>
    <w:tmpl w:val="327E7BC2"/>
    <w:lvl w:ilvl="0" w:tplc="06229DF8">
      <w:start w:val="1"/>
      <w:numFmt w:val="decimal"/>
      <w:lvlText w:val="%1"/>
      <w:lvlJc w:val="left"/>
      <w:pPr>
        <w:ind w:left="3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04090011">
      <w:start w:val="1"/>
      <w:numFmt w:val="decimal"/>
      <w:lvlText w:val="%2)"/>
      <w:lvlJc w:val="left"/>
      <w:pPr>
        <w:ind w:left="1033" w:firstLine="0"/>
      </w:pPr>
      <w:rPr>
        <w:b w:val="0"/>
        <w:i w:val="0"/>
        <w:strike w:val="0"/>
        <w:dstrike w:val="0"/>
        <w:color w:val="000000"/>
        <w:sz w:val="22"/>
        <w:szCs w:val="22"/>
        <w:u w:val="none" w:color="000000"/>
        <w:effect w:val="none"/>
        <w:bdr w:val="none" w:sz="0" w:space="0" w:color="auto" w:frame="1"/>
        <w:vertAlign w:val="baseline"/>
      </w:rPr>
    </w:lvl>
    <w:lvl w:ilvl="2" w:tplc="ABE615F0">
      <w:start w:val="1"/>
      <w:numFmt w:val="lowerRoman"/>
      <w:lvlText w:val="%3"/>
      <w:lvlJc w:val="left"/>
      <w:pPr>
        <w:ind w:left="171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EA2E7E92">
      <w:start w:val="1"/>
      <w:numFmt w:val="decimal"/>
      <w:lvlText w:val="%4"/>
      <w:lvlJc w:val="left"/>
      <w:pPr>
        <w:ind w:left="243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1F265ABE">
      <w:start w:val="1"/>
      <w:numFmt w:val="lowerLetter"/>
      <w:lvlText w:val="%5"/>
      <w:lvlJc w:val="left"/>
      <w:pPr>
        <w:ind w:left="315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8F5406E6">
      <w:start w:val="1"/>
      <w:numFmt w:val="lowerRoman"/>
      <w:lvlText w:val="%6"/>
      <w:lvlJc w:val="left"/>
      <w:pPr>
        <w:ind w:left="387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ECC280FE">
      <w:start w:val="1"/>
      <w:numFmt w:val="decimal"/>
      <w:lvlText w:val="%7"/>
      <w:lvlJc w:val="left"/>
      <w:pPr>
        <w:ind w:left="459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1B8E674C">
      <w:start w:val="1"/>
      <w:numFmt w:val="lowerLetter"/>
      <w:lvlText w:val="%8"/>
      <w:lvlJc w:val="left"/>
      <w:pPr>
        <w:ind w:left="531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2A184336">
      <w:start w:val="1"/>
      <w:numFmt w:val="lowerRoman"/>
      <w:lvlText w:val="%9"/>
      <w:lvlJc w:val="left"/>
      <w:pPr>
        <w:ind w:left="603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58946447"/>
    <w:multiLevelType w:val="hybridMultilevel"/>
    <w:tmpl w:val="E8BC3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D6C58"/>
    <w:multiLevelType w:val="hybridMultilevel"/>
    <w:tmpl w:val="2F6E0D40"/>
    <w:lvl w:ilvl="0" w:tplc="4DFC460E">
      <w:start w:val="1"/>
      <w:numFmt w:val="lowerRoman"/>
      <w:lvlText w:val="%1"/>
      <w:lvlJc w:val="left"/>
      <w:pPr>
        <w:ind w:left="545" w:firstLine="0"/>
      </w:pPr>
      <w:rPr>
        <w:rFonts w:ascii="Cambria" w:eastAsia="Cambria" w:hAnsi="Cambria" w:cs="Cambria"/>
        <w:b w:val="0"/>
        <w:i w:val="0"/>
        <w:strike w:val="0"/>
        <w:dstrike w:val="0"/>
        <w:color w:val="000000"/>
        <w:sz w:val="22"/>
        <w:szCs w:val="22"/>
        <w:u w:val="none" w:color="000000"/>
        <w:effect w:val="none"/>
        <w:bdr w:val="none" w:sz="0" w:space="0" w:color="auto"/>
        <w:shd w:val="clear" w:color="auto" w:fill="auto"/>
        <w:vertAlign w:val="baseline"/>
      </w:rPr>
    </w:lvl>
    <w:lvl w:ilvl="1" w:tplc="56824272">
      <w:start w:val="1"/>
      <w:numFmt w:val="lowerLetter"/>
      <w:lvlText w:val="(%2)"/>
      <w:lvlJc w:val="left"/>
      <w:pPr>
        <w:ind w:left="103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5DD89360">
      <w:start w:val="1"/>
      <w:numFmt w:val="lowerRoman"/>
      <w:lvlText w:val="%3."/>
      <w:lvlJc w:val="left"/>
      <w:pPr>
        <w:ind w:left="137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3BAA4C26">
      <w:start w:val="1"/>
      <w:numFmt w:val="decimal"/>
      <w:lvlText w:val="%4"/>
      <w:lvlJc w:val="left"/>
      <w:pPr>
        <w:ind w:left="225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C63EE3AA">
      <w:start w:val="1"/>
      <w:numFmt w:val="lowerLetter"/>
      <w:lvlText w:val="%5"/>
      <w:lvlJc w:val="left"/>
      <w:pPr>
        <w:ind w:left="297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814838C6">
      <w:start w:val="1"/>
      <w:numFmt w:val="lowerRoman"/>
      <w:lvlText w:val="%6"/>
      <w:lvlJc w:val="left"/>
      <w:pPr>
        <w:ind w:left="369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4DEEF4E0">
      <w:start w:val="1"/>
      <w:numFmt w:val="decimal"/>
      <w:lvlText w:val="%7"/>
      <w:lvlJc w:val="left"/>
      <w:pPr>
        <w:ind w:left="441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B936D214">
      <w:start w:val="1"/>
      <w:numFmt w:val="lowerLetter"/>
      <w:lvlText w:val="%8"/>
      <w:lvlJc w:val="left"/>
      <w:pPr>
        <w:ind w:left="513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CFDA6BE4">
      <w:start w:val="1"/>
      <w:numFmt w:val="lowerRoman"/>
      <w:lvlText w:val="%9"/>
      <w:lvlJc w:val="left"/>
      <w:pPr>
        <w:ind w:left="585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C1"/>
    <w:rsid w:val="00195C3B"/>
    <w:rsid w:val="002B4F92"/>
    <w:rsid w:val="0052451C"/>
    <w:rsid w:val="005D0225"/>
    <w:rsid w:val="00697DF8"/>
    <w:rsid w:val="00A17CB3"/>
    <w:rsid w:val="00B83A9D"/>
    <w:rsid w:val="00E42398"/>
    <w:rsid w:val="00E77CC1"/>
    <w:rsid w:val="00FC550A"/>
    <w:rsid w:val="00FF4D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10D4"/>
  <w15:chartTrackingRefBased/>
  <w15:docId w15:val="{71DF50C6-19D2-4356-A459-FA9D503C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descriptionChar">
    <w:name w:val="footnote description Char"/>
    <w:link w:val="footnotedescription"/>
    <w:locked/>
    <w:rsid w:val="00E77CC1"/>
    <w:rPr>
      <w:rFonts w:ascii="Cambria" w:eastAsia="Cambria" w:hAnsi="Cambria" w:cs="Cambria"/>
      <w:color w:val="000000"/>
      <w:sz w:val="18"/>
    </w:rPr>
  </w:style>
  <w:style w:type="paragraph" w:customStyle="1" w:styleId="footnotedescription">
    <w:name w:val="footnote description"/>
    <w:next w:val="Normal"/>
    <w:link w:val="footnotedescriptionChar"/>
    <w:rsid w:val="00E77CC1"/>
    <w:pPr>
      <w:spacing w:after="0" w:line="261" w:lineRule="auto"/>
      <w:ind w:left="124" w:firstLine="166"/>
    </w:pPr>
    <w:rPr>
      <w:rFonts w:ascii="Cambria" w:eastAsia="Cambria" w:hAnsi="Cambria" w:cs="Cambria"/>
      <w:color w:val="000000"/>
      <w:sz w:val="18"/>
    </w:rPr>
  </w:style>
  <w:style w:type="character" w:customStyle="1" w:styleId="footnotemark">
    <w:name w:val="footnote mark"/>
    <w:rsid w:val="00E77CC1"/>
    <w:rPr>
      <w:rFonts w:ascii="Cambria" w:eastAsia="Cambria" w:hAnsi="Cambria" w:cs="Cambria" w:hint="default"/>
      <w:color w:val="000000"/>
      <w:sz w:val="18"/>
      <w:vertAlign w:val="superscript"/>
    </w:rPr>
  </w:style>
  <w:style w:type="paragraph" w:styleId="ListParagraph">
    <w:name w:val="List Paragraph"/>
    <w:basedOn w:val="Normal"/>
    <w:uiPriority w:val="34"/>
    <w:qFormat/>
    <w:rsid w:val="00E77CC1"/>
    <w:pPr>
      <w:ind w:left="720"/>
      <w:contextualSpacing/>
    </w:pPr>
  </w:style>
  <w:style w:type="paragraph" w:styleId="Header">
    <w:name w:val="header"/>
    <w:basedOn w:val="Normal"/>
    <w:link w:val="HeaderChar"/>
    <w:uiPriority w:val="99"/>
    <w:unhideWhenUsed/>
    <w:rsid w:val="00A17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CB3"/>
  </w:style>
  <w:style w:type="paragraph" w:styleId="Footer">
    <w:name w:val="footer"/>
    <w:basedOn w:val="Normal"/>
    <w:link w:val="FooterChar"/>
    <w:uiPriority w:val="99"/>
    <w:unhideWhenUsed/>
    <w:rsid w:val="00A17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dasom</dc:creator>
  <cp:keywords/>
  <dc:description/>
  <cp:lastModifiedBy> </cp:lastModifiedBy>
  <cp:revision>3</cp:revision>
  <dcterms:created xsi:type="dcterms:W3CDTF">2020-08-21T08:34:00Z</dcterms:created>
  <dcterms:modified xsi:type="dcterms:W3CDTF">2020-08-21T21:23:00Z</dcterms:modified>
</cp:coreProperties>
</file>