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Arial" w:hAnsi="Arial"/>
          <w:b w:val="0"/>
          <w:color w:val="000000"/>
          <w:sz w:val="24"/>
        </w:rPr>
        <w:t>Wendel Muniz</w:t>
      </w:r>
    </w:p>
    <w:p>
      <w:pPr>
        <w:spacing w:after="0"/>
        <w:jc w:val="right"/>
      </w:pPr>
      <w:r>
        <w:rPr>
          <w:rFonts w:ascii="Arial" w:hAnsi="Arial"/>
          <w:b w:val="0"/>
          <w:color w:val="000000"/>
          <w:sz w:val="24"/>
        </w:rPr>
        <w:t>wendelmuniz04@gmail.com</w:t>
      </w:r>
    </w:p>
    <w:p>
      <w:pPr>
        <w:spacing w:after="0"/>
        <w:jc w:val="right"/>
      </w:pPr>
      <w:r>
        <w:rPr>
          <w:rFonts w:ascii="Arial" w:hAnsi="Arial"/>
          <w:b w:val="0"/>
          <w:color w:val="000000"/>
          <w:sz w:val="24"/>
        </w:rPr>
        <w:t>18 de junho de 2026</w:t>
      </w:r>
    </w:p>
    <w:p>
      <w:pPr>
        <w:spacing w:before="0" w:after="280"/>
        <w:jc w:val="both"/>
      </w:pPr>
    </w:p>
    <w:p>
      <w:pPr>
        <w:spacing w:before="0" w:after="40"/>
        <w:jc w:val="both"/>
      </w:pPr>
      <w:r>
        <w:rPr>
          <w:rFonts w:ascii="Arial" w:hAnsi="Arial"/>
          <w:b w:val="0"/>
          <w:color w:val="000000"/>
          <w:sz w:val="24"/>
        </w:rPr>
        <w:t>Para: Fernanda Batista</w:t>
      </w:r>
    </w:p>
    <w:p>
      <w:pPr>
        <w:spacing w:before="0" w:after="360"/>
        <w:jc w:val="both"/>
      </w:pPr>
      <w:r>
        <w:rPr>
          <w:rFonts w:ascii="Arial" w:hAnsi="Arial"/>
          <w:b w:val="0"/>
          <w:color w:val="000000"/>
          <w:sz w:val="24"/>
        </w:rPr>
        <w:t>Assunto: Entrega do Desafio Técnico — POC de Automação CCM + NFS-e</w:t>
      </w:r>
    </w:p>
    <w:p>
      <w:pPr>
        <w:spacing w:before="0" w:after="200"/>
        <w:jc w:val="both"/>
      </w:pPr>
      <w:r>
        <w:rPr>
          <w:rFonts w:ascii="Arial" w:hAnsi="Arial"/>
          <w:b w:val="0"/>
          <w:color w:val="000000"/>
          <w:sz w:val="24"/>
        </w:rPr>
        <w:t>Prezada Fernanda,</w:t>
      </w:r>
    </w:p>
    <w:p>
      <w:pPr>
        <w:spacing w:before="0" w:after="200"/>
        <w:jc w:val="both"/>
      </w:pPr>
      <w:r>
        <w:rPr>
          <w:rFonts w:ascii="Arial" w:hAnsi="Arial"/>
          <w:b w:val="0"/>
          <w:color w:val="000000"/>
          <w:sz w:val="24"/>
        </w:rPr>
        <w:t>Agradeço o retorno. Com base no feedback, evoluí a solução para de fato trazer resultados, e não apenas levantar os pontos de bloqueio de cada portal. O projeto é uma automação fiscal em Python que lê a planilha de entrada e, para cada linha, extrai e valida os dados da nota a partir da própria chave fiscal, enriquece o cadastro da empresa por APIs públicas e tenta a captura nos portais municipais.</w:t>
      </w:r>
    </w:p>
    <w:p>
      <w:pPr>
        <w:spacing w:before="0" w:after="200"/>
        <w:jc w:val="both"/>
      </w:pPr>
      <w:r>
        <w:rPr>
          <w:rFonts w:ascii="Arial" w:hAnsi="Arial"/>
          <w:b w:val="0"/>
          <w:color w:val="000000"/>
          <w:sz w:val="24"/>
        </w:rPr>
        <w:t>O resultado passou de nenhuma linha com dados para 20 de 25 linhas com dados completos (cadastro da empresa + documento fiscal decodificado), 5 parciais e nenhum erro — além de sinalizar 2 divergências reais de CNPJ para auditoria.</w:t>
      </w: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1. Repositório</w:t>
      </w:r>
    </w:p>
    <w:p>
      <w:pPr>
        <w:spacing w:before="0" w:after="80"/>
        <w:jc w:val="both"/>
      </w:pPr>
      <w:r>
        <w:rPr>
          <w:rFonts w:ascii="Arial" w:hAnsi="Arial"/>
          <w:b w:val="0"/>
          <w:color w:val="000000"/>
          <w:sz w:val="24"/>
        </w:rPr>
        <w:t>O código-fonte está disponível publicamente no GitHub:</w:t>
      </w:r>
    </w:p>
    <w:p>
      <w:pPr>
        <w:spacing w:before="0" w:after="200"/>
        <w:jc w:val="both"/>
      </w:pPr>
      <w:r>
        <w:rPr>
          <w:rFonts w:ascii="Arial" w:hAnsi="Arial"/>
          <w:b w:val="0"/>
          <w:color w:val="000000"/>
          <w:sz w:val="24"/>
        </w:rPr>
        <w:t>https://github.com/wendel211/poc-automacao-ccm-nfse</w:t>
      </w: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2. Como Executar</w:t>
      </w:r>
    </w:p>
    <w:p>
      <w:pPr>
        <w:spacing w:before="0" w:after="80"/>
        <w:jc w:val="both"/>
      </w:pPr>
      <w:r>
        <w:rPr>
          <w:rFonts w:ascii="Arial" w:hAnsi="Arial"/>
          <w:b/>
          <w:color w:val="000000"/>
          <w:sz w:val="24"/>
        </w:rPr>
        <w:t>Opção 1 — Python local:</w:t>
      </w:r>
    </w:p>
    <w:p>
      <w:pPr>
        <w:spacing w:before="0" w:after="200"/>
        <w:jc w:val="both"/>
      </w:pPr>
      <w:r>
        <w:rPr>
          <w:rFonts w:ascii="Arial" w:hAnsi="Arial"/>
          <w:b w:val="0"/>
          <w:color w:val="000000"/>
          <w:sz w:val="24"/>
        </w:rPr>
        <w:t>pip install -e ".[dev]"</w:t>
        <w:br/>
        <w:t>python -m playwright install chromium</w:t>
        <w:br/>
        <w:t>python -m src.main input/janabril2026_amostra_5x5.xlsx</w:t>
      </w:r>
    </w:p>
    <w:p>
      <w:pPr>
        <w:spacing w:before="0" w:after="80"/>
        <w:jc w:val="both"/>
      </w:pPr>
      <w:r>
        <w:rPr>
          <w:rFonts w:ascii="Arial" w:hAnsi="Arial"/>
          <w:b/>
          <w:color w:val="000000"/>
          <w:sz w:val="24"/>
        </w:rPr>
        <w:t>Opção 2 — Docker (recomendado para reprodutibilidade):</w:t>
      </w:r>
    </w:p>
    <w:p>
      <w:pPr>
        <w:spacing w:before="0" w:after="200"/>
        <w:jc w:val="both"/>
      </w:pPr>
      <w:r>
        <w:rPr>
          <w:rFonts w:ascii="Arial" w:hAnsi="Arial"/>
          <w:b w:val="0"/>
          <w:color w:val="000000"/>
          <w:sz w:val="24"/>
        </w:rPr>
        <w:t>docker compose run --rm pipeline</w:t>
      </w: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3. O Que o Sistema Faz</w:t>
      </w:r>
    </w:p>
    <w:p>
      <w:pPr>
        <w:spacing w:before="0" w:after="80"/>
        <w:jc w:val="both"/>
      </w:pPr>
      <w:r>
        <w:rPr>
          <w:rFonts w:ascii="Arial" w:hAnsi="Arial"/>
          <w:b w:val="0"/>
          <w:color w:val="000000"/>
          <w:sz w:val="24"/>
        </w:rPr>
        <w:t>Para cada linha da planilha de entrada, o pipeline: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Identifica o município, o CNPJ e o código de verificação da nota fiscal.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Seleciona o conector correto por município (Strategy Pattern).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Consulta o CCM — utiliza cache SQLite para evitar consultas duplicadas ao mesmo portal.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Captura screenshot do cadastro municipal como evidência.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Captura screenshot ou acessa o documento da nota fiscal.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Registra o resultado por linha com status, mensagem técnica e caminho dos arquivos.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Ao final, gera planilha de saída com 9 colunas de resultado e relatório HTML com evidências embutidas.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Grava log estruturado JSONL (output/logs/) com uma entrada por linha processada.</w:t>
      </w:r>
    </w:p>
    <w:p>
      <w:pPr>
        <w:spacing w:before="0" w:after="80"/>
        <w:jc w:val="both"/>
      </w:pP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4. Municípios Atendidos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Município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Portal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Estratégia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Limitação / Observação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Belo Horizonte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servicos.pbh.gov.br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Playwright (Sydle SPA)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Screenshot como evidência — Shadow DOM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Rio de Janeiro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Nota Carioca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Playwright + NFS-e Nacional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CAPTCHA bloqueia submissão; formulário preenchido capturado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Barueri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ISSNet Online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Playwright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Cloudflare 403 — evidência em arquivo .txt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Porto Alegre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NFS-e Nacional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Chave longa (40+ dígitos)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DNS failure em todos os portais municipais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Nova Lima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NFS-e Nacional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Chave longa (40+ dígitos)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Portal migrado em jan/2026; DNS failure</w:t>
            </w:r>
          </w:p>
        </w:tc>
      </w:tr>
    </w:tbl>
    <w:p>
      <w:pPr>
        <w:spacing w:before="0" w:after="80"/>
        <w:jc w:val="both"/>
      </w:pP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5. Como os Bloqueios dos Portais Foram Contornados</w:t>
      </w:r>
    </w:p>
    <w:p>
      <w:pPr>
        <w:spacing w:before="0" w:after="120"/>
        <w:jc w:val="both"/>
      </w:pPr>
      <w:r>
        <w:rPr>
          <w:rFonts w:ascii="Arial" w:hAnsi="Arial"/>
          <w:b w:val="0"/>
          <w:color w:val="000000"/>
          <w:sz w:val="24"/>
        </w:rPr>
        <w:t>Todos os portais municipais bloqueiam acesso automatizado (CAPTCHA no Rio de Janeiro, Cloudflare em Barueri, login gov.br no NFS-e Nacional, DNS offline em Porto Alegre e Nova Lima). Insistir em baixar o PDF no portal não traz resultado. A virada de estratégia foi extrair os dados diretamente das fontes que de fato respondem: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Decodificação das chaves fiscais: a coluna COD.VERIFICACAO já contém os dados da nota. As chaves de acesso são padronizadas nacionalmente e auto-contidas — 50 dígitos para NFS-e Nacional (serviços) e 44 dígitos para NF-e/NFC-e (produtos). Decodificá-las extrai município, CNPJ do emitente, número, série e competência, com validação do dígito verificador por módulo 11. Não depende de nenhum portal.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Enriquecimento do cadastro da empresa: como a Inscrição Municipal (CCM) não é exposta por nenhuma fonte pública federal, o cadastro oficial da empresa é obtido por uma cadeia de fallback entre APIs públicas (ReceitaWS, CNPJa, BrasilAPI), retornando razão social, situação cadastral e atividade principal.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Validação cruzada de auditoria: o CNPJ do emitente embutido na chave é comparado ao fornecedor listado na planilha, sinalizando divergências fiscais.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Materialização em arquivos baixáveis: cada empresa recebe um comprovante de cadastro em PDF (gerado dos dados da Receita) e cada nota com chave decodificável recebe um JSON estruturado com os campos extraídos e validados.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Tentativas de captura nos portais foram mantidas como evidência (Shadow DOM piercing em BH, contexto stealth em Barueri, formulário preenchido no RJ, página de consulta pública oficial no NFS-e Nacional).</w:t>
      </w:r>
    </w:p>
    <w:p>
      <w:pPr>
        <w:spacing w:before="0" w:after="120"/>
        <w:jc w:val="both"/>
      </w:pPr>
    </w:p>
    <w:p>
      <w:pPr>
        <w:spacing w:before="120" w:after="120"/>
        <w:jc w:val="left"/>
      </w:pPr>
      <w:r>
        <w:rPr>
          <w:rFonts w:ascii="Arial" w:hAnsi="Arial"/>
          <w:b/>
          <w:color w:val="000000"/>
          <w:sz w:val="24"/>
        </w:rPr>
        <w:t>Resultado da Execução Real</w:t>
      </w:r>
    </w:p>
    <w:p>
      <w:pPr>
        <w:spacing w:before="0" w:after="120"/>
        <w:jc w:val="both"/>
      </w:pPr>
      <w:r>
        <w:rPr>
          <w:rFonts w:ascii="Arial" w:hAnsi="Arial"/>
          <w:b w:val="0"/>
          <w:color w:val="000000"/>
          <w:sz w:val="24"/>
        </w:rPr>
        <w:t>Executado sobre a planilha de amostra com 25 linhas (5 municípios x 5 empresas):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Linhas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Detalhe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SUCESSO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Cadastro da empresa obtido + documento fiscal decodificado/capturado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PARCIAL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Cadastro obtido; código proprietário do portal municipal não decodificável e portal bloqueou captura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ERRO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 w:val="0"/>
                <w:color w:val="000000"/>
                <w:sz w:val="20"/>
              </w:rPr>
              <w:t>Nenhuma linha sem dados</w:t>
            </w:r>
          </w:p>
        </w:tc>
      </w:tr>
    </w:tbl>
    <w:p>
      <w:pPr>
        <w:spacing w:before="0" w:after="80"/>
        <w:jc w:val="both"/>
      </w:pPr>
    </w:p>
    <w:p>
      <w:pPr>
        <w:spacing w:before="0" w:after="80"/>
        <w:jc w:val="both"/>
      </w:pPr>
      <w:r>
        <w:rPr>
          <w:rFonts w:ascii="Arial" w:hAnsi="Arial"/>
          <w:b w:val="0"/>
          <w:color w:val="000000"/>
          <w:sz w:val="24"/>
        </w:rPr>
        <w:t>A validação cruzada também sinalizou 2 divergências reais de CNPJ do emitente — notas cujo emitente difere do fornecedor listado (ex.: nota emitida de Curitiba para um fornecedor de Barueri).</w:t>
      </w: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6. Stack Técnica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Python 3.11 com Pydantic v2 para validação e normalização de cada linha da planilha.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Decodificador de chaves fiscais próprio (NFS-e Nacional 50 dígitos e NF-e/NFC-e 44 dígitos) com validação de dígito verificador por módulo 11.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httpx + tenacity para requisições HTTP com retry; cadeia de fallback de enriquecimento de CNPJ (ReceitaWS, CNPJa, BrasilAPI).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Playwright (Chromium headless) com Shadow DOM piercing e contexto stealth para tentativa de captura nos portais.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reportlab para gerar o comprovante de cadastro em PDF a partir dos dados da Receita.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Rich para tabela de progresso ao vivo no terminal durante a execução.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SQLite para cache de CCM por municipio::cnpj, evitando consultas duplicadas.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Docker / docker-compose para execução reproduzível em qualquer ambiente.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GitHub Actions (CI) para execução automática dos 30 testes a cada push.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openpyxl / pandas para leitura da planilha de entrada e escrita dos resultados.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loguru para logs estruturados; JSONL por execução para auditoria linha a linha.</w:t>
      </w:r>
    </w:p>
    <w:p>
      <w:pPr>
        <w:spacing w:before="0" w:after="80"/>
        <w:jc w:val="both"/>
      </w:pP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7. Arquivos Gerados por Execução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output/resultado_&lt;timestamp&gt;.xlsx — planilha com 20 colunas de resultado (dados cadastrais, dados da chave decodificada, validações e caminhos de arquivo), coloridas por status.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output/relatorio_&lt;timestamp&gt;.html — relatório HTML com cards de resumo e screenshots embutidos.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output/logs/execution_&lt;timestamp&gt;.jsonl — log estruturado com uma entrada JSON por linha processada.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output/evidencias/&lt;MUNICIPIO&gt;/&lt;CNPJ&gt;/comprovante_cadastro_&lt;CNPJ&gt;.pdf — comprovante de cadastro gerado.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output/evidencias/&lt;MUNICIPIO&gt;/&lt;CNPJ&gt;/notas/dados_nota_&lt;n&gt;.json — dados decodificados e validados da nota.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output/evidencias/&lt;MUNICIPIO&gt;/&lt;CNPJ&gt;/ — screenshots dos portais como evidência das tentativas.</w:t>
      </w:r>
    </w:p>
    <w:p>
      <w:pPr>
        <w:spacing w:before="0" w:after="80"/>
        <w:jc w:val="both"/>
      </w:pPr>
    </w:p>
    <w:p>
      <w:pPr>
        <w:spacing w:before="240" w:after="120"/>
        <w:jc w:val="left"/>
      </w:pPr>
      <w:r>
        <w:rPr>
          <w:rFonts w:ascii="Arial" w:hAnsi="Arial"/>
          <w:b/>
          <w:color w:val="000000"/>
          <w:sz w:val="24"/>
        </w:rPr>
        <w:t>8. Principais Decisões Técnicas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Verificação de URLs por HTTP antes de implementar qualquer automação, evitando trabalho em endpoints inexistentes (DNS failure documentado para Porto Alegre e Nova Lima).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Strategy Pattern nos conectores: o orquestrador não conhece o portal — apenas chama o conector do município. Permite adicionar novos municípios sem alterar o pipeline.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Detecção de chave NFS-e Nacional via regex \d{40,}: chaves com 40 ou mais dígitos numéricos são roteadas ao portal nacional; códigos curtos ao portal municipal.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wait_until="domcontentloaded" no Playwright: portais com CDN e analytics externos nunca atingem networkidle dentro de 30 segundos, gerando falsos erros de navegação.</w:t>
      </w:r>
    </w:p>
    <w:p>
      <w:pPr>
        <w:pStyle w:val="ListBullet"/>
        <w:spacing w:after="80"/>
        <w:jc w:val="both"/>
      </w:pPr>
      <w:r>
        <w:rPr>
          <w:rFonts w:ascii="Arial" w:hAnsi="Arial"/>
          <w:b w:val="0"/>
          <w:color w:val="000000"/>
          <w:sz w:val="24"/>
        </w:rPr>
        <w:t>Evidência .txt para Barueri: a CSP do Cloudflare bloqueia a captura de screenshot via CDP; o sistema salva URL, status HTTP e descrição do bloqueio como evidência da tentativa.</w:t>
      </w:r>
    </w:p>
    <w:p>
      <w:pPr>
        <w:spacing w:before="0" w:after="280"/>
        <w:jc w:val="both"/>
      </w:pPr>
    </w:p>
    <w:p>
      <w:pPr>
        <w:spacing w:before="0" w:after="360"/>
        <w:jc w:val="both"/>
      </w:pPr>
      <w:r>
        <w:rPr>
          <w:rFonts w:ascii="Arial" w:hAnsi="Arial"/>
          <w:b w:val="0"/>
          <w:color w:val="000000"/>
          <w:sz w:val="24"/>
        </w:rPr>
        <w:t>Agradeço a oportunidade e fico à disposição para quaisquer dúvidas ou esclarecimentos adicionais.</w:t>
      </w:r>
    </w:p>
    <w:p>
      <w:pPr>
        <w:spacing w:before="0" w:after="80"/>
        <w:jc w:val="both"/>
      </w:pPr>
      <w:r>
        <w:rPr>
          <w:rFonts w:ascii="Arial" w:hAnsi="Arial"/>
          <w:b w:val="0"/>
          <w:color w:val="000000"/>
          <w:sz w:val="24"/>
        </w:rPr>
        <w:t>Atenciosamente,</w:t>
      </w:r>
    </w:p>
    <w:p>
      <w:pPr>
        <w:spacing w:before="0" w:after="40"/>
        <w:jc w:val="both"/>
      </w:pPr>
      <w:r>
        <w:rPr>
          <w:rFonts w:ascii="Arial" w:hAnsi="Arial"/>
          <w:b/>
          <w:color w:val="000000"/>
          <w:sz w:val="24"/>
        </w:rPr>
        <w:t>Wendel Muniz</w:t>
      </w:r>
    </w:p>
    <w:p>
      <w:pPr>
        <w:spacing w:before="0" w:after="0"/>
        <w:jc w:val="both"/>
      </w:pPr>
      <w:r>
        <w:rPr>
          <w:rFonts w:ascii="Arial" w:hAnsi="Arial"/>
          <w:b w:val="0"/>
          <w:color w:val="000000"/>
          <w:sz w:val="24"/>
        </w:rPr>
        <w:t>wendelmuniz04@gmail.com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