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8A3B12"/>
          <w:sz w:val="34"/>
          <w:szCs w:val="34"/>
        </w:rPr>
        <w:t xml:space="preserve">Fluxo de dados maior — triagem LLM em escala</w:t>
      </w:r>
    </w:p>
    <w:p>
      <w:pPr>
        <w:spacing w:after="360"/>
      </w:pPr>
      <w:r>
        <w:rPr>
          <w:rFonts w:ascii="Calibri" w:cs="Calibri" w:eastAsia="Calibri" w:hAnsi="Calibri"/>
          <w:color w:val="5C584F"/>
          <w:sz w:val="22"/>
          <w:szCs w:val="22"/>
        </w:rPr>
        <w:t xml:space="preserve">Dataset UBW (Ugly But It Works) — documento de apoio para reunião de orientação, 05/08/2026</w:t>
      </w:r>
    </w:p>
    <w:p>
      <w:pPr>
        <w:pStyle w:val="Heading1"/>
        <w:spacing w:after="160" w:before="360"/>
      </w:pPr>
      <w:r>
        <w:t xml:space="preserve">1. Contexto e motivação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O corpus coletado via léxico soma 91.458 candidatos depois de excluir issue_body do escopo de análise (decisão já registrada, motivada pela mediana de tamanho 4x maior que code_comment e pela ausência de referência garantida a mudança de código). A validação de precisão do dataset se apoia numa amostra de 385 itens (protocolo Cochran com correção de população finita), dividida entre três anotadores humanos em três fases: calibração, medição e paralelização. Essa amostra é e continua sendo a âncora de validade do estudo.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A amostra de 385 cobre uma fração pequena dos 91.458 candidatos. A pergunta que motiva este documento é se existe uma forma responsável de estender alguma leitura sobre o restante do corpus sem comprometer o rigor que a amostra humana garante — e a resposta da literatura recente sobre uso de LLM em anotação é que sim, desde que o LLM nunca substitua o humano como fonte de verdade, apenas complemente com uma camada declaradamente menos confiável.</w:t>
      </w:r>
    </w:p>
    <w:p>
      <w:pPr>
        <w:pStyle w:val="Heading1"/>
        <w:spacing w:after="160" w:before="360"/>
      </w:pPr>
      <w:r>
        <w:t xml:space="preserve">2. Fundamentação teórica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Três linhas de literatura sustentam o desenho proposto na Seção 3. A primeira documenta os limites reais de LLM como anotador. A segunda descreve desenhos responsáveis de uso de LLM em anotação, que o desenho proposto já segue. A terceira é específica de ensemble multi-modelo, foco deste documento.</w:t>
      </w:r>
    </w:p>
    <w:p>
      <w:pPr>
        <w:pStyle w:val="Heading2"/>
        <w:spacing w:after="120" w:before="280"/>
      </w:pPr>
      <w:r>
        <w:t xml:space="preserve">2.1 Limites do LLM como anotador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Ahmed, Devanbu, Treude &amp; Pradel (MSR 2025, DOI: 10.1109/MSR66628.2025.00086, vencedor do ACM SIGSOFT Distinguished Paper Award) — em tarefas de alto contexto, que exigem julgar intenção em vez de comparar texto superficialmente, a concordância humano-modelo caiu para 0,15 num dos casos testados, contra 0,80 de concordância humano-humano na mesma tarefa. A decisão is_ubw do UBW se aproxima estruturalmente desse perfil de alto contexto.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Reiss, M. V. (2023, arXiv:2304.11085) — LLM é não-determinístico: o mesmo input, ou uma reformulação mínima do prompt, produz classificações diferentes em rodadas distintas. Recomendação do autor: validação contra dados anotados por humanos é necessária antes de aceitar rótulo de LLM como definitivo.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Zheng, Chiang, Sheng et al. (NeurIPS 2023, arXiv:2306.05685) — vieses sistemáticos de LLM como avaliador: viés de posição, viés de verbosidade, viés de auto-favorecimento. Relevante porque dois modelos concordando muito entre si pode ser esse viés compartilhado, não confiabilidade real.</w:t>
      </w:r>
    </w:p>
    <w:p>
      <w:pPr>
        <w:pStyle w:val="Heading2"/>
        <w:spacing w:after="120" w:before="280"/>
      </w:pPr>
      <w:r>
        <w:t xml:space="preserve">2.2 Desenho responsável de LLM em anotação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Ziems, Held, Shaikh, Chen, Zhang &amp; Yang (Computational Linguistics 2024, arXiv:2305.03514) — define duas condições para uso responsável de LLM em anotação: (a) tratar o LLM como só mais um anotador entre humanos e IA, com rótulo final por voto majoritário; ou (b) usar o LLM para pseudo-rótulos combinados com uma amostra pequena de gold labels humanos, via estimadores não enviesados. O desenho da Seção 3 implementa a segunda opção.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Estudo de identificação de SATD com três LLMs (Claude 3 Haiku, GPT-3.5 Turbo, Gemini 1.0 Pro) contra um classificador especializado, usando Matthews Correlation Coefficient — precedente direto no domínio SATD, mas com avaliação independente por modelo, sem ensemble ou votação entre eles.</w:t>
      </w:r>
    </w:p>
    <w:p>
      <w:pPr>
        <w:pStyle w:val="Heading2"/>
        <w:spacing w:after="120" w:before="280"/>
      </w:pPr>
      <w:r>
        <w:t xml:space="preserve">2.3 Ensemble multi-modelo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“Majority Rules: LLM Ensemble is a Winning Approach for Content Categorization” (arXiv:2511.15714) — ensemble de 10 LLMs contra taxonomia hierárquica do IAB, ganho de até 65% de F1 sobre o melhor modelo individual, por reduzir inconsistência, alucinação e erro de categoria que cada modelo carrega sozinho.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“Beyond Majority Voting: Agreement-Based Clustering to Model Annotator Perspectives in Subjective NLP Tasks” (arXiv:2605.09955) — voto majoritário simples não é ótimo para tarefas subjetivas; clustering por perfil de concordância captura melhor a variação real de julgamento. Achado relevante porque is_ubw tem componente subjetivo documentado nos near-misses do guideline.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Dawid &amp; Skene (1979), método clássico hoje adaptado a múltiplos LLMs, e Snorkel/weak supervision (Ratner et al.) — em vez de exigir unanimidade entre rotuladores, aprendem a confiabilidade de cada um e devolvem rótulo probabilístico ponderado. Estatisticamente mais principiado que a regra de unanimidade simples usada na implementação atual (Seção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Achado de curva não-monotônica: repetir consultas ao mesmo modelo, ou empilhar mais modelos, melhora até certo ponto e depois piora, porque adiciona ruído nos itens difíceis mesmo ajudando nos fáceis. Ensemble maior não é sempre melhor.</w:t>
      </w:r>
    </w:p>
    <w:p>
      <w:pPr>
        <w:pStyle w:val="Heading1"/>
        <w:spacing w:after="160" w:before="360"/>
      </w:pPr>
      <w:r>
        <w:t xml:space="preserve">3. Desenho proposto — dois trilhos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O desenho separa duas trilhas que nunca se misturam nos resultados finais.</w:t>
      </w:r>
    </w:p>
    <w:p>
      <w:pPr>
        <w:pStyle w:val="Heading2"/>
        <w:spacing w:after="120" w:before="280"/>
      </w:pPr>
      <w:r>
        <w:t xml:space="preserve">Trilho A — validação de precisão (existente, sem mudança)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385 itens, protocolo de três anotadores em três fases: calibração (200 itens, independente, depois discussão em grupo, excluída de toda métrica), medição (200 itens, independente, sem discussão, base do κ e do AC1), paralelização (o restante, um anotador por item, confiável porque a etapa de medição já validou a confiabilidade individual). Continua sendo a única fonte de precisão reportada na dissertação.</w:t>
      </w:r>
    </w:p>
    <w:p>
      <w:pPr>
        <w:pStyle w:val="Heading2"/>
        <w:spacing w:after="120" w:before="280"/>
      </w:pPr>
      <w:r>
        <w:t xml:space="preserve">Trilho B — ensemble LLM no corpus inteiro (novo)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Gate de confiança: roda o ensemble multi-modelo sobre os mesmos 200 itens de medição, já com rótulo humano consensual. Compara cada modelo contra o humano e os modelos entre si.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Regra de decisão: todos os modelos concordando no binário UBW/não-UBW aceita direto; qualquer “incerto” de qualquer modelo, ou divergência entre eles, força revisão humana obrigatória — mesmo tratamento que “incerto” sozinho já recebia no desenho original de triagem LLM (Seção 5.6 do plano).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Bifurcação: se κ ≥ 0,61 no gate, libera a rodada no corpus inteiro; resultado vira camada descritiva e exploratória da dissertação (prevalência por linguagem, por ano, tendência temporal em escala que os 385 não sustentam sozinhos), sempre identificada como estimativa via LLM, nunca misturada à tabela de precisão do Trilho A. Se κ &lt; 0,61, o full-corpus não vira dado — continua alimentando só os pools diagnósticos que já existem (near-miss, watch), e a única forma de ganhar cobertura maior que 385 volta a ser aumentar a amostra humana.</w:t>
      </w:r>
    </w:p>
    <w:p>
      <w:pPr>
        <w:pStyle w:val="Heading1"/>
        <w:spacing w:after="160" w:before="360"/>
      </w:pPr>
      <w:r>
        <w:t xml:space="preserve">4. Estado atual da implementação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Já implementado e testado em scripts/03_metrics_llm_triage.py, sem alterar o comportamento do modo single-model que já existia: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ensemble-triage — roda N modelos por candidato, cada um grava sua própria coluna de rótulo; resolve concordância/divergência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ensemble-validate — compara cada modelo contra o rótulo humano e os modelos entre si (κ de Cohen e AC1 de Gwet), rodando sobre os 200 de medição antes de liberar o corpus inteiro.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Paralelização (--max-workers, thread pool) — necessária para a escala real: sequencial processa cerca de um candidato a cada 15–30 segundos (dois modelos por candidato); em 91.458 candidatos isso levaria dias. Testado com concorrência real: 20 candidatos que levariam ~8s sequencial rodaram em 1,2s com 8 workers, sem corrupção de dado nem duplicata.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Checkpoint incremental — grava cada candidato assim que classificado; interrupção e retomada não reprocessam o que já foi feito, verificado com paralelização ligada.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Já rodado uma vez sobre os 200 itens de medição (resultado na Seção 6), usando DeepSeek V3.2 e Qwen3 Coder via OpenRouter.</w:t>
      </w:r>
    </w:p>
    <w:p>
      <w:pPr>
        <w:pStyle w:val="Heading1"/>
        <w:spacing w:after="160" w:before="360"/>
      </w:pPr>
      <w:r>
        <w:t xml:space="preserve">5. Comparativo de custo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Estimativa de tokens por chamada baseada no tamanho real dos artefatos do corpus (dados de scripts/full_run): ~500 tokens de entrada, ~150 de saída por candidato.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300"/>
        <w:gridCol w:w="2200"/>
        <w:gridCol w:w="1800"/>
      </w:tblGrid>
      <w:tr>
        <w:trPr>
          <w:tblHeader/>
        </w:trPr>
        <w:tc>
          <w:tcPr>
            <w:tcW w:type="dxa" w:w="2600"/>
            <w:shd w:fill="EFE6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Modelo</w:t>
            </w:r>
          </w:p>
        </w:tc>
        <w:tc>
          <w:tcPr>
            <w:tcW w:type="dxa" w:w="1500"/>
            <w:shd w:fill="EFE6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Origem</w:t>
            </w:r>
          </w:p>
        </w:tc>
        <w:tc>
          <w:tcPr>
            <w:tcW w:type="dxa" w:w="2300"/>
            <w:shd w:fill="EFE6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Preço in/out ($/1M tok.)</w:t>
            </w:r>
          </w:p>
        </w:tc>
        <w:tc>
          <w:tcPr>
            <w:tcW w:type="dxa" w:w="2200"/>
            <w:shd w:fill="EFE6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Custo full-corpus (91.458)</w:t>
            </w:r>
          </w:p>
        </w:tc>
        <w:tc>
          <w:tcPr>
            <w:tcW w:type="dxa" w:w="1800"/>
            <w:shd w:fill="EFE6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Custo nos 200 de medição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Claude Fable 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Anthropic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$10 / $50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$1.143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$1,37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Claude Sonnet 5 (intro)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Anthropic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$2 / $10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$229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$0,27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Anthropic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 / $5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$114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$0,14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Kimi K2.5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Moonshot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$0,375 / $2,025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$45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$0,05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GLM-4.6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Zhipu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$0,43 / $1,75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$44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$0,05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Qwen3.6 Plus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Alibaba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$0,325 / $1,95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$42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$0,05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Qwen3 Coder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Alibaba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$0,30 / $1,00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$27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$0,03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DeepSeek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$0,21 / $0,32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$0,03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i/>
          <w:iCs/>
          <w:color w:val="5C584F"/>
          <w:sz w:val="18"/>
          <w:szCs w:val="18"/>
        </w:rPr>
        <w:t xml:space="preserve">Fontes: OpenRouter (openrouter.ai/models, preços de julho de 2026); Anthropic (pricing publicado, Sonnet 5 em condição promocional até 31/08/2026).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Free tier existe no OpenRouter, mas não serve para o corpus inteiro: o catálogo gratuito rotaciona rápido (perdeu sete endpoints em nove dias em julho de 2026) e tem teto de 50 requisições por dia, ou 1.000/dia com US$10 de crédito prévio. Nos 91.458 itens, 1.000/dia levaria 91 dias — inviável para o cronograma. Nos 200 de medição cabe sem custo, mas o custo pago já é tão baixo (poucos centavos) que não compensa depender de um catálogo instável.</w:t>
      </w:r>
    </w:p>
    <w:p>
      <w:pPr>
        <w:spacing w:after="1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Recomendação: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~US$243</w:t>
      </w:r>
      <w:r>
        <w:rPr>
          <w:rFonts w:ascii="Calibri" w:cs="Calibri" w:eastAsia="Calibri" w:hAnsi="Calibri"/>
          <w:sz w:val="22"/>
          <w:szCs w:val="22"/>
        </w:rPr>
        <w:t xml:space="preserve"> (~US$128 com Batch API da Anthropic, 50% de desconto). Um terceiro modelo (Qwen3 Coder) soma ~US$27.</w:t>
      </w:r>
    </w:p>
    <w:p>
      <w:pPr>
        <w:pStyle w:val="Heading1"/>
        <w:spacing w:after="160" w:before="360"/>
      </w:pPr>
      <w:r>
        <w:t xml:space="preserve">6. Resultado preliminar real (2026-07-31)</w:t>
      </w:r>
    </w:p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Já rodado nos 200 itens de medição, antes da anotação humana voltar — fica pronto para cruzar assim que ela chegar, sem reprocessar. Modelos: DeepSeek V3.2 + Qwen3 Coder, via OpenRouter. Custo real: cerca de US$0,05.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400"/>
      </w:tblGrid>
      <w:tr>
        <w:trPr>
          <w:tblHeader/>
        </w:trPr>
        <w:tc>
          <w:tcPr>
            <w:tcW w:type="dxa" w:w="6200"/>
            <w:shd w:fill="EFE6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Métrica</w:t>
            </w:r>
          </w:p>
        </w:tc>
        <w:tc>
          <w:tcPr>
            <w:tcW w:type="dxa" w:w="2400"/>
            <w:shd w:fill="EFE6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dois modelos concordam entre si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118/200 (59%)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Modelos divergem entre si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23/200 (11,5%)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Ao menos um modelo disse “incerto”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61/200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 na fila de revisão humana obrigatória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82/200 (41%)</w:t>
            </w:r>
          </w:p>
        </w:tc>
      </w:tr>
    </w:tbl>
    <w:p>
      <w:pPr>
        <w:spacing w:after="160" w:line="288"/>
      </w:pPr>
      <w:r>
        <w:rPr>
          <w:rFonts w:ascii="Calibri" w:cs="Calibri" w:eastAsia="Calibri" w:hAnsi="Calibri"/>
          <w:sz w:val="22"/>
          <w:szCs w:val="22"/>
        </w:rPr>
        <w:t xml:space="preserve">Distribuição bruta: DeepSeek 145 UBW-verdadeiro / 51 incerto / 4 não-UBW; Qwen3 Coder 151 / 44 / 5 — parecidos entre si, mas isso sozinho não prova confiabilidade. Só o cruzamento com o rótulo humano decide se essa concordância é sinal real ou viés compartilhado (Zheng et al., 2023, Seção 2.1).</w:t>
      </w:r>
    </w:p>
    <w:p>
      <w:pPr>
        <w:pStyle w:val="Heading1"/>
        <w:spacing w:after="160" w:before="360"/>
      </w:pPr>
      <w:r>
        <w:t xml:space="preserve">7. Decisões pendentes para a reunião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Combinação final de modelos para o corpus inteiro — inclinação atual: DeepSeek V3.2 como segundo modelo, âncora Claude (Sonnet 5 ou Haiku 4.5) a definir.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Aprovação de orçamento e liberação da chave de API da Anthropic (hoje vazia no ambiente — sem ela, o lado Claude do ensemble não roda).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Esperar a anotação humana dos 200 de medição antes de gastar no full-corpus, ou rodar em paralelo e assumir o risco de o gate reprovar o ensemble depois do gasto.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Regra de decisão do ensemble: manter a unanimidade simples já implementada, ou investir em agregação probabilística (Dawid-Skene/Snorkel, Seção 2.3) — mais rigorosa, mas exige esforço de implementação adicional que só se justifica se a defesa metodológica exigir.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Prazo real: full-corpus com Batch API dura de horas a poucos dias; o gargalo verdadeiro continua sendo a anotação humana dos 200 de medição, que ainda não voltou dos três anotadores.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2026-08-04T12:57:40.280Z</dcterms:created>
  <dcterms:modified xsi:type="dcterms:W3CDTF">2026-08-04T12:57:40.280Z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