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lano-de-experimento"/>
    <w:p>
      <w:pPr>
        <w:pStyle w:val="Heading1"/>
      </w:pPr>
      <w:r>
        <w:t xml:space="preserve">Plano de experimento</w:t>
      </w:r>
    </w:p>
    <w:p>
      <w:pPr>
        <w:pStyle w:val="FirstParagraph"/>
      </w:pPr>
      <w:r>
        <w:t xml:space="preserve">O experimento verifica, em escala, se as ocorrências capturadas pelo léxico</w:t>
      </w:r>
      <w:r>
        <w:t xml:space="preserve"> </w:t>
      </w:r>
      <w:r>
        <w:t xml:space="preserve">são de fato instâncias de UBW. A validação humana já estabeleceu essa taxa em</w:t>
      </w:r>
      <w:r>
        <w:t xml:space="preserve"> </w:t>
      </w:r>
      <w:r>
        <w:t xml:space="preserve">92,7% sobre uma amostra de 385 itens (Trilho A, κ entre 0,844 e 0,925); o</w:t>
      </w:r>
      <w:r>
        <w:t xml:space="preserve"> </w:t>
      </w:r>
      <w:r>
        <w:t xml:space="preserve">comitê de classificadores automáticos estende a verificação aos 91.458</w:t>
      </w:r>
      <w:r>
        <w:t xml:space="preserve"> </w:t>
      </w:r>
      <w:r>
        <w:t xml:space="preserve">registros do corpus, marcando os prováveis falsos positivos como coluna</w:t>
      </w:r>
      <w:r>
        <w:t xml:space="preserve"> </w:t>
      </w:r>
      <w:r>
        <w:t xml:space="preserve">adicional do dataset. O número de precisão reportado no artigo continua vindo</w:t>
      </w:r>
      <w:r>
        <w:t xml:space="preserve"> </w:t>
      </w:r>
      <w:r>
        <w:t xml:space="preserve">exclusivamente da anotação humana; a camada automática não substitui essa</w:t>
      </w:r>
      <w:r>
        <w:t xml:space="preserve"> </w:t>
      </w:r>
      <w:r>
        <w:t xml:space="preserve">validação em nenhuma hipótese.</w:t>
      </w:r>
    </w:p>
    <w:p>
      <w:pPr>
        <w:pStyle w:val="BodyText"/>
      </w:pPr>
      <w:r>
        <w:t xml:space="preserve">O escopo é a precisão do que foi capturado. O experimento não estima</w:t>
      </w:r>
      <w:r>
        <w:t xml:space="preserve"> </w:t>
      </w:r>
      <w:r>
        <w:t xml:space="preserve">cobertura, isto é, não mede quanto UBW existe nos repositórios fora do</w:t>
      </w:r>
      <w:r>
        <w:t xml:space="preserve"> </w:t>
      </w:r>
      <w:r>
        <w:t xml:space="preserve">alcance das 25 expressões do léxico. Essa é uma pergunta distinta, que exigiria</w:t>
      </w:r>
      <w:r>
        <w:t xml:space="preserve"> </w:t>
      </w:r>
      <w:r>
        <w:t xml:space="preserve">varrer o texto bruto dos projetos, e fica fora deste desenho.</w:t>
      </w:r>
    </w:p>
    <w:bookmarkStart w:id="20" w:name="questões-de-pesquisa"/>
    <w:p>
      <w:pPr>
        <w:pStyle w:val="Heading2"/>
      </w:pPr>
      <w:r>
        <w:t xml:space="preserve">1. Questões de pesquisa</w:t>
      </w:r>
    </w:p>
    <w:p>
      <w:pPr>
        <w:pStyle w:val="FirstParagraph"/>
      </w:pPr>
      <w:r>
        <w:t xml:space="preserve">RQ1. Qual configuração de juiz (modelo e estratégia de prompt) produz o alerta</w:t>
      </w:r>
      <w:r>
        <w:t xml:space="preserve"> </w:t>
      </w:r>
      <w:r>
        <w:t xml:space="preserve">de falso positivo mais confiável?</w:t>
      </w:r>
    </w:p>
    <w:p>
      <w:pPr>
        <w:pStyle w:val="BodyText"/>
      </w:pPr>
      <w:r>
        <w:t xml:space="preserve">RQ2. Como combinar os votos de múltiplos juízes: regra simples (melhor juiz,</w:t>
      </w:r>
      <w:r>
        <w:t xml:space="preserve"> </w:t>
      </w:r>
      <w:r>
        <w:t xml:space="preserve">maioria, unanimidade) ou um modelo de agregação treinado?</w:t>
      </w:r>
    </w:p>
    <w:p>
      <w:pPr>
        <w:pStyle w:val="BodyText"/>
      </w:pPr>
      <w:r>
        <w:t xml:space="preserve">RQ3. Que fração dos falsos positivos reais o comitê captura, e com que</w:t>
      </w:r>
      <w:r>
        <w:t xml:space="preserve"> </w:t>
      </w:r>
      <w:r>
        <w:t xml:space="preserve">precisão?</w:t>
      </w:r>
    </w:p>
    <w:bookmarkEnd w:id="20"/>
    <w:bookmarkStart w:id="24" w:name="materiais"/>
    <w:p>
      <w:pPr>
        <w:pStyle w:val="Heading2"/>
      </w:pPr>
      <w:r>
        <w:t xml:space="preserve">2. Materiais</w:t>
      </w:r>
    </w:p>
    <w:bookmarkStart w:id="21" w:name="conjuntos-de-dados"/>
    <w:p>
      <w:pPr>
        <w:pStyle w:val="Heading3"/>
      </w:pPr>
      <w:r>
        <w:t xml:space="preserve">2.1 Conjuntos de dados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Desenvolvimento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Calibração (200 itens, 3 anotadores)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 positivos / 27 negativos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 de prompt, seleção de juízes, treino do agregador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Amostra oficial (385 itens, 3 anotadores)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 /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 final, usada uma única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91.458 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recebe a marcação final</w:t>
            </w:r>
          </w:p>
        </w:tc>
      </w:tr>
    </w:tbl>
    <w:p>
      <w:pPr>
        <w:pStyle w:val="BodyText"/>
      </w:pPr>
      <w:r>
        <w:t xml:space="preserve">O conjunto de teste está fechado: os três anotadores concluíram a anotação com</w:t>
      </w:r>
      <w:r>
        <w:t xml:space="preserve"> </w:t>
      </w:r>
      <w:r>
        <w:t xml:space="preserve">κ entre 0,844 e 0,925 e precisão de 92,7% (IC 95%: 90,1–95,3%).</w:t>
      </w:r>
    </w:p>
    <w:p>
      <w:pPr>
        <w:pStyle w:val="BodyText"/>
      </w:pPr>
      <w:r>
        <w:t xml:space="preserve">Cada decisão binária dos anotadores é acompanhada de uma justificativa curta</w:t>
      </w:r>
      <w:r>
        <w:t xml:space="preserve"> </w:t>
      </w:r>
      <w:r>
        <w:t xml:space="preserve">registrada no campo de observação do formulário. Essas justificativas formam o</w:t>
      </w:r>
      <w:r>
        <w:t xml:space="preserve"> </w:t>
      </w:r>
      <w:r>
        <w:t xml:space="preserve">banco de exemplos da estratégia few-shot (Seção 3.2) e a documentação de</w:t>
      </w:r>
      <w:r>
        <w:t xml:space="preserve"> </w:t>
      </w:r>
      <w:r>
        <w:t xml:space="preserve">auditoria do dataset.</w:t>
      </w:r>
    </w:p>
    <w:bookmarkEnd w:id="21"/>
    <w:bookmarkStart w:id="22" w:name="juízes-candidatos"/>
    <w:p>
      <w:pPr>
        <w:pStyle w:val="Heading3"/>
      </w:pPr>
      <w:r>
        <w:t xml:space="preserve">2.2 Juízes candidatos</w:t>
      </w:r>
    </w:p>
    <w:p>
      <w:pPr>
        <w:pStyle w:val="FirstParagraph"/>
      </w:pPr>
      <w:r>
        <w:t xml:space="preserve">O painel combina dois tipos de juiz. O primeiro são LLMs de uso geral</w:t>
      </w:r>
      <w:r>
        <w:t xml:space="preserve"> </w:t>
      </w:r>
      <w:r>
        <w:t xml:space="preserve">consultados via API, sempre com temperatura zero. Os custos abaixo foram</w:t>
      </w:r>
      <w:r>
        <w:t xml:space="preserve"> </w:t>
      </w:r>
      <w:r>
        <w:t xml:space="preserve">estimados sobre o volume real do corpus (53,0 milhões de tokens de entrada e</w:t>
      </w:r>
      <w:r>
        <w:t xml:space="preserve"> </w:t>
      </w:r>
      <w:r>
        <w:t xml:space="preserve">6,9 milhões de saída, medidos com os prompts e as respostas do piloto) e devem</w:t>
      </w:r>
      <w:r>
        <w:t xml:space="preserve"> </w:t>
      </w:r>
      <w:r>
        <w:t xml:space="preserve">ser conferidos na data da execução.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estimado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gpt-oss-120b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US$ 3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GLM-4.7-flash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Zhipu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aberta (MIT)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US$ 6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 Small 3.2 24B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US$ 7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Gemma 3 27B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US$ 7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3.3 70B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US$ 8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 V3.2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aberta (MIT)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US$ 13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 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US$ 23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Kimi K2.5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US$ 34</w:t>
            </w:r>
          </w:p>
        </w:tc>
      </w:tr>
    </w:tbl>
    <w:p>
      <w:pPr>
        <w:pStyle w:val="BodyText"/>
      </w:pPr>
      <w:r>
        <w:t xml:space="preserve">O nível gratuito do OpenRouter (1.000 requisições por dia) cobre as fases de</w:t>
      </w:r>
      <w:r>
        <w:t xml:space="preserve"> </w:t>
      </w:r>
      <w:r>
        <w:t xml:space="preserve">desenvolvimento e teste; o custo acima se refere apenas à aplicação no corpus</w:t>
      </w:r>
      <w:r>
        <w:t xml:space="preserve"> </w:t>
      </w:r>
      <w:r>
        <w:t xml:space="preserve">completo.</w:t>
      </w:r>
    </w:p>
    <w:p>
      <w:pPr>
        <w:pStyle w:val="BodyText"/>
      </w:pPr>
      <w:r>
        <w:t xml:space="preserve">O segundo tipo são detectores de SATD já treinados por outros grupos,</w:t>
      </w:r>
      <w:r>
        <w:t xml:space="preserve"> </w:t>
      </w:r>
      <w:r>
        <w:t xml:space="preserve">executáveis localmente e sem custo: o DebtHunter (Sala, Tommasel e Arcelli</w:t>
      </w:r>
      <w:r>
        <w:t xml:space="preserve"> </w:t>
      </w:r>
      <w:r>
        <w:t xml:space="preserve">Fontana, EASE 2021), ferramenta de aprendizado de máquina clássico distribuída</w:t>
      </w:r>
      <w:r>
        <w:t xml:space="preserve"> </w:t>
      </w:r>
      <w:r>
        <w:t xml:space="preserve">com modelos prontos, e o MT-MoE-BERT do IMPACT (Li et al., TOSEM 2026), um</w:t>
      </w:r>
      <w:r>
        <w:t xml:space="preserve"> </w:t>
      </w:r>
      <w:r>
        <w:t xml:space="preserve">modelo do tipo encoder construído sobre BERT com uma camada de</w:t>
      </w:r>
      <w:r>
        <w:t xml:space="preserve"> </w:t>
      </w:r>
      <w:r>
        <w:t xml:space="preserve">Mixture-of-Experts. Por serem modelos de codificação, e não de geração, ambos</w:t>
      </w:r>
      <w:r>
        <w:t xml:space="preserve"> </w:t>
      </w:r>
      <w:r>
        <w:t xml:space="preserve">rodam em CPU.</w:t>
      </w:r>
    </w:p>
    <w:p>
      <w:pPr>
        <w:pStyle w:val="BodyText"/>
      </w:pPr>
      <w:r>
        <w:t xml:space="preserve">Esses detectores identificam SATD em geral, não o subtipo UBW. Como UBW é, por</w:t>
      </w:r>
      <w:r>
        <w:t xml:space="preserve"> </w:t>
      </w:r>
      <w:r>
        <w:t xml:space="preserve">definição, um subtipo de SATD, o voto deles é assimétrico: quando dizem que um</w:t>
      </w:r>
      <w:r>
        <w:t xml:space="preserve"> </w:t>
      </w:r>
      <w:r>
        <w:t xml:space="preserve">item não é SATD, isso é evidência forte de falso positivo, pois falha uma</w:t>
      </w:r>
      <w:r>
        <w:t xml:space="preserve"> </w:t>
      </w:r>
      <w:r>
        <w:t xml:space="preserve">condição necessária; quando dizem que é SATD, a evidência a favor é fraca. Por</w:t>
      </w:r>
      <w:r>
        <w:t xml:space="preserve"> </w:t>
      </w:r>
      <w:r>
        <w:t xml:space="preserve">isso entram no painel como detectores de falso positivo. Como foram treinados</w:t>
      </w:r>
      <w:r>
        <w:t xml:space="preserve"> </w:t>
      </w:r>
      <w:r>
        <w:t xml:space="preserve">por outros grupos, com outros dados e outras arquiteturas, também são a</w:t>
      </w:r>
      <w:r>
        <w:t xml:space="preserve"> </w:t>
      </w:r>
      <w:r>
        <w:t xml:space="preserve">principal proteção contra o risco de os LLMs errarem juntos por viés de treino</w:t>
      </w:r>
      <w:r>
        <w:t xml:space="preserve"> </w:t>
      </w:r>
      <w:r>
        <w:t xml:space="preserve">em comum. Atende ainda ao interesse em manter uma linha de aprendizado de</w:t>
      </w:r>
      <w:r>
        <w:t xml:space="preserve"> </w:t>
      </w:r>
      <w:r>
        <w:t xml:space="preserve">máquina clássico no desenho, sem consumir em treinamento os poucos exemplos</w:t>
      </w:r>
      <w:r>
        <w:t xml:space="preserve"> </w:t>
      </w:r>
      <w:r>
        <w:t xml:space="preserve">negativos de que dispomos.</w:t>
      </w:r>
    </w:p>
    <w:bookmarkEnd w:id="22"/>
    <w:bookmarkStart w:id="23" w:name="infraestrutura"/>
    <w:p>
      <w:pPr>
        <w:pStyle w:val="Heading3"/>
      </w:pPr>
      <w:r>
        <w:t xml:space="preserve">2.3 Infraestrutura</w:t>
      </w:r>
    </w:p>
    <w:p>
      <w:pPr>
        <w:pStyle w:val="FirstParagraph"/>
      </w:pPr>
      <w:r>
        <w:t xml:space="preserve">A máquina local (12 núcleos, 31 GB de RAM, sem GPU) executa os juízes baseados</w:t>
      </w:r>
      <w:r>
        <w:t xml:space="preserve"> </w:t>
      </w:r>
      <w:r>
        <w:t xml:space="preserve">em encoder e todas as análises. A alternativa de rodar LLMs generativos nessa</w:t>
      </w:r>
      <w:r>
        <w:t xml:space="preserve"> </w:t>
      </w:r>
      <w:r>
        <w:t xml:space="preserve">mesma máquina foi testada com o qwen3:4b via ollama e descartada: sem GPU, a</w:t>
      </w:r>
      <w:r>
        <w:t xml:space="preserve"> </w:t>
      </w:r>
      <w:r>
        <w:t xml:space="preserve">latência ficou na ordem de minutos por item, o que projeta meses de</w:t>
      </w:r>
      <w:r>
        <w:t xml:space="preserve"> </w:t>
      </w:r>
      <w:r>
        <w:t xml:space="preserve">processamento para o corpus. Há acesso ao IBM Power9, que fica como opção</w:t>
      </w:r>
      <w:r>
        <w:t xml:space="preserve"> </w:t>
      </w:r>
      <w:r>
        <w:t xml:space="preserve">tanto para paralelizar os juízes locais quanto para reavaliar a inferência</w:t>
      </w:r>
      <w:r>
        <w:t xml:space="preserve"> </w:t>
      </w:r>
      <w:r>
        <w:t xml:space="preserve">generativa em hardware adequado. As chamadas de API usam o pipeline já</w:t>
      </w:r>
      <w:r>
        <w:t xml:space="preserve"> </w:t>
      </w:r>
      <w:r>
        <w:t xml:space="preserve">existente, que é incremental, retomável e paralelizado.</w:t>
      </w:r>
    </w:p>
    <w:bookmarkEnd w:id="23"/>
    <w:bookmarkEnd w:id="24"/>
    <w:bookmarkStart w:id="28" w:name="método"/>
    <w:p>
      <w:pPr>
        <w:pStyle w:val="Heading2"/>
      </w:pPr>
      <w:r>
        <w:t xml:space="preserve">3. Método</w:t>
      </w:r>
    </w:p>
    <w:bookmarkStart w:id="25" w:name="o-que-é-medido-e-por-quê"/>
    <w:p>
      <w:pPr>
        <w:pStyle w:val="Heading3"/>
      </w:pPr>
      <w:r>
        <w:t xml:space="preserve">3.1 O que é medido, e por quê</w:t>
      </w:r>
    </w:p>
    <w:p>
      <w:pPr>
        <w:pStyle w:val="FirstParagraph"/>
      </w:pPr>
      <w:r>
        <w:t xml:space="preserve">O comitê de juízes produz, para cada item do corpus, um alerta binário:</w:t>
      </w:r>
      <w:r>
        <w:t xml:space="preserve"> </w:t>
      </w:r>
      <w:r>
        <w:t xml:space="preserve">“</w:t>
      </w:r>
      <w:r>
        <w:t xml:space="preserve">este</w:t>
      </w:r>
      <w:r>
        <w:t xml:space="preserve"> </w:t>
      </w:r>
      <w:r>
        <w:t xml:space="preserve">item provavelmente é falso positivo do léxico</w:t>
      </w:r>
      <w:r>
        <w:t xml:space="preserve">”</w:t>
      </w:r>
      <w:r>
        <w:t xml:space="preserve"> </w:t>
      </w:r>
      <w:r>
        <w:t xml:space="preserve">ou nada. Avaliar esse alerta é</w:t>
      </w:r>
      <w:r>
        <w:t xml:space="preserve"> </w:t>
      </w:r>
      <w:r>
        <w:t xml:space="preserve">diferente de avaliar um classificador comum, e a razão está na distribuição</w:t>
      </w:r>
      <w:r>
        <w:t xml:space="preserve"> </w:t>
      </w:r>
      <w:r>
        <w:t xml:space="preserve">das classes. No conjunto de desenvolvimento, 86,5% dos itens são positivos. Um</w:t>
      </w:r>
      <w:r>
        <w:t xml:space="preserve"> </w:t>
      </w:r>
      <w:r>
        <w:t xml:space="preserve">classificador que respondesse</w:t>
      </w:r>
      <w:r>
        <w:t xml:space="preserve"> </w:t>
      </w:r>
      <w:r>
        <w:t xml:space="preserve">“</w:t>
      </w:r>
      <w:r>
        <w:t xml:space="preserve">sim, é UBW</w:t>
      </w:r>
      <w:r>
        <w:t xml:space="preserve">”</w:t>
      </w:r>
      <w:r>
        <w:t xml:space="preserve"> </w:t>
      </w:r>
      <w:r>
        <w:t xml:space="preserve">para tudo, sem olhar o texto,</w:t>
      </w:r>
      <w:r>
        <w:t xml:space="preserve"> </w:t>
      </w:r>
      <w:r>
        <w:t xml:space="preserve">acertaria 86,5% das vezes e teria kappa igual a zero. A acurácia, portanto,</w:t>
      </w:r>
      <w:r>
        <w:t xml:space="preserve"> </w:t>
      </w:r>
      <w:r>
        <w:t xml:space="preserve">não distingue uma configuração boa de uma inútil.</w:t>
      </w:r>
    </w:p>
    <w:p>
      <w:pPr>
        <w:pStyle w:val="BodyText"/>
      </w:pPr>
      <w:r>
        <w:t xml:space="preserve">O que interessa é a confiabilidade do alerta. Daí a métrica principal:</w:t>
      </w:r>
      <w:r>
        <w:t xml:space="preserve"> </w:t>
      </w:r>
      <w:r>
        <w:t xml:space="preserve">Precisão do alerta. Dos itens que o comitê marcou como prováveis falsos</w:t>
      </w:r>
      <w:r>
        <w:t xml:space="preserve"> </w:t>
      </w:r>
      <w:r>
        <w:t xml:space="preserve">positivos, que fração o rótulo humano confirma. É a pergunta que um usuário do</w:t>
      </w:r>
      <w:r>
        <w:t xml:space="preserve"> </w:t>
      </w:r>
      <w:r>
        <w:t xml:space="preserve">dataset realmente faz: se essa coluna diz que o item é suspeito, posso</w:t>
      </w:r>
      <w:r>
        <w:t xml:space="preserve"> </w:t>
      </w:r>
      <w:r>
        <w:t xml:space="preserve">confiar?</w:t>
      </w:r>
    </w:p>
    <w:p>
      <w:pPr>
        <w:pStyle w:val="BodyText"/>
      </w:pPr>
      <w:r>
        <w:t xml:space="preserve">Como métricas secundárias, reportamos a cobertura (que fração dos falsos</w:t>
      </w:r>
      <w:r>
        <w:t xml:space="preserve"> </w:t>
      </w:r>
      <w:r>
        <w:t xml:space="preserve">positivos reais o comitê encontrou), o kappa de Cohen e o AC1 de Gwet contra o</w:t>
      </w:r>
      <w:r>
        <w:t xml:space="preserve"> </w:t>
      </w:r>
      <w:r>
        <w:t xml:space="preserve">gabarito humano, a taxa de abstenção, o custo e o tempo de execução. Todo</w:t>
      </w:r>
      <w:r>
        <w:t xml:space="preserve"> </w:t>
      </w:r>
      <w:r>
        <w:t xml:space="preserve">reporte segue o padrão do projeto: concordância bruta, prevalência das</w:t>
      </w:r>
      <w:r>
        <w:t xml:space="preserve"> </w:t>
      </w:r>
      <w:r>
        <w:t xml:space="preserve">classes, kappa com a interpretação de Landis e Koch, e AC1 apenas como valor</w:t>
      </w:r>
      <w:r>
        <w:t xml:space="preserve"> </w:t>
      </w:r>
      <w:r>
        <w:t xml:space="preserve">numérico, já que a escala verbal não se aplica a ele (Vach e Gerke, 2023).</w:t>
      </w:r>
    </w:p>
    <w:bookmarkEnd w:id="25"/>
    <w:bookmarkStart w:id="26" w:name="Xbba1c433d692dae34339de19617d8a8d7bdf1a8"/>
    <w:p>
      <w:pPr>
        <w:pStyle w:val="Heading3"/>
      </w:pPr>
      <w:r>
        <w:t xml:space="preserve">3.2 O que varia entre as configurações testadas</w:t>
      </w:r>
    </w:p>
    <w:p>
      <w:pPr>
        <w:pStyle w:val="FirstParagraph"/>
      </w:pPr>
      <w:r>
        <w:rPr>
          <w:bCs/>
          <w:b/>
        </w:rPr>
        <w:t xml:space="preserve">Quem julga.</w:t>
      </w:r>
      <w:r>
        <w:t xml:space="preserve"> </w:t>
      </w:r>
      <w:r>
        <w:t xml:space="preserve">Os LLMs da Seção 2.2, mais os dois detectores de SATD</w:t>
      </w:r>
      <w:r>
        <w:t xml:space="preserve"> </w:t>
      </w:r>
      <w:r>
        <w:t xml:space="preserve">pré-treinados. A Fase 1 mede todos individualmente e o painel final é definido</w:t>
      </w:r>
      <w:r>
        <w:t xml:space="preserve"> </w:t>
      </w:r>
      <w:r>
        <w:t xml:space="preserve">pelos Passos 1 e 2 da Seção 3.3, com teto de cinco juízes: Kohli (2026) mostra</w:t>
      </w:r>
      <w:r>
        <w:t xml:space="preserve"> </w:t>
      </w:r>
      <w:r>
        <w:t xml:space="preserve">que cinco capturam cerca de 90% da independência alcançável num painel, e que</w:t>
      </w:r>
      <w:r>
        <w:t xml:space="preserve"> </w:t>
      </w:r>
      <w:r>
        <w:t xml:space="preserve">juízes adicionais acrescentam pouco. Entre juízes de desempenho equivalente,</w:t>
      </w:r>
      <w:r>
        <w:t xml:space="preserve"> </w:t>
      </w:r>
      <w:r>
        <w:t xml:space="preserve">a preferência é por diversidade de família de modelo.</w:t>
      </w:r>
    </w:p>
    <w:p>
      <w:pPr>
        <w:pStyle w:val="BodyText"/>
      </w:pPr>
      <w:r>
        <w:rPr>
          <w:bCs/>
          <w:b/>
        </w:rPr>
        <w:t xml:space="preserve">Como o LLM é instruído.</w:t>
      </w:r>
      <w:r>
        <w:t xml:space="preserve"> </w:t>
      </w:r>
      <w:r>
        <w:t xml:space="preserve">Três variantes de prompt: zero-shot (o prompt</w:t>
      </w:r>
      <w:r>
        <w:t xml:space="preserve"> </w:t>
      </w:r>
      <w:r>
        <w:t xml:space="preserve">atual, sem exemplos); few-shot com exemplos fixos; e few-shot em que os</w:t>
      </w:r>
      <w:r>
        <w:t xml:space="preserve"> </w:t>
      </w:r>
      <w:r>
        <w:t xml:space="preserve">exemplos são recuperados por similaridade. Nessa terceira variante, para cada</w:t>
      </w:r>
      <w:r>
        <w:t xml:space="preserve"> </w:t>
      </w:r>
      <w:r>
        <w:t xml:space="preserve">item a classificar buscam-se os k itens mais parecidos do conjunto de</w:t>
      </w:r>
      <w:r>
        <w:t xml:space="preserve"> </w:t>
      </w:r>
      <w:r>
        <w:t xml:space="preserve">desenvolvimento (k = 2, 3 ou 5, por similaridade de cosseno sobre embeddings),</w:t>
      </w:r>
      <w:r>
        <w:t xml:space="preserve"> </w:t>
      </w:r>
      <w:r>
        <w:t xml:space="preserve">e esses itens entram no prompt junto com a justificativa que o anotador humano</w:t>
      </w:r>
      <w:r>
        <w:t xml:space="preserve"> </w:t>
      </w:r>
      <w:r>
        <w:t xml:space="preserve">escreveu. É o mesmo desenho que o IMPACT usa na etapa de classificação.</w:t>
      </w:r>
    </w:p>
    <w:p>
      <w:pPr>
        <w:pStyle w:val="BodyText"/>
      </w:pPr>
      <w:r>
        <w:t xml:space="preserve">Uma restrição de projeto aqui: as justificativas humanas aparecem apenas como</w:t>
      </w:r>
      <w:r>
        <w:t xml:space="preserve"> </w:t>
      </w:r>
      <w:r>
        <w:t xml:space="preserve">conteúdo de exemplo dentro do prompt. Elas nunca entram como variável de</w:t>
      </w:r>
      <w:r>
        <w:t xml:space="preserve"> </w:t>
      </w:r>
      <w:r>
        <w:t xml:space="preserve">entrada de um modelo, porque os 90.873 itens não rotulados do corpus não as</w:t>
      </w:r>
      <w:r>
        <w:t xml:space="preserve"> </w:t>
      </w:r>
      <w:r>
        <w:t xml:space="preserve">possuem. Um classificador que dependesse delas funcionaria no desenvolvimento</w:t>
      </w:r>
      <w:r>
        <w:t xml:space="preserve"> </w:t>
      </w:r>
      <w:r>
        <w:t xml:space="preserve">e falharia na produção.</w:t>
      </w:r>
    </w:p>
    <w:p>
      <w:pPr>
        <w:pStyle w:val="BodyText"/>
      </w:pPr>
      <w:r>
        <w:rPr>
          <w:bCs/>
          <w:b/>
        </w:rPr>
        <w:t xml:space="preserve">Como os votos são combinados.</w:t>
      </w:r>
      <w:r>
        <w:t xml:space="preserve"> </w:t>
      </w:r>
      <w:r>
        <w:t xml:space="preserve">Quatro alternativas: usar só o melhor juiz,</w:t>
      </w:r>
      <w:r>
        <w:t xml:space="preserve"> </w:t>
      </w:r>
      <w:r>
        <w:t xml:space="preserve">maioria simples, unanimidade, ou um agregador XGBoost treinado sobre os votos.</w:t>
      </w:r>
      <w:r>
        <w:t xml:space="preserve"> </w:t>
      </w:r>
      <w:r>
        <w:t xml:space="preserve">O agregador recebe como variáveis os votos de cada juiz mais metadados</w:t>
      </w:r>
      <w:r>
        <w:t xml:space="preserve"> </w:t>
      </w:r>
      <w:r>
        <w:t xml:space="preserve">disponíveis em todo o corpus (tipo de artefato, expressão do léxico,</w:t>
      </w:r>
      <w:r>
        <w:t xml:space="preserve"> </w:t>
      </w:r>
      <w:r>
        <w:t xml:space="preserve">comprimento do texto), cerca de dez variáveis para 200 observações. Um</w:t>
      </w:r>
      <w:r>
        <w:t xml:space="preserve"> </w:t>
      </w:r>
      <w:r>
        <w:t xml:space="preserve">classificador de texto treinado do zero (TF-IDF com XGBoost ou SVM) entra</w:t>
      </w:r>
      <w:r>
        <w:t xml:space="preserve"> </w:t>
      </w:r>
      <w:r>
        <w:t xml:space="preserve">apenas como referência de comparação, com a limitação dos 27 negativos</w:t>
      </w:r>
      <w:r>
        <w:t xml:space="preserve"> </w:t>
      </w:r>
      <w:r>
        <w:t xml:space="preserve">declarada no reporte.</w:t>
      </w:r>
    </w:p>
    <w:bookmarkEnd w:id="26"/>
    <w:bookmarkStart w:id="27" w:name="como-a-configuração-final-é-escolhida"/>
    <w:p>
      <w:pPr>
        <w:pStyle w:val="Heading3"/>
      </w:pPr>
      <w:r>
        <w:t xml:space="preserve">3.3 Como a configuração final é escolhida</w:t>
      </w:r>
    </w:p>
    <w:p>
      <w:pPr>
        <w:pStyle w:val="FirstParagraph"/>
      </w:pPr>
      <w:r>
        <w:t xml:space="preserve">O procedimento abaixo foi fixado antes de qualquer execução, para que a</w:t>
      </w:r>
      <w:r>
        <w:t xml:space="preserve"> </w:t>
      </w:r>
      <w:r>
        <w:t xml:space="preserve">escolha não seja feita depois de ver os resultados.</w:t>
      </w:r>
    </w:p>
    <w:p>
      <w:pPr>
        <w:pStyle w:val="BodyText"/>
      </w:pPr>
      <w:r>
        <w:rPr>
          <w:bCs/>
          <w:b/>
        </w:rPr>
        <w:t xml:space="preserve">Passo 1, eliminatória.</w:t>
      </w:r>
      <w:r>
        <w:t xml:space="preserve"> </w:t>
      </w:r>
      <w:r>
        <w:t xml:space="preserve">Cada juiz é medido individualmente contra o</w:t>
      </w:r>
      <w:r>
        <w:t xml:space="preserve"> </w:t>
      </w:r>
      <w:r>
        <w:t xml:space="preserve">gabarito humano. Juiz com kappa abaixo de 0,40 sai do painel: abaixo disso o</w:t>
      </w:r>
      <w:r>
        <w:t xml:space="preserve"> </w:t>
      </w:r>
      <w:r>
        <w:t xml:space="preserve">voto adiciona mais ruído que sinal.</w:t>
      </w:r>
    </w:p>
    <w:p>
      <w:pPr>
        <w:pStyle w:val="BodyText"/>
      </w:pPr>
      <w:r>
        <w:rPr>
          <w:bCs/>
          <w:b/>
        </w:rPr>
        <w:t xml:space="preserve">Passo 2, diagnóstico de correlação.</w:t>
      </w:r>
      <w:r>
        <w:t xml:space="preserve"> </w:t>
      </w:r>
      <w:r>
        <w:t xml:space="preserve">Mede-se a concordância entre os juízes</w:t>
      </w:r>
      <w:r>
        <w:t xml:space="preserve"> </w:t>
      </w:r>
      <w:r>
        <w:t xml:space="preserve">e, a partir dos erros que eles cometem em conjunto, quantos votos efetivamente</w:t>
      </w:r>
      <w:r>
        <w:t xml:space="preserve"> </w:t>
      </w:r>
      <w:r>
        <w:t xml:space="preserve">independentes o painel entrega. Esse passo existe porque juízes LLM tendem a</w:t>
      </w:r>
      <w:r>
        <w:t xml:space="preserve"> </w:t>
      </w:r>
      <w:r>
        <w:t xml:space="preserve">errar nos mesmos itens: Kohli (2026) mostrou que um painel de nove juízes de</w:t>
      </w:r>
      <w:r>
        <w:t xml:space="preserve"> </w:t>
      </w:r>
      <w:r>
        <w:t xml:space="preserve">sete famílias diferentes entregava o equivalente a apenas 2,2 votos</w:t>
      </w:r>
      <w:r>
        <w:t xml:space="preserve"> </w:t>
      </w:r>
      <w:r>
        <w:t xml:space="preserve">independentes, e que nenhum esquema de ponderação, Dawid-Skene incluído,</w:t>
      </w:r>
      <w:r>
        <w:t xml:space="preserve"> </w:t>
      </w:r>
      <w:r>
        <w:t xml:space="preserve">recuperava a independência perdida. Se o nosso painel se comportar como um</w:t>
      </w:r>
      <w:r>
        <w:t xml:space="preserve"> </w:t>
      </w:r>
      <w:r>
        <w:t xml:space="preserve">único voto, agregar é cosmético.</w:t>
      </w:r>
    </w:p>
    <w:p>
      <w:pPr>
        <w:pStyle w:val="BodyText"/>
      </w:pPr>
      <w:r>
        <w:rPr>
          <w:bCs/>
          <w:b/>
        </w:rPr>
        <w:t xml:space="preserve">Passo 3, escolha da regra</w:t>
      </w:r>
      <w:r>
        <w:t xml:space="preserve">, condicionada ao que o diagnóstico mostrou: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Cenário observado no desenvolvimento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adotada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Juízes com confiabilidade parecida e erros pouco correlacionados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maioria simples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Confiabilidade desigual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ponderada/XGBoost, mas só se superar o melhor juiz sozinho na precisão do alerta; caso contrário, melhor juiz sozinho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Erros muito correlacionados (menos de 2 votos efetivos)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juiz sozinho, com o painel reportado como redundante</w:t>
            </w:r>
          </w:p>
        </w:tc>
      </w:tr>
    </w:tbl>
    <w:p>
      <w:pPr>
        <w:pStyle w:val="BodyText"/>
      </w:pPr>
      <w:r>
        <w:t xml:space="preserve">A regra de maioria para o caso de confiabilidade parecida, e a agregação</w:t>
      </w:r>
      <w:r>
        <w:t xml:space="preserve"> </w:t>
      </w:r>
      <w:r>
        <w:t xml:space="preserve">ponderada para o caso de confiabilidade desigual, seguem o OLAF (Mia e Zaman,</w:t>
      </w:r>
      <w:r>
        <w:t xml:space="preserve"> </w:t>
      </w:r>
      <w:r>
        <w:t xml:space="preserve">2025), framework de anotação por LLM voltado à engenharia de software empírica</w:t>
      </w:r>
      <w:r>
        <w:t xml:space="preserve"> </w:t>
      </w:r>
      <w:r>
        <w:t xml:space="preserve">que usa detecção de SATD como exemplo, e que também recomenda reportar a</w:t>
      </w:r>
      <w:r>
        <w:t xml:space="preserve"> </w:t>
      </w:r>
      <w:r>
        <w:t xml:space="preserve">concordância humano-modelo separada da concordância modelo-modelo.</w:t>
      </w:r>
    </w:p>
    <w:p>
      <w:pPr>
        <w:pStyle w:val="BodyText"/>
      </w:pPr>
      <w:r>
        <w:rPr>
          <w:bCs/>
          <w:b/>
        </w:rPr>
        <w:t xml:space="preserve">Passo 4, tratamento dos detectores de SATD.</w:t>
      </w:r>
      <w:r>
        <w:t xml:space="preserve"> </w:t>
      </w:r>
      <w:r>
        <w:t xml:space="preserve">DebtHunter e MT-MoE-BERT não</w:t>
      </w:r>
      <w:r>
        <w:t xml:space="preserve"> </w:t>
      </w:r>
      <w:r>
        <w:t xml:space="preserve">entram na votação junto com os LLMs, porque o voto deles é assimétrico (Seção</w:t>
      </w:r>
      <w:r>
        <w:t xml:space="preserve"> </w:t>
      </w:r>
      <w:r>
        <w:t xml:space="preserve">2.2):</w:t>
      </w:r>
      <w:r>
        <w:t xml:space="preserve"> </w:t>
      </w:r>
      <w:r>
        <w:t xml:space="preserve">“</w:t>
      </w:r>
      <w:r>
        <w:t xml:space="preserve">não é SATD</w:t>
      </w:r>
      <w:r>
        <w:t xml:space="preserve">”</w:t>
      </w:r>
      <w:r>
        <w:t xml:space="preserve"> </w:t>
      </w:r>
      <w:r>
        <w:t xml:space="preserve">é evidência forte,</w:t>
      </w:r>
      <w:r>
        <w:t xml:space="preserve"> </w:t>
      </w:r>
      <w:r>
        <w:t xml:space="preserve">“</w:t>
      </w:r>
      <w:r>
        <w:t xml:space="preserve">é SATD</w:t>
      </w:r>
      <w:r>
        <w:t xml:space="preserve">”</w:t>
      </w:r>
      <w:r>
        <w:t xml:space="preserve"> </w:t>
      </w:r>
      <w:r>
        <w:t xml:space="preserve">é evidência fraca. Eles</w:t>
      </w:r>
      <w:r>
        <w:t xml:space="preserve"> </w:t>
      </w:r>
      <w:r>
        <w:t xml:space="preserve">funcionam como uma flag separada, do tipo</w:t>
      </w:r>
      <w:r>
        <w:t xml:space="preserve"> </w:t>
      </w:r>
      <w:r>
        <w:t xml:space="preserve">“</w:t>
      </w:r>
      <w:r>
        <w:t xml:space="preserve">detector externo diz que nem SATD</w:t>
      </w:r>
      <w:r>
        <w:t xml:space="preserve"> </w:t>
      </w:r>
      <w:r>
        <w:t xml:space="preserve">é</w:t>
      </w:r>
      <w:r>
        <w:t xml:space="preserve">”</w:t>
      </w:r>
      <w:r>
        <w:t xml:space="preserve">, que vira variável do agregador, quando houver, e coluna própria na saída,</w:t>
      </w:r>
      <w:r>
        <w:t xml:space="preserve"> </w:t>
      </w:r>
      <w:r>
        <w:t xml:space="preserve">mas nunca um voto contado em maioria.</w:t>
      </w:r>
    </w:p>
    <w:bookmarkEnd w:id="27"/>
    <w:bookmarkEnd w:id="28"/>
    <w:bookmarkStart w:id="29" w:name="procedimento"/>
    <w:p>
      <w:pPr>
        <w:pStyle w:val="Heading2"/>
      </w:pPr>
      <w:r>
        <w:t xml:space="preserve">4. Procedimento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Painel de juízes (desenvolvimento, 200).</w:t>
      </w:r>
      <w:r>
        <w:t xml:space="preserve"> </w:t>
      </w:r>
      <w:r>
        <w:t xml:space="preserve">Executar todos os juízes e</w:t>
      </w:r>
      <w:r>
        <w:t xml:space="preserve"> </w:t>
      </w:r>
      <w:r>
        <w:t xml:space="preserve">estratégias de prompt. Medir precisão do alerta, cobertura, kappa e</w:t>
      </w:r>
      <w:r>
        <w:t xml:space="preserve"> </w:t>
      </w:r>
      <w:r>
        <w:t xml:space="preserve">correlação de erro entre juízes. O painel final privilegia diversidade de</w:t>
      </w:r>
      <w:r>
        <w:t xml:space="preserve"> </w:t>
      </w:r>
      <w:r>
        <w:t xml:space="preserve">erros: juízes que erram em itens diferentes somam mais do que juízes que</w:t>
      </w:r>
      <w:r>
        <w:t xml:space="preserve"> </w:t>
      </w:r>
      <w:r>
        <w:t xml:space="preserve">erram juntos. Custo de centavos por rodada.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Agregação (desenvolvimento, 200).</w:t>
      </w:r>
      <w:r>
        <w:t xml:space="preserve"> </w:t>
      </w:r>
      <w:r>
        <w:t xml:space="preserve">Executar o protocolo da Seção 3.3:</w:t>
      </w:r>
      <w:r>
        <w:t xml:space="preserve"> </w:t>
      </w:r>
      <w:r>
        <w:t xml:space="preserve">eliminatória individual, diagnóstico de correlação e votos efetivos,</w:t>
      </w:r>
      <w:r>
        <w:t xml:space="preserve"> </w:t>
      </w:r>
      <w:r>
        <w:t xml:space="preserve">escolha condicional da regra e definição da flag dos detectores externos.</w:t>
      </w:r>
      <w:r>
        <w:t xml:space="preserve"> </w:t>
      </w:r>
      <w:r>
        <w:t xml:space="preserve">Validação cruzada interna aos 200 para o agregador treinado. A saída da</w:t>
      </w:r>
      <w:r>
        <w:t xml:space="preserve"> </w:t>
      </w:r>
      <w:r>
        <w:t xml:space="preserve">fase é uma configuração única, congelada para a etapa seguinte.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Congelamento e teste (385).</w:t>
      </w:r>
      <w:r>
        <w:t xml:space="preserve"> </w:t>
      </w:r>
      <w:r>
        <w:t xml:space="preserve">Congelar juízes, prompts, versões e regra</w:t>
      </w:r>
      <w:r>
        <w:t xml:space="preserve"> </w:t>
      </w:r>
      <w:r>
        <w:t xml:space="preserve">de agregação, e executar uma única vez no conjunto de teste. O resultado</w:t>
      </w:r>
      <w:r>
        <w:t xml:space="preserve"> </w:t>
      </w:r>
      <w:r>
        <w:t xml:space="preserve">desta fase é o que vai ao artigo.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Aplicação ao corpus.</w:t>
      </w:r>
      <w:r>
        <w:t xml:space="preserve"> </w:t>
      </w:r>
      <w:r>
        <w:t xml:space="preserve">Executar a configuração congelada nos 91.458</w:t>
      </w:r>
      <w:r>
        <w:t xml:space="preserve"> </w:t>
      </w:r>
      <w:r>
        <w:t xml:space="preserve">registros, registrando em manifest o modelo, a versão, o prompt, a</w:t>
      </w:r>
      <w:r>
        <w:t xml:space="preserve"> </w:t>
      </w:r>
      <w:r>
        <w:t xml:space="preserve">temperatura, a data e o custo.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Auditoria da saída.</w:t>
      </w:r>
      <w:r>
        <w:t xml:space="preserve"> </w:t>
      </w:r>
      <w:r>
        <w:t xml:space="preserve">Amostrar a saída da aplicação e revisar com</w:t>
      </w:r>
      <w:r>
        <w:t xml:space="preserve"> </w:t>
      </w:r>
      <w:r>
        <w:t xml:space="preserve">humanos, para verificar se o comportamento do painel no corpus completo</w:t>
      </w:r>
      <w:r>
        <w:t xml:space="preserve"> </w:t>
      </w:r>
      <w:r>
        <w:t xml:space="preserve">corresponde ao observado na amostra de teste. A pergunta aqui é diferente</w:t>
      </w:r>
      <w:r>
        <w:t xml:space="preserve"> </w:t>
      </w:r>
      <w:r>
        <w:t xml:space="preserve">da que o IMPACT respondia com sua auditoria de 500 itens (lá, validar</w:t>
      </w:r>
      <w:r>
        <w:t xml:space="preserve"> </w:t>
      </w:r>
      <w:r>
        <w:t xml:space="preserve">rótulos de dado sintético; aqui, checar deriva de distribuição), por isso o</w:t>
      </w:r>
      <w:r>
        <w:t xml:space="preserve"> </w:t>
      </w:r>
      <w:r>
        <w:t xml:space="preserve">tamanho não foi copiado: a amostra é dimensionada por Cochran (95% de</w:t>
      </w:r>
      <w:r>
        <w:t xml:space="preserve"> </w:t>
      </w:r>
      <w:r>
        <w:t xml:space="preserve">confiança, margem de 5%), que estabiliza em 385 para populações desse</w:t>
      </w:r>
      <w:r>
        <w:t xml:space="preserve"> </w:t>
      </w:r>
      <w:r>
        <w:t xml:space="preserve">porte, o mesmo tamanho usado no Trilho 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Publicação.</w:t>
      </w:r>
      <w:r>
        <w:t xml:space="preserve"> </w:t>
      </w:r>
      <w:r>
        <w:t xml:space="preserve">Adicionar ao dataset as colunas n_judges_flagged_fp</w:t>
      </w:r>
      <w:r>
        <w:t xml:space="preserve"> </w:t>
      </w:r>
      <w:r>
        <w:t xml:space="preserve">(contagem de juízes que marcaram o item, para que cada usuário escolha o</w:t>
      </w:r>
      <w:r>
        <w:t xml:space="preserve"> </w:t>
      </w:r>
      <w:r>
        <w:t xml:space="preserve">próprio corte) e llm_rationale (justificativa, para auditoria). O descritor</w:t>
      </w:r>
      <w:r>
        <w:t xml:space="preserve"> </w:t>
      </w:r>
      <w:r>
        <w:t xml:space="preserve">declara que a marcação é automática, parcial e não validada item a item por</w:t>
      </w:r>
      <w:r>
        <w:t xml:space="preserve"> </w:t>
      </w:r>
      <w:r>
        <w:t xml:space="preserve">humanos; a expectativa calibrada pela linha de base é capturar da ordem de</w:t>
      </w:r>
      <w:r>
        <w:t xml:space="preserve"> </w:t>
      </w:r>
      <w:r>
        <w:t xml:space="preserve">um quarto dos falsos positivos, com alta precisão.</w:t>
      </w:r>
    </w:p>
    <w:bookmarkEnd w:id="29"/>
    <w:bookmarkStart w:id="30" w:name="critérios-de-decisão"/>
    <w:p>
      <w:pPr>
        <w:pStyle w:val="Heading2"/>
      </w:pPr>
      <w:r>
        <w:t xml:space="preserve">5. Critérios de decisão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Resultado no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Precisão do alerta 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 a marcação completa, com a cobertura declarada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60% e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 apenas o subconjunto de maior confiança (ao menos 2 juízes)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Abaixo de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publica; o experimento é reportado como limitação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Concordância alta entre juízes com concordância baixa contra 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publica (indício de viés compartilhado, não de acerto)</w:t>
            </w:r>
          </w:p>
        </w:tc>
      </w:tr>
    </w:tbl>
    <w:bookmarkEnd w:id="30"/>
    <w:bookmarkStart w:id="31" w:name="ameaças-à-validade"/>
    <w:p>
      <w:pPr>
        <w:pStyle w:val="Heading2"/>
      </w:pPr>
      <w:r>
        <w:t xml:space="preserve">6. Ameaças à validade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Ameaça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Viés compartilhado entre LLMs de treino semelhante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heterogêneo (LLMs, DebtHunter, MT-MoE-BERT); diagnóstico de votos efetivos (Seção 3.3); concordância juiz-juiz reportada separada da concordância juiz-humano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Escassez de negativos (27 no desenvolvimento, 28 no teste)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agregador com poucas variáveis; intervalos de confiança no reporte; baseline de texto declarado como limitado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Não-determinismo dos LLMs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temperatura zero; manifest com modelo, versão, data e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Superajuste ao conjunto de desenvolvimento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separação desenvolvimento/teste; teste usado uma única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Prevalência alta de positivos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precisão do alerta como métrica principal; reporte completo de concordância e prevalência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Diferença de distribuição entre a amostra e o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humana estratificada na etapa de auditoria</w:t>
            </w:r>
          </w:p>
        </w:tc>
      </w:tr>
    </w:tbl>
    <w:bookmarkEnd w:id="31"/>
    <w:bookmarkStart w:id="32" w:name="referências"/>
    <w:p>
      <w:pPr>
        <w:pStyle w:val="Heading2"/>
      </w:pPr>
      <w:r>
        <w:t xml:space="preserve">Referências</w:t>
      </w:r>
    </w:p>
    <w:p>
      <w:pPr>
        <w:pStyle w:val="FirstParagraph"/>
      </w:pPr>
      <w:r>
        <w:t xml:space="preserve">Mia, M. I.; Zaman, T. S. OLAF: Towards Robust LLM-Based Annotation Framework</w:t>
      </w:r>
      <w:r>
        <w:t xml:space="preserve"> </w:t>
      </w:r>
      <w:r>
        <w:t xml:space="preserve">in Empirical Software Engineering. arXiv:2512.15979, 2025.</w:t>
      </w:r>
    </w:p>
    <w:p>
      <w:pPr>
        <w:pStyle w:val="BodyText"/>
      </w:pPr>
      <w:r>
        <w:t xml:space="preserve">Kohli, G. Nine Judges, Two Effective Votes: Correlated Errors Undermine LLM</w:t>
      </w:r>
      <w:r>
        <w:t xml:space="preserve"> </w:t>
      </w:r>
      <w:r>
        <w:t xml:space="preserve">Evaluation Panels. arXiv:2605.29800, 2026.</w:t>
      </w:r>
    </w:p>
    <w:p>
      <w:pPr>
        <w:pStyle w:val="BodyText"/>
      </w:pPr>
      <w:r>
        <w:t xml:space="preserve">Li, Q. et al. IMPACT: Identifying and Classifying Multiple Sourced and</w:t>
      </w:r>
      <w:r>
        <w:t xml:space="preserve"> </w:t>
      </w:r>
      <w:r>
        <w:t xml:space="preserve">Categorized Self-Admitted Technical Debts. ACM TOSEM 35(4), 2026.</w:t>
      </w:r>
    </w:p>
    <w:p>
      <w:pPr>
        <w:pStyle w:val="BodyText"/>
      </w:pPr>
      <w:r>
        <w:t xml:space="preserve">Sala, I.; Tommasel, A.; Arcelli Fontana, F. DebtHunter: A Machine</w:t>
      </w:r>
      <w:r>
        <w:t xml:space="preserve"> </w:t>
      </w:r>
      <w:r>
        <w:t xml:space="preserve">Learning-based Approach for Detecting Self-Admitted Technical Debt. EASE 2021.</w:t>
      </w:r>
    </w:p>
    <w:p>
      <w:pPr>
        <w:pStyle w:val="BodyText"/>
      </w:pPr>
      <w:r>
        <w:t xml:space="preserve">Vach, W.; Gerke, O. Gwet’s AC1 is not a substitute for Cohen’s kappa. MethodsX</w:t>
      </w:r>
      <w:r>
        <w:t xml:space="preserve"> </w:t>
      </w:r>
      <w:r>
        <w:t xml:space="preserve">10, 2023.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2026-08-19T16:37:18Z</dcterms:created>
  <dcterms:modified xsi:type="dcterms:W3CDTF">2026-08-19T16:37:18Z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