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jc w:val="center"/>
      </w:pPr>
      <w:r>
        <w:rPr>
          <w:b/>
          <w:bCs/>
          <w:color w:val="2a6f97"/>
          <w:sz w:val="26"/>
          <w:szCs w:val="26"/>
        </w:rPr>
        <w:t xml:space="preserve">Projet de Securite Informatique</w:t>
      </w:r>
    </w:p>
    <w:p>
      <w:pPr>
        <w:spacing w:after="400"/>
        <w:jc w:val="center"/>
      </w:pPr>
      <w:r>
        <w:rPr>
          <w:color w:val="666666"/>
          <w:sz w:val="22"/>
          <w:szCs w:val="22"/>
        </w:rPr>
        <w:t xml:space="preserve">Application du Machine Learning a la cybersecurite</w:t>
      </w:r>
    </w:p>
    <w:p>
      <w:pPr>
        <w:spacing w:after="120" w:before="200"/>
        <w:jc w:val="center"/>
      </w:pPr>
      <w:r>
        <w:rPr>
          <w:b/>
          <w:bCs/>
          <w:color w:val="1d3557"/>
          <w:sz w:val="40"/>
          <w:szCs w:val="40"/>
        </w:rPr>
        <w:t xml:space="preserve">Detection et classification d'URLs malveillantes</w:t>
      </w:r>
    </w:p>
    <w:p>
      <w:pPr>
        <w:spacing w:after="200"/>
        <w:jc w:val="center"/>
      </w:pPr>
      <w:r>
        <w:rPr>
          <w:b/>
          <w:bCs/>
          <w:color w:val="2a6f97"/>
          <w:sz w:val="30"/>
          <w:szCs w:val="30"/>
        </w:rPr>
        <w:t xml:space="preserve">sur le dataset ISCX-URL2016</w:t>
      </w:r>
    </w:p>
    <w:p>
      <w:pPr>
        <w:spacing w:after="100"/>
        <w:jc w:val="center"/>
      </w:pPr>
      <w:r>
        <w:rPr>
          <w:i/>
          <w:iCs/>
          <w:sz w:val="22"/>
          <w:szCs w:val="22"/>
        </w:rPr>
        <w:t xml:space="preserve">Random Forest &amp; XGBoost — 79 features</w:t>
      </w:r>
    </w:p>
    <w:p>
      <w:pPr>
        <w:spacing w:before="800"/>
        <w:jc w:val="center"/>
      </w:pPr>
      <w:r>
        <w:rPr>
          <w:i/>
          <w:iCs/>
          <w:color w:val="888888"/>
          <w:sz w:val="18"/>
          <w:szCs w:val="18"/>
        </w:rPr>
        <w:t xml:space="preserve">Approche inspiree de Nana et al. (2024), « Characterization of Malicious URLs Using Machine Learning and Feature Engineering »</w:t>
      </w:r>
    </w:p>
    <w:p>
      <w:r>
        <w:br w:type="page"/>
      </w:r>
    </w:p>
    <w:p>
      <w:pPr>
        <w:pStyle w:val="Heading1"/>
        <w:spacing w:after="140" w:before="280"/>
      </w:pPr>
      <w:r>
        <w:rPr>
          <w:b/>
          <w:bCs/>
          <w:color w:val="1d3557"/>
          <w:sz w:val="30"/>
          <w:szCs w:val="30"/>
        </w:rPr>
        <w:t xml:space="preserve">1. Introduction et objectifs</w:t>
      </w:r>
    </w:p>
    <w:p>
      <w:pPr>
        <w:spacing w:after="120" w:line="276"/>
        <w:jc w:val="both"/>
      </w:pPr>
      <w:r>
        <w:rPr>
          <w:i w:val="false"/>
          <w:iCs w:val="false"/>
          <w:color w:val="222222"/>
          <w:sz w:val="22"/>
          <w:szCs w:val="22"/>
        </w:rPr>
        <w:t xml:space="preserve">Les URLs malveillantes constituent l'un des principaux vecteurs d'attaque sur le web : phishing, diffusion de malware, defacement de sites ou spam. Les methodes classiques a base de listes noires (blacklists) deviennent vite obsoletes et ne detectent pas les nouvelles URLs. Le Machine Learning offre une alternative capable de generaliser a partir des caracteristiques des URLs.</w:t>
      </w:r>
    </w:p>
    <w:p>
      <w:pPr>
        <w:spacing w:after="120" w:line="276"/>
        <w:jc w:val="both"/>
      </w:pPr>
      <w:r>
        <w:rPr>
          <w:i w:val="false"/>
          <w:iCs w:val="false"/>
          <w:color w:val="222222"/>
          <w:sz w:val="22"/>
          <w:szCs w:val="22"/>
        </w:rPr>
        <w:t xml:space="preserve">Ce projet applique une approche de Machine Learning sur le dataset de reference ISCX-URL2016 (Universite du Nouveau-Brunswick), en s'inspirant de l'article de Nana et al. (2024). Deux scenarios sont traites :</w:t>
      </w:r>
    </w:p>
    <w:p>
      <w:pPr>
        <w:pStyle w:val="ListParagraph"/>
        <w:numPr>
          <w:ilvl w:val="0"/>
          <w:numId w:val="1"/>
        </w:numPr>
        <w:spacing w:after="60"/>
      </w:pPr>
      <w:r>
        <w:rPr>
          <w:sz w:val="22"/>
          <w:szCs w:val="22"/>
        </w:rPr>
        <w:t xml:space="preserve">Scenario 1 — Detection binaire : une URL est-elle benigne (benign) ou malveillante (malicious) ?</w:t>
      </w:r>
    </w:p>
    <w:p>
      <w:pPr>
        <w:pStyle w:val="ListParagraph"/>
        <w:numPr>
          <w:ilvl w:val="0"/>
          <w:numId w:val="1"/>
        </w:numPr>
        <w:spacing w:after="60"/>
      </w:pPr>
      <w:r>
        <w:rPr>
          <w:sz w:val="22"/>
          <w:szCs w:val="22"/>
        </w:rPr>
        <w:t xml:space="preserve">Scenario 2 — Classification multi-classe : distinguer les 5 types benign, Defacement, phishing, malware et spam.</w:t>
      </w:r>
    </w:p>
    <w:p>
      <w:pPr>
        <w:spacing w:after="120" w:line="276"/>
        <w:jc w:val="both"/>
      </w:pPr>
      <w:r>
        <w:rPr>
          <w:i w:val="false"/>
          <w:iCs w:val="false"/>
          <w:color w:val="222222"/>
          <w:sz w:val="22"/>
          <w:szCs w:val="22"/>
        </w:rPr>
        <w:t xml:space="preserve">Deux algorithmes sont compares : Random Forest (RF) et XGBoost (XGB). Au-dela de l'accuracy, nous suivons le taux de faux positifs (False Positive Rate, FPR), metrique cle du papier de reference : un bon detecteur doit generer le moins possible de fausses alertes sur des URLs legitimes.</w:t>
      </w:r>
    </w:p>
    <w:p>
      <w:pPr>
        <w:pStyle w:val="Heading1"/>
        <w:spacing w:after="140" w:before="280"/>
      </w:pPr>
      <w:r>
        <w:rPr>
          <w:b/>
          <w:bCs/>
          <w:color w:val="1d3557"/>
          <w:sz w:val="30"/>
          <w:szCs w:val="30"/>
        </w:rPr>
        <w:t xml:space="preserve">2. Methodologie</w:t>
      </w:r>
    </w:p>
    <w:p>
      <w:pPr>
        <w:pStyle w:val="Heading2"/>
        <w:spacing w:after="100" w:before="200"/>
      </w:pPr>
      <w:r>
        <w:rPr>
          <w:b/>
          <w:bCs/>
          <w:color w:val="2a6f97"/>
          <w:sz w:val="25"/>
          <w:szCs w:val="25"/>
        </w:rPr>
        <w:t xml:space="preserve">2.1 Jeu de donnees : ISCX-URL2016</w:t>
      </w:r>
    </w:p>
    <w:p>
      <w:pPr>
        <w:spacing w:after="120" w:line="276"/>
        <w:jc w:val="both"/>
      </w:pPr>
      <w:r>
        <w:rPr>
          <w:i w:val="false"/>
          <w:iCs w:val="false"/>
          <w:color w:val="222222"/>
          <w:sz w:val="22"/>
          <w:szCs w:val="22"/>
        </w:rPr>
        <w:t xml:space="preserve">Nous utilisons le dataset ISCX-URL2016 dans sa version pre-featurisee (fichier All.csv). Chaque URL y est deja decrite par 79 features numeriques extraites : longueurs des composants, ratios entre parties de l'URL, comptages de symboles et de chiffres, entropies, nombre de tokens du domaine, etc. La colonne cible URL_Type_obf_Type indique le type de l'URL.</w:t>
      </w:r>
    </w:p>
    <w:p>
      <w:pPr>
        <w:spacing w:after="120" w:line="276"/>
        <w:jc w:val="both"/>
      </w:pPr>
      <w:r>
        <w:rPr>
          <w:i w:val="false"/>
          <w:iCs w:val="false"/>
          <w:color w:val="222222"/>
          <w:sz w:val="22"/>
          <w:szCs w:val="22"/>
        </w:rPr>
        <w:t xml:space="preserve">Apres suppression des doublons, le corpus compte 26 953 URLs reparties en 5 classes. La distribution est relativement equilibree, a l'exception de la classe malware, minoritaire :</w:t>
      </w:r>
    </w:p>
    <w:tbl>
      <w:tblPr>
        <w:tblW w:type="dxa" w:w="6000"/>
        <w:tblBorders>
          <w:top w:val="single" w:color="cccccc" w:sz="2"/>
          <w:left w:val="single" w:color="cccccc" w:sz="2"/>
          <w:bottom w:val="single" w:color="cccccc" w:sz="2"/>
          <w:right w:val="single" w:color="cccccc" w:sz="2"/>
          <w:insideH w:val="single" w:color="dddddd" w:sz="1"/>
          <w:insideV w:val="single" w:color="dddddd" w:sz="1"/>
        </w:tblBorders>
      </w:tblPr>
      <w:tblGrid>
        <w:gridCol w:w="3000"/>
        <w:gridCol w:w="3000"/>
      </w:tblGrid>
      <w:tr>
        <w:trPr>
          <w:tblHeader/>
        </w:trPr>
        <w:tc>
          <w:tcPr>
            <w:tcW w:type="dxa" w:w="3000"/>
            <w:shd w:fill="1d3557" w:val="clear"/>
            <w:tcMar>
              <w:top w:type="dxa" w:w="60"/>
              <w:left w:type="dxa" w:w="100"/>
              <w:bottom w:type="dxa" w:w="60"/>
              <w:right w:type="dxa" w:w="100"/>
            </w:tcMar>
          </w:tcPr>
          <w:p>
            <w:pPr>
              <w:jc w:val="center"/>
            </w:pPr>
            <w:r>
              <w:rPr>
                <w:b/>
                <w:bCs/>
                <w:color w:val="FFFFFF"/>
                <w:sz w:val="20"/>
                <w:szCs w:val="20"/>
              </w:rPr>
              <w:t xml:space="preserve">Classe</w:t>
            </w:r>
          </w:p>
        </w:tc>
        <w:tc>
          <w:tcPr>
            <w:tcW w:type="dxa" w:w="3000"/>
            <w:shd w:fill="1d3557" w:val="clear"/>
            <w:tcMar>
              <w:top w:type="dxa" w:w="60"/>
              <w:left w:type="dxa" w:w="100"/>
              <w:bottom w:type="dxa" w:w="60"/>
              <w:right w:type="dxa" w:w="100"/>
            </w:tcMar>
          </w:tcPr>
          <w:p>
            <w:pPr>
              <w:jc w:val="center"/>
            </w:pPr>
            <w:r>
              <w:rPr>
                <w:b/>
                <w:bCs/>
                <w:color w:val="FFFFFF"/>
                <w:sz w:val="20"/>
                <w:szCs w:val="20"/>
              </w:rPr>
              <w:t xml:space="preserve">Nombre d'URLs</w:t>
            </w:r>
          </w:p>
        </w:tc>
      </w:tr>
      <w:tr>
        <w:tc>
          <w:tcPr>
            <w:tcW w:type="dxa" w:w="3000"/>
            <w:tcMar>
              <w:top w:type="dxa" w:w="50"/>
              <w:left w:type="dxa" w:w="100"/>
              <w:bottom w:type="dxa" w:w="50"/>
              <w:right w:type="dxa" w:w="100"/>
            </w:tcMar>
          </w:tcPr>
          <w:p>
            <w:pPr>
              <w:jc w:val="left"/>
            </w:pPr>
            <w:r>
              <w:rPr>
                <w:b/>
                <w:bCs/>
                <w:sz w:val="20"/>
                <w:szCs w:val="20"/>
              </w:rPr>
              <w:t xml:space="preserve">benign</w:t>
            </w:r>
          </w:p>
        </w:tc>
        <w:tc>
          <w:tcPr>
            <w:tcW w:type="dxa" w:w="3000"/>
            <w:tcMar>
              <w:top w:type="dxa" w:w="50"/>
              <w:left w:type="dxa" w:w="100"/>
              <w:bottom w:type="dxa" w:w="50"/>
              <w:right w:type="dxa" w:w="100"/>
            </w:tcMar>
          </w:tcPr>
          <w:p>
            <w:pPr>
              <w:jc w:val="center"/>
            </w:pPr>
            <w:r>
              <w:rPr>
                <w:b w:val="false"/>
                <w:bCs w:val="false"/>
                <w:sz w:val="20"/>
                <w:szCs w:val="20"/>
              </w:rPr>
              <w:t xml:space="preserve">7 464</w:t>
            </w:r>
          </w:p>
        </w:tc>
      </w:tr>
      <w:tr>
        <w:tc>
          <w:tcPr>
            <w:tcW w:type="dxa" w:w="3000"/>
            <w:shd w:fill="f1f3f5" w:val="clear"/>
            <w:tcMar>
              <w:top w:type="dxa" w:w="50"/>
              <w:left w:type="dxa" w:w="100"/>
              <w:bottom w:type="dxa" w:w="50"/>
              <w:right w:type="dxa" w:w="100"/>
            </w:tcMar>
          </w:tcPr>
          <w:p>
            <w:pPr>
              <w:jc w:val="left"/>
            </w:pPr>
            <w:r>
              <w:rPr>
                <w:b/>
                <w:bCs/>
                <w:sz w:val="20"/>
                <w:szCs w:val="20"/>
              </w:rPr>
              <w:t xml:space="preserve">phishing</w:t>
            </w:r>
          </w:p>
        </w:tc>
        <w:tc>
          <w:tcPr>
            <w:tcW w:type="dxa" w:w="3000"/>
            <w:shd w:fill="f1f3f5" w:val="clear"/>
            <w:tcMar>
              <w:top w:type="dxa" w:w="50"/>
              <w:left w:type="dxa" w:w="100"/>
              <w:bottom w:type="dxa" w:w="50"/>
              <w:right w:type="dxa" w:w="100"/>
            </w:tcMar>
          </w:tcPr>
          <w:p>
            <w:pPr>
              <w:jc w:val="center"/>
            </w:pPr>
            <w:r>
              <w:rPr>
                <w:b w:val="false"/>
                <w:bCs w:val="false"/>
                <w:sz w:val="20"/>
                <w:szCs w:val="20"/>
              </w:rPr>
              <w:t xml:space="preserve">7 359</w:t>
            </w:r>
          </w:p>
        </w:tc>
      </w:tr>
      <w:tr>
        <w:tc>
          <w:tcPr>
            <w:tcW w:type="dxa" w:w="3000"/>
            <w:tcMar>
              <w:top w:type="dxa" w:w="50"/>
              <w:left w:type="dxa" w:w="100"/>
              <w:bottom w:type="dxa" w:w="50"/>
              <w:right w:type="dxa" w:w="100"/>
            </w:tcMar>
          </w:tcPr>
          <w:p>
            <w:pPr>
              <w:jc w:val="left"/>
            </w:pPr>
            <w:r>
              <w:rPr>
                <w:b/>
                <w:bCs/>
                <w:sz w:val="20"/>
                <w:szCs w:val="20"/>
              </w:rPr>
              <w:t xml:space="preserve">spam</w:t>
            </w:r>
          </w:p>
        </w:tc>
        <w:tc>
          <w:tcPr>
            <w:tcW w:type="dxa" w:w="3000"/>
            <w:tcMar>
              <w:top w:type="dxa" w:w="50"/>
              <w:left w:type="dxa" w:w="100"/>
              <w:bottom w:type="dxa" w:w="50"/>
              <w:right w:type="dxa" w:w="100"/>
            </w:tcMar>
          </w:tcPr>
          <w:p>
            <w:pPr>
              <w:jc w:val="center"/>
            </w:pPr>
            <w:r>
              <w:rPr>
                <w:b w:val="false"/>
                <w:bCs w:val="false"/>
                <w:sz w:val="20"/>
                <w:szCs w:val="20"/>
              </w:rPr>
              <w:t xml:space="preserve">5 331</w:t>
            </w:r>
          </w:p>
        </w:tc>
      </w:tr>
      <w:tr>
        <w:tc>
          <w:tcPr>
            <w:tcW w:type="dxa" w:w="3000"/>
            <w:shd w:fill="f1f3f5" w:val="clear"/>
            <w:tcMar>
              <w:top w:type="dxa" w:w="50"/>
              <w:left w:type="dxa" w:w="100"/>
              <w:bottom w:type="dxa" w:w="50"/>
              <w:right w:type="dxa" w:w="100"/>
            </w:tcMar>
          </w:tcPr>
          <w:p>
            <w:pPr>
              <w:jc w:val="left"/>
            </w:pPr>
            <w:r>
              <w:rPr>
                <w:b/>
                <w:bCs/>
                <w:sz w:val="20"/>
                <w:szCs w:val="20"/>
              </w:rPr>
              <w:t xml:space="preserve">Defacement</w:t>
            </w:r>
          </w:p>
        </w:tc>
        <w:tc>
          <w:tcPr>
            <w:tcW w:type="dxa" w:w="3000"/>
            <w:shd w:fill="f1f3f5" w:val="clear"/>
            <w:tcMar>
              <w:top w:type="dxa" w:w="50"/>
              <w:left w:type="dxa" w:w="100"/>
              <w:bottom w:type="dxa" w:w="50"/>
              <w:right w:type="dxa" w:w="100"/>
            </w:tcMar>
          </w:tcPr>
          <w:p>
            <w:pPr>
              <w:jc w:val="center"/>
            </w:pPr>
            <w:r>
              <w:rPr>
                <w:b w:val="false"/>
                <w:bCs w:val="false"/>
                <w:sz w:val="20"/>
                <w:szCs w:val="20"/>
              </w:rPr>
              <w:t xml:space="preserve">5 068</w:t>
            </w:r>
          </w:p>
        </w:tc>
      </w:tr>
      <w:tr>
        <w:tc>
          <w:tcPr>
            <w:tcW w:type="dxa" w:w="3000"/>
            <w:tcMar>
              <w:top w:type="dxa" w:w="50"/>
              <w:left w:type="dxa" w:w="100"/>
              <w:bottom w:type="dxa" w:w="50"/>
              <w:right w:type="dxa" w:w="100"/>
            </w:tcMar>
          </w:tcPr>
          <w:p>
            <w:pPr>
              <w:jc w:val="left"/>
            </w:pPr>
            <w:r>
              <w:rPr>
                <w:b/>
                <w:bCs/>
                <w:sz w:val="20"/>
                <w:szCs w:val="20"/>
              </w:rPr>
              <w:t xml:space="preserve">malware</w:t>
            </w:r>
          </w:p>
        </w:tc>
        <w:tc>
          <w:tcPr>
            <w:tcW w:type="dxa" w:w="3000"/>
            <w:tcMar>
              <w:top w:type="dxa" w:w="50"/>
              <w:left w:type="dxa" w:w="100"/>
              <w:bottom w:type="dxa" w:w="50"/>
              <w:right w:type="dxa" w:w="100"/>
            </w:tcMar>
          </w:tcPr>
          <w:p>
            <w:pPr>
              <w:jc w:val="center"/>
            </w:pPr>
            <w:r>
              <w:rPr>
                <w:b w:val="false"/>
                <w:bCs w:val="false"/>
                <w:sz w:val="20"/>
                <w:szCs w:val="20"/>
              </w:rPr>
              <w:t xml:space="preserve">1 731</w:t>
            </w:r>
          </w:p>
        </w:tc>
      </w:tr>
    </w:tbl>
    <w:p>
      <w:pPr>
        <w:pStyle w:val="Heading2"/>
        <w:spacing w:after="100" w:before="200"/>
      </w:pPr>
      <w:r>
        <w:rPr>
          <w:b/>
          <w:bCs/>
          <w:color w:val="2a6f97"/>
          <w:sz w:val="25"/>
          <w:szCs w:val="25"/>
        </w:rPr>
        <w:t xml:space="preserve">2.2 Pre-traitement des donnees</w:t>
      </w:r>
    </w:p>
    <w:p>
      <w:pPr>
        <w:spacing w:after="120" w:line="276"/>
        <w:jc w:val="both"/>
      </w:pPr>
      <w:r>
        <w:rPr>
          <w:i w:val="false"/>
          <w:iCs w:val="false"/>
          <w:color w:val="222222"/>
          <w:sz w:val="22"/>
          <w:szCs w:val="22"/>
        </w:rPr>
        <w:t xml:space="preserve">Trois etapes de nettoyage ont ete appliquees, conformement aux bonnes pratiques et a la demarche du papier :</w:t>
      </w:r>
    </w:p>
    <w:p>
      <w:pPr>
        <w:pStyle w:val="ListParagraph"/>
        <w:numPr>
          <w:ilvl w:val="0"/>
          <w:numId w:val="1"/>
        </w:numPr>
        <w:spacing w:after="60"/>
      </w:pPr>
      <w:r>
        <w:rPr>
          <w:sz w:val="22"/>
          <w:szCs w:val="22"/>
        </w:rPr>
        <w:t xml:space="preserve">Suppression des doublons (lignes identiques).</w:t>
      </w:r>
    </w:p>
    <w:p>
      <w:pPr>
        <w:pStyle w:val="ListParagraph"/>
        <w:numPr>
          <w:ilvl w:val="0"/>
          <w:numId w:val="1"/>
        </w:numPr>
        <w:spacing w:after="60"/>
      </w:pPr>
      <w:r>
        <w:rPr>
          <w:sz w:val="22"/>
          <w:szCs w:val="22"/>
        </w:rPr>
        <w:t xml:space="preserve">Remplacement des valeurs infinies, issues de certains ratios, par des valeurs manquantes (NaN).</w:t>
      </w:r>
    </w:p>
    <w:p>
      <w:pPr>
        <w:pStyle w:val="ListParagraph"/>
        <w:numPr>
          <w:ilvl w:val="0"/>
          <w:numId w:val="1"/>
        </w:numPr>
        <w:spacing w:after="60"/>
      </w:pPr>
      <w:r>
        <w:rPr>
          <w:sz w:val="22"/>
          <w:szCs w:val="22"/>
        </w:rPr>
        <w:t xml:space="preserve">Imputation des valeurs manquantes par la mediane de chaque colonne, robuste aux valeurs extremes.</w:t>
      </w:r>
    </w:p>
    <w:p>
      <w:pPr>
        <w:pStyle w:val="Heading2"/>
        <w:spacing w:after="100" w:before="200"/>
      </w:pPr>
      <w:r>
        <w:rPr>
          <w:b/>
          <w:bCs/>
          <w:color w:val="2a6f97"/>
          <w:sz w:val="25"/>
          <w:szCs w:val="25"/>
        </w:rPr>
        <w:t xml:space="preserve">2.3 Protocole experimental</w:t>
      </w:r>
    </w:p>
    <w:p>
      <w:pPr>
        <w:pStyle w:val="ListParagraph"/>
        <w:numPr>
          <w:ilvl w:val="0"/>
          <w:numId w:val="1"/>
        </w:numPr>
        <w:spacing w:after="60"/>
      </w:pPr>
      <w:r>
        <w:rPr>
          <w:sz w:val="22"/>
          <w:szCs w:val="22"/>
        </w:rPr>
        <w:t xml:space="preserve">Separation train/test : 80 % / 20 %, avec melange et random_state = 5.</w:t>
      </w:r>
    </w:p>
    <w:p>
      <w:pPr>
        <w:pStyle w:val="ListParagraph"/>
        <w:numPr>
          <w:ilvl w:val="0"/>
          <w:numId w:val="1"/>
        </w:numPr>
        <w:spacing w:after="60"/>
      </w:pPr>
      <w:r>
        <w:rPr>
          <w:sz w:val="22"/>
          <w:szCs w:val="22"/>
        </w:rPr>
        <w:t xml:space="preserve">Stratification sur les classes pour preserver les proportions.</w:t>
      </w:r>
    </w:p>
    <w:p>
      <w:pPr>
        <w:pStyle w:val="ListParagraph"/>
        <w:numPr>
          <w:ilvl w:val="0"/>
          <w:numId w:val="1"/>
        </w:numPr>
        <w:spacing w:after="60"/>
      </w:pPr>
      <w:r>
        <w:rPr>
          <w:sz w:val="22"/>
          <w:szCs w:val="22"/>
        </w:rPr>
        <w:t xml:space="preserve">Random Forest (200 arbres) et XGBoost (300 estimateurs, profondeur 10).</w:t>
      </w:r>
    </w:p>
    <w:p>
      <w:pPr>
        <w:pStyle w:val="ListParagraph"/>
        <w:numPr>
          <w:ilvl w:val="0"/>
          <w:numId w:val="1"/>
        </w:numPr>
        <w:spacing w:after="60"/>
      </w:pPr>
      <w:r>
        <w:rPr>
          <w:sz w:val="22"/>
          <w:szCs w:val="22"/>
        </w:rPr>
        <w:t xml:space="preserve">Environnement : Python, scikit-learn, xgboost — execution sur CPU.</w:t>
      </w:r>
    </w:p>
    <w:p>
      <w:r>
        <w:br w:type="page"/>
      </w:r>
    </w:p>
    <w:p>
      <w:pPr>
        <w:pStyle w:val="Heading1"/>
        <w:spacing w:after="140" w:before="280"/>
      </w:pPr>
      <w:r>
        <w:rPr>
          <w:b/>
          <w:bCs/>
          <w:color w:val="1d3557"/>
          <w:sz w:val="30"/>
          <w:szCs w:val="30"/>
        </w:rPr>
        <w:t xml:space="preserve">3. Resultats — Scenario 1 : detection binaire</w:t>
      </w:r>
    </w:p>
    <w:p>
      <w:pPr>
        <w:spacing w:after="120" w:line="276"/>
        <w:jc w:val="both"/>
      </w:pPr>
      <w:r>
        <w:rPr>
          <w:i w:val="false"/>
          <w:iCs w:val="false"/>
          <w:color w:val="222222"/>
          <w:sz w:val="22"/>
          <w:szCs w:val="22"/>
        </w:rPr>
        <w:t xml:space="preserve">Le tableau ci-dessous presente les performances des deux modeles sur l'ensemble de test. Les deux depassent 99 % d'accuracy avec un FPR tres faible.</w:t>
      </w:r>
    </w:p>
    <w:tbl>
      <w:tblPr>
        <w:tblW w:type="dxa" w:w="9600"/>
        <w:tblBorders>
          <w:top w:val="single" w:color="cccccc" w:sz="2"/>
          <w:left w:val="single" w:color="cccccc" w:sz="2"/>
          <w:bottom w:val="single" w:color="cccccc" w:sz="2"/>
          <w:right w:val="single" w:color="cccccc" w:sz="2"/>
          <w:insideH w:val="single" w:color="dddddd" w:sz="1"/>
          <w:insideV w:val="single" w:color="dddddd" w:sz="1"/>
        </w:tblBorders>
      </w:tblPr>
      <w:tblGrid>
        <w:gridCol w:w="2200"/>
        <w:gridCol w:w="1560"/>
        <w:gridCol w:w="1560"/>
        <w:gridCol w:w="1420"/>
        <w:gridCol w:w="1560"/>
        <w:gridCol w:w="1300"/>
      </w:tblGrid>
      <w:tr>
        <w:trPr>
          <w:tblHeader/>
        </w:trPr>
        <w:tc>
          <w:tcPr>
            <w:tcW w:type="dxa" w:w="2200"/>
            <w:shd w:fill="1d3557" w:val="clear"/>
            <w:tcMar>
              <w:top w:type="dxa" w:w="60"/>
              <w:left w:type="dxa" w:w="100"/>
              <w:bottom w:type="dxa" w:w="60"/>
              <w:right w:type="dxa" w:w="100"/>
            </w:tcMar>
          </w:tcPr>
          <w:p>
            <w:pPr>
              <w:jc w:val="center"/>
            </w:pPr>
            <w:r>
              <w:rPr>
                <w:b/>
                <w:bCs/>
                <w:color w:val="FFFFFF"/>
                <w:sz w:val="20"/>
                <w:szCs w:val="20"/>
              </w:rPr>
              <w:t xml:space="preserve">Modele</w:t>
            </w:r>
          </w:p>
        </w:tc>
        <w:tc>
          <w:tcPr>
            <w:tcW w:type="dxa" w:w="1560"/>
            <w:shd w:fill="1d3557" w:val="clear"/>
            <w:tcMar>
              <w:top w:type="dxa" w:w="60"/>
              <w:left w:type="dxa" w:w="100"/>
              <w:bottom w:type="dxa" w:w="60"/>
              <w:right w:type="dxa" w:w="100"/>
            </w:tcMar>
          </w:tcPr>
          <w:p>
            <w:pPr>
              <w:jc w:val="center"/>
            </w:pPr>
            <w:r>
              <w:rPr>
                <w:b/>
                <w:bCs/>
                <w:color w:val="FFFFFF"/>
                <w:sz w:val="20"/>
                <w:szCs w:val="20"/>
              </w:rPr>
              <w:t xml:space="preserve">Accuracy</w:t>
            </w:r>
          </w:p>
        </w:tc>
        <w:tc>
          <w:tcPr>
            <w:tcW w:type="dxa" w:w="1560"/>
            <w:shd w:fill="1d3557" w:val="clear"/>
            <w:tcMar>
              <w:top w:type="dxa" w:w="60"/>
              <w:left w:type="dxa" w:w="100"/>
              <w:bottom w:type="dxa" w:w="60"/>
              <w:right w:type="dxa" w:w="100"/>
            </w:tcMar>
          </w:tcPr>
          <w:p>
            <w:pPr>
              <w:jc w:val="center"/>
            </w:pPr>
            <w:r>
              <w:rPr>
                <w:b/>
                <w:bCs/>
                <w:color w:val="FFFFFF"/>
                <w:sz w:val="20"/>
                <w:szCs w:val="20"/>
              </w:rPr>
              <w:t xml:space="preserve">Precision</w:t>
            </w:r>
          </w:p>
        </w:tc>
        <w:tc>
          <w:tcPr>
            <w:tcW w:type="dxa" w:w="1420"/>
            <w:shd w:fill="1d3557" w:val="clear"/>
            <w:tcMar>
              <w:top w:type="dxa" w:w="60"/>
              <w:left w:type="dxa" w:w="100"/>
              <w:bottom w:type="dxa" w:w="60"/>
              <w:right w:type="dxa" w:w="100"/>
            </w:tcMar>
          </w:tcPr>
          <w:p>
            <w:pPr>
              <w:jc w:val="center"/>
            </w:pPr>
            <w:r>
              <w:rPr>
                <w:b/>
                <w:bCs/>
                <w:color w:val="FFFFFF"/>
                <w:sz w:val="20"/>
                <w:szCs w:val="20"/>
              </w:rPr>
              <w:t xml:space="preserve">Recall</w:t>
            </w:r>
          </w:p>
        </w:tc>
        <w:tc>
          <w:tcPr>
            <w:tcW w:type="dxa" w:w="1560"/>
            <w:shd w:fill="1d3557" w:val="clear"/>
            <w:tcMar>
              <w:top w:type="dxa" w:w="60"/>
              <w:left w:type="dxa" w:w="100"/>
              <w:bottom w:type="dxa" w:w="60"/>
              <w:right w:type="dxa" w:w="100"/>
            </w:tcMar>
          </w:tcPr>
          <w:p>
            <w:pPr>
              <w:jc w:val="center"/>
            </w:pPr>
            <w:r>
              <w:rPr>
                <w:b/>
                <w:bCs/>
                <w:color w:val="FFFFFF"/>
                <w:sz w:val="20"/>
                <w:szCs w:val="20"/>
              </w:rPr>
              <w:t xml:space="preserve">F1-score</w:t>
            </w:r>
          </w:p>
        </w:tc>
        <w:tc>
          <w:tcPr>
            <w:tcW w:type="dxa" w:w="1300"/>
            <w:shd w:fill="1d3557" w:val="clear"/>
            <w:tcMar>
              <w:top w:type="dxa" w:w="60"/>
              <w:left w:type="dxa" w:w="100"/>
              <w:bottom w:type="dxa" w:w="60"/>
              <w:right w:type="dxa" w:w="100"/>
            </w:tcMar>
          </w:tcPr>
          <w:p>
            <w:pPr>
              <w:jc w:val="center"/>
            </w:pPr>
            <w:r>
              <w:rPr>
                <w:b/>
                <w:bCs/>
                <w:color w:val="FFFFFF"/>
                <w:sz w:val="20"/>
                <w:szCs w:val="20"/>
              </w:rPr>
              <w:t xml:space="preserve">FPR</w:t>
            </w:r>
          </w:p>
        </w:tc>
      </w:tr>
      <w:tr>
        <w:tc>
          <w:tcPr>
            <w:tcW w:type="dxa" w:w="2200"/>
            <w:tcMar>
              <w:top w:type="dxa" w:w="50"/>
              <w:left w:type="dxa" w:w="100"/>
              <w:bottom w:type="dxa" w:w="50"/>
              <w:right w:type="dxa" w:w="100"/>
            </w:tcMar>
          </w:tcPr>
          <w:p>
            <w:pPr>
              <w:jc w:val="left"/>
            </w:pPr>
            <w:r>
              <w:rPr>
                <w:b/>
                <w:bCs/>
                <w:sz w:val="20"/>
                <w:szCs w:val="20"/>
              </w:rPr>
              <w:t xml:space="preserve">Random Forest</w:t>
            </w:r>
          </w:p>
        </w:tc>
        <w:tc>
          <w:tcPr>
            <w:tcW w:type="dxa" w:w="1560"/>
            <w:tcMar>
              <w:top w:type="dxa" w:w="50"/>
              <w:left w:type="dxa" w:w="100"/>
              <w:bottom w:type="dxa" w:w="50"/>
              <w:right w:type="dxa" w:w="100"/>
            </w:tcMar>
          </w:tcPr>
          <w:p>
            <w:pPr>
              <w:jc w:val="center"/>
            </w:pPr>
            <w:r>
              <w:rPr>
                <w:b w:val="false"/>
                <w:bCs w:val="false"/>
                <w:sz w:val="20"/>
                <w:szCs w:val="20"/>
              </w:rPr>
              <w:t xml:space="preserve">99.04 %</w:t>
            </w:r>
          </w:p>
        </w:tc>
        <w:tc>
          <w:tcPr>
            <w:tcW w:type="dxa" w:w="1560"/>
            <w:tcMar>
              <w:top w:type="dxa" w:w="50"/>
              <w:left w:type="dxa" w:w="100"/>
              <w:bottom w:type="dxa" w:w="50"/>
              <w:right w:type="dxa" w:w="100"/>
            </w:tcMar>
          </w:tcPr>
          <w:p>
            <w:pPr>
              <w:jc w:val="center"/>
            </w:pPr>
            <w:r>
              <w:rPr>
                <w:b w:val="false"/>
                <w:bCs w:val="false"/>
                <w:sz w:val="20"/>
                <w:szCs w:val="20"/>
              </w:rPr>
              <w:t xml:space="preserve">99.43 %</w:t>
            </w:r>
          </w:p>
        </w:tc>
        <w:tc>
          <w:tcPr>
            <w:tcW w:type="dxa" w:w="1420"/>
            <w:tcMar>
              <w:top w:type="dxa" w:w="50"/>
              <w:left w:type="dxa" w:w="100"/>
              <w:bottom w:type="dxa" w:w="50"/>
              <w:right w:type="dxa" w:w="100"/>
            </w:tcMar>
          </w:tcPr>
          <w:p>
            <w:pPr>
              <w:jc w:val="center"/>
            </w:pPr>
            <w:r>
              <w:rPr>
                <w:b w:val="false"/>
                <w:bCs w:val="false"/>
                <w:sz w:val="20"/>
                <w:szCs w:val="20"/>
              </w:rPr>
              <w:t xml:space="preserve">99.23 %</w:t>
            </w:r>
          </w:p>
        </w:tc>
        <w:tc>
          <w:tcPr>
            <w:tcW w:type="dxa" w:w="1560"/>
            <w:tcMar>
              <w:top w:type="dxa" w:w="50"/>
              <w:left w:type="dxa" w:w="100"/>
              <w:bottom w:type="dxa" w:w="50"/>
              <w:right w:type="dxa" w:w="100"/>
            </w:tcMar>
          </w:tcPr>
          <w:p>
            <w:pPr>
              <w:jc w:val="center"/>
            </w:pPr>
            <w:r>
              <w:rPr>
                <w:b w:val="false"/>
                <w:bCs w:val="false"/>
                <w:sz w:val="20"/>
                <w:szCs w:val="20"/>
              </w:rPr>
              <w:t xml:space="preserve">99.33 %</w:t>
            </w:r>
          </w:p>
        </w:tc>
        <w:tc>
          <w:tcPr>
            <w:tcW w:type="dxa" w:w="1300"/>
            <w:tcMar>
              <w:top w:type="dxa" w:w="50"/>
              <w:left w:type="dxa" w:w="100"/>
              <w:bottom w:type="dxa" w:w="50"/>
              <w:right w:type="dxa" w:w="100"/>
            </w:tcMar>
          </w:tcPr>
          <w:p>
            <w:pPr>
              <w:jc w:val="center"/>
            </w:pPr>
            <w:r>
              <w:rPr>
                <w:b w:val="false"/>
                <w:bCs w:val="false"/>
                <w:sz w:val="20"/>
                <w:szCs w:val="20"/>
              </w:rPr>
              <w:t xml:space="preserve">1.47 %</w:t>
            </w:r>
          </w:p>
        </w:tc>
      </w:tr>
      <w:tr>
        <w:tc>
          <w:tcPr>
            <w:tcW w:type="dxa" w:w="2200"/>
            <w:shd w:fill="f1f3f5" w:val="clear"/>
            <w:tcMar>
              <w:top w:type="dxa" w:w="50"/>
              <w:left w:type="dxa" w:w="100"/>
              <w:bottom w:type="dxa" w:w="50"/>
              <w:right w:type="dxa" w:w="100"/>
            </w:tcMar>
          </w:tcPr>
          <w:p>
            <w:pPr>
              <w:jc w:val="left"/>
            </w:pPr>
            <w:r>
              <w:rPr>
                <w:b/>
                <w:bCs/>
                <w:sz w:val="20"/>
                <w:szCs w:val="20"/>
              </w:rPr>
              <w:t xml:space="preserve">XGBoost</w:t>
            </w:r>
          </w:p>
        </w:tc>
        <w:tc>
          <w:tcPr>
            <w:tcW w:type="dxa" w:w="1560"/>
            <w:shd w:fill="f1f3f5" w:val="clear"/>
            <w:tcMar>
              <w:top w:type="dxa" w:w="50"/>
              <w:left w:type="dxa" w:w="100"/>
              <w:bottom w:type="dxa" w:w="50"/>
              <w:right w:type="dxa" w:w="100"/>
            </w:tcMar>
          </w:tcPr>
          <w:p>
            <w:pPr>
              <w:jc w:val="center"/>
            </w:pPr>
            <w:r>
              <w:rPr>
                <w:b w:val="false"/>
                <w:bCs w:val="false"/>
                <w:sz w:val="20"/>
                <w:szCs w:val="20"/>
              </w:rPr>
              <w:t xml:space="preserve">99.26 %</w:t>
            </w:r>
          </w:p>
        </w:tc>
        <w:tc>
          <w:tcPr>
            <w:tcW w:type="dxa" w:w="1560"/>
            <w:shd w:fill="f1f3f5" w:val="clear"/>
            <w:tcMar>
              <w:top w:type="dxa" w:w="50"/>
              <w:left w:type="dxa" w:w="100"/>
              <w:bottom w:type="dxa" w:w="50"/>
              <w:right w:type="dxa" w:w="100"/>
            </w:tcMar>
          </w:tcPr>
          <w:p>
            <w:pPr>
              <w:jc w:val="center"/>
            </w:pPr>
            <w:r>
              <w:rPr>
                <w:b w:val="false"/>
                <w:bCs w:val="false"/>
                <w:sz w:val="20"/>
                <w:szCs w:val="20"/>
              </w:rPr>
              <w:t xml:space="preserve">99.61 %</w:t>
            </w:r>
          </w:p>
        </w:tc>
        <w:tc>
          <w:tcPr>
            <w:tcW w:type="dxa" w:w="1420"/>
            <w:shd w:fill="f1f3f5" w:val="clear"/>
            <w:tcMar>
              <w:top w:type="dxa" w:w="50"/>
              <w:left w:type="dxa" w:w="100"/>
              <w:bottom w:type="dxa" w:w="50"/>
              <w:right w:type="dxa" w:w="100"/>
            </w:tcMar>
          </w:tcPr>
          <w:p>
            <w:pPr>
              <w:jc w:val="center"/>
            </w:pPr>
            <w:r>
              <w:rPr>
                <w:b w:val="false"/>
                <w:bCs w:val="false"/>
                <w:sz w:val="20"/>
                <w:szCs w:val="20"/>
              </w:rPr>
              <w:t xml:space="preserve">99.36 %</w:t>
            </w:r>
          </w:p>
        </w:tc>
        <w:tc>
          <w:tcPr>
            <w:tcW w:type="dxa" w:w="1560"/>
            <w:shd w:fill="f1f3f5" w:val="clear"/>
            <w:tcMar>
              <w:top w:type="dxa" w:w="50"/>
              <w:left w:type="dxa" w:w="100"/>
              <w:bottom w:type="dxa" w:w="50"/>
              <w:right w:type="dxa" w:w="100"/>
            </w:tcMar>
          </w:tcPr>
          <w:p>
            <w:pPr>
              <w:jc w:val="center"/>
            </w:pPr>
            <w:r>
              <w:rPr>
                <w:b w:val="false"/>
                <w:bCs w:val="false"/>
                <w:sz w:val="20"/>
                <w:szCs w:val="20"/>
              </w:rPr>
              <w:t xml:space="preserve">99.49 %</w:t>
            </w:r>
          </w:p>
        </w:tc>
        <w:tc>
          <w:tcPr>
            <w:tcW w:type="dxa" w:w="1300"/>
            <w:shd w:fill="f1f3f5" w:val="clear"/>
            <w:tcMar>
              <w:top w:type="dxa" w:w="50"/>
              <w:left w:type="dxa" w:w="100"/>
              <w:bottom w:type="dxa" w:w="50"/>
              <w:right w:type="dxa" w:w="100"/>
            </w:tcMar>
          </w:tcPr>
          <w:p>
            <w:pPr>
              <w:jc w:val="center"/>
            </w:pPr>
            <w:r>
              <w:rPr>
                <w:b w:val="false"/>
                <w:bCs w:val="false"/>
                <w:sz w:val="20"/>
                <w:szCs w:val="20"/>
              </w:rPr>
              <w:t xml:space="preserve">1 %</w:t>
            </w:r>
          </w:p>
        </w:tc>
      </w:tr>
    </w:tbl>
    <w:p>
      <w:pPr>
        <w:spacing w:after="120" w:line="276"/>
        <w:jc w:val="both"/>
      </w:pPr>
      <w:r>
        <w:rPr>
          <w:i w:val="false"/>
          <w:iCs w:val="false"/>
          <w:color w:val="222222"/>
          <w:sz w:val="22"/>
          <w:szCs w:val="22"/>
        </w:rPr>
        <w:t xml:space="preserve">XGBoost obtient les meilleures performances : 99.26 % d'accuracy et un FPR de seulement 1 %. Ces valeurs sont superieures a celles rapportees par Nana et al. (accuracy 97,8 % et FPR 1,13 % pour leur meilleur modele), grace a la richesse des 79 features du dataset ISCX-URL2016.</w:t>
      </w:r>
    </w:p>
    <w:p>
      <w:pPr>
        <w:spacing w:after="40" w:before="120"/>
        <w:jc w:val="center"/>
      </w:pPr>
      <w:r>
        <w:drawing>
          <wp:inline distT="0" distB="0" distL="0" distR="0">
            <wp:extent cx="3238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0" cy="2714625"/>
                    </a:xfrm>
                    <a:prstGeom prst="rect">
                      <a:avLst/>
                    </a:prstGeom>
                  </pic:spPr>
                </pic:pic>
              </a:graphicData>
            </a:graphic>
          </wp:inline>
        </w:drawing>
      </w:r>
    </w:p>
    <w:p>
      <w:pPr>
        <w:spacing w:after="160"/>
        <w:jc w:val="center"/>
      </w:pPr>
      <w:r>
        <w:rPr>
          <w:i/>
          <w:iCs/>
          <w:color w:val="666666"/>
          <w:sz w:val="18"/>
          <w:szCs w:val="18"/>
        </w:rPr>
        <w:t xml:space="preserve">Figure 1 — Matrice de confusion, Random Forest (binaire).</w:t>
      </w:r>
    </w:p>
    <w:p>
      <w:pPr>
        <w:spacing w:after="40" w:before="120"/>
        <w:jc w:val="center"/>
      </w:pPr>
      <w:r>
        <w:drawing>
          <wp:inline distT="0" distB="0" distL="0" distR="0">
            <wp:extent cx="3238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2714625"/>
                    </a:xfrm>
                    <a:prstGeom prst="rect">
                      <a:avLst/>
                    </a:prstGeom>
                  </pic:spPr>
                </pic:pic>
              </a:graphicData>
            </a:graphic>
          </wp:inline>
        </w:drawing>
      </w:r>
    </w:p>
    <w:p>
      <w:pPr>
        <w:spacing w:after="160"/>
        <w:jc w:val="center"/>
      </w:pPr>
      <w:r>
        <w:rPr>
          <w:i/>
          <w:iCs/>
          <w:color w:val="666666"/>
          <w:sz w:val="18"/>
          <w:szCs w:val="18"/>
        </w:rPr>
        <w:t xml:space="preserve">Figure 2 — Matrice de confusion, XGBoost (binaire).</w:t>
      </w:r>
    </w:p>
    <w:p>
      <w:pPr>
        <w:pStyle w:val="Heading2"/>
        <w:spacing w:after="100" w:before="200"/>
      </w:pPr>
      <w:r>
        <w:rPr>
          <w:b/>
          <w:bCs/>
          <w:color w:val="2a6f97"/>
          <w:sz w:val="25"/>
          <w:szCs w:val="25"/>
        </w:rPr>
        <w:t xml:space="preserve">3.1 Explicabilite : importance des features</w:t>
      </w:r>
    </w:p>
    <w:p>
      <w:pPr>
        <w:spacing w:after="120" w:line="276"/>
        <w:jc w:val="both"/>
      </w:pPr>
      <w:r>
        <w:rPr>
          <w:i w:val="false"/>
          <w:iCs w:val="false"/>
          <w:color w:val="222222"/>
          <w:sz w:val="22"/>
          <w:szCs w:val="22"/>
        </w:rPr>
        <w:t xml:space="preserve">L'analyse de l'importance des features (figure 3) montre que les indicateurs les plus discriminants concernent la structure du domaine (nombre de tokens, nombre de points dans l'URL, longueur du domaine), les comptages de symboles et les ratios entre composants de l'URL. Cette lisibilite constitue un atout majeur pour l'explicabilite du modele, un point souligne par le papier de reference.</w:t>
      </w:r>
    </w:p>
    <w:p>
      <w:pPr>
        <w:spacing w:after="40" w:before="120"/>
        <w:jc w:val="center"/>
      </w:pPr>
      <w:r>
        <w:drawing>
          <wp:inline distT="0" distB="0" distL="0" distR="0">
            <wp:extent cx="4381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143250"/>
                    </a:xfrm>
                    <a:prstGeom prst="rect">
                      <a:avLst/>
                    </a:prstGeom>
                  </pic:spPr>
                </pic:pic>
              </a:graphicData>
            </a:graphic>
          </wp:inline>
        </w:drawing>
      </w:r>
    </w:p>
    <w:p>
      <w:pPr>
        <w:spacing w:after="160"/>
        <w:jc w:val="center"/>
      </w:pPr>
      <w:r>
        <w:rPr>
          <w:i/>
          <w:iCs/>
          <w:color w:val="666666"/>
          <w:sz w:val="18"/>
          <w:szCs w:val="18"/>
        </w:rPr>
        <w:t xml:space="preserve">Figure 3 — Top 15 des features par importance (Random Forest, binaire).</w:t>
      </w:r>
    </w:p>
    <w:p>
      <w:r>
        <w:br w:type="page"/>
      </w:r>
    </w:p>
    <w:p>
      <w:pPr>
        <w:pStyle w:val="Heading1"/>
        <w:spacing w:after="140" w:before="280"/>
      </w:pPr>
      <w:r>
        <w:rPr>
          <w:b/>
          <w:bCs/>
          <w:color w:val="1d3557"/>
          <w:sz w:val="30"/>
          <w:szCs w:val="30"/>
        </w:rPr>
        <w:t xml:space="preserve">4. Resultats — Scenario 2 : classification multi-classe</w:t>
      </w:r>
    </w:p>
    <w:p>
      <w:pPr>
        <w:spacing w:after="120" w:line="276"/>
        <w:jc w:val="both"/>
      </w:pPr>
      <w:r>
        <w:rPr>
          <w:i w:val="false"/>
          <w:iCs w:val="false"/>
          <w:color w:val="222222"/>
          <w:sz w:val="22"/>
          <w:szCs w:val="22"/>
        </w:rPr>
        <w:t xml:space="preserve">Dans ce scenario, le modele distingue les 5 types d'URLs. Le tableau ci-dessous resume les performances.</w:t>
      </w:r>
    </w:p>
    <w:tbl>
      <w:tblPr>
        <w:tblW w:type="dxa" w:w="9600"/>
        <w:tblBorders>
          <w:top w:val="single" w:color="cccccc" w:sz="2"/>
          <w:left w:val="single" w:color="cccccc" w:sz="2"/>
          <w:bottom w:val="single" w:color="cccccc" w:sz="2"/>
          <w:right w:val="single" w:color="cccccc" w:sz="2"/>
          <w:insideH w:val="single" w:color="dddddd" w:sz="1"/>
          <w:insideV w:val="single" w:color="dddddd" w:sz="1"/>
        </w:tblBorders>
      </w:tblPr>
      <w:tblGrid>
        <w:gridCol w:w="2200"/>
        <w:gridCol w:w="1560"/>
        <w:gridCol w:w="1560"/>
        <w:gridCol w:w="1420"/>
        <w:gridCol w:w="1560"/>
        <w:gridCol w:w="1300"/>
      </w:tblGrid>
      <w:tr>
        <w:trPr>
          <w:tblHeader/>
        </w:trPr>
        <w:tc>
          <w:tcPr>
            <w:tcW w:type="dxa" w:w="2200"/>
            <w:shd w:fill="1d3557" w:val="clear"/>
            <w:tcMar>
              <w:top w:type="dxa" w:w="60"/>
              <w:left w:type="dxa" w:w="100"/>
              <w:bottom w:type="dxa" w:w="60"/>
              <w:right w:type="dxa" w:w="100"/>
            </w:tcMar>
          </w:tcPr>
          <w:p>
            <w:pPr>
              <w:jc w:val="center"/>
            </w:pPr>
            <w:r>
              <w:rPr>
                <w:b/>
                <w:bCs/>
                <w:color w:val="FFFFFF"/>
                <w:sz w:val="20"/>
                <w:szCs w:val="20"/>
              </w:rPr>
              <w:t xml:space="preserve">Modele</w:t>
            </w:r>
          </w:p>
        </w:tc>
        <w:tc>
          <w:tcPr>
            <w:tcW w:type="dxa" w:w="1560"/>
            <w:shd w:fill="1d3557" w:val="clear"/>
            <w:tcMar>
              <w:top w:type="dxa" w:w="60"/>
              <w:left w:type="dxa" w:w="100"/>
              <w:bottom w:type="dxa" w:w="60"/>
              <w:right w:type="dxa" w:w="100"/>
            </w:tcMar>
          </w:tcPr>
          <w:p>
            <w:pPr>
              <w:jc w:val="center"/>
            </w:pPr>
            <w:r>
              <w:rPr>
                <w:b/>
                <w:bCs/>
                <w:color w:val="FFFFFF"/>
                <w:sz w:val="20"/>
                <w:szCs w:val="20"/>
              </w:rPr>
              <w:t xml:space="preserve">Accuracy</w:t>
            </w:r>
          </w:p>
        </w:tc>
        <w:tc>
          <w:tcPr>
            <w:tcW w:type="dxa" w:w="1560"/>
            <w:shd w:fill="1d3557" w:val="clear"/>
            <w:tcMar>
              <w:top w:type="dxa" w:w="60"/>
              <w:left w:type="dxa" w:w="100"/>
              <w:bottom w:type="dxa" w:w="60"/>
              <w:right w:type="dxa" w:w="100"/>
            </w:tcMar>
          </w:tcPr>
          <w:p>
            <w:pPr>
              <w:jc w:val="center"/>
            </w:pPr>
            <w:r>
              <w:rPr>
                <w:b/>
                <w:bCs/>
                <w:color w:val="FFFFFF"/>
                <w:sz w:val="20"/>
                <w:szCs w:val="20"/>
              </w:rPr>
              <w:t xml:space="preserve">Precision</w:t>
            </w:r>
          </w:p>
        </w:tc>
        <w:tc>
          <w:tcPr>
            <w:tcW w:type="dxa" w:w="1420"/>
            <w:shd w:fill="1d3557" w:val="clear"/>
            <w:tcMar>
              <w:top w:type="dxa" w:w="60"/>
              <w:left w:type="dxa" w:w="100"/>
              <w:bottom w:type="dxa" w:w="60"/>
              <w:right w:type="dxa" w:w="100"/>
            </w:tcMar>
          </w:tcPr>
          <w:p>
            <w:pPr>
              <w:jc w:val="center"/>
            </w:pPr>
            <w:r>
              <w:rPr>
                <w:b/>
                <w:bCs/>
                <w:color w:val="FFFFFF"/>
                <w:sz w:val="20"/>
                <w:szCs w:val="20"/>
              </w:rPr>
              <w:t xml:space="preserve">Recall</w:t>
            </w:r>
          </w:p>
        </w:tc>
        <w:tc>
          <w:tcPr>
            <w:tcW w:type="dxa" w:w="1560"/>
            <w:shd w:fill="1d3557" w:val="clear"/>
            <w:tcMar>
              <w:top w:type="dxa" w:w="60"/>
              <w:left w:type="dxa" w:w="100"/>
              <w:bottom w:type="dxa" w:w="60"/>
              <w:right w:type="dxa" w:w="100"/>
            </w:tcMar>
          </w:tcPr>
          <w:p>
            <w:pPr>
              <w:jc w:val="center"/>
            </w:pPr>
            <w:r>
              <w:rPr>
                <w:b/>
                <w:bCs/>
                <w:color w:val="FFFFFF"/>
                <w:sz w:val="20"/>
                <w:szCs w:val="20"/>
              </w:rPr>
              <w:t xml:space="preserve">F1-score</w:t>
            </w:r>
          </w:p>
        </w:tc>
        <w:tc>
          <w:tcPr>
            <w:tcW w:type="dxa" w:w="1300"/>
            <w:shd w:fill="1d3557" w:val="clear"/>
            <w:tcMar>
              <w:top w:type="dxa" w:w="60"/>
              <w:left w:type="dxa" w:w="100"/>
              <w:bottom w:type="dxa" w:w="60"/>
              <w:right w:type="dxa" w:w="100"/>
            </w:tcMar>
          </w:tcPr>
          <w:p>
            <w:pPr>
              <w:jc w:val="center"/>
            </w:pPr>
            <w:r>
              <w:rPr>
                <w:b/>
                <w:bCs/>
                <w:color w:val="FFFFFF"/>
                <w:sz w:val="20"/>
                <w:szCs w:val="20"/>
              </w:rPr>
              <w:t xml:space="preserve">FPR</w:t>
            </w:r>
          </w:p>
        </w:tc>
      </w:tr>
      <w:tr>
        <w:tc>
          <w:tcPr>
            <w:tcW w:type="dxa" w:w="2200"/>
            <w:tcMar>
              <w:top w:type="dxa" w:w="50"/>
              <w:left w:type="dxa" w:w="100"/>
              <w:bottom w:type="dxa" w:w="50"/>
              <w:right w:type="dxa" w:w="100"/>
            </w:tcMar>
          </w:tcPr>
          <w:p>
            <w:pPr>
              <w:jc w:val="left"/>
            </w:pPr>
            <w:r>
              <w:rPr>
                <w:b/>
                <w:bCs/>
                <w:sz w:val="20"/>
                <w:szCs w:val="20"/>
              </w:rPr>
              <w:t xml:space="preserve">Random Forest</w:t>
            </w:r>
          </w:p>
        </w:tc>
        <w:tc>
          <w:tcPr>
            <w:tcW w:type="dxa" w:w="1560"/>
            <w:tcMar>
              <w:top w:type="dxa" w:w="50"/>
              <w:left w:type="dxa" w:w="100"/>
              <w:bottom w:type="dxa" w:w="50"/>
              <w:right w:type="dxa" w:w="100"/>
            </w:tcMar>
          </w:tcPr>
          <w:p>
            <w:pPr>
              <w:jc w:val="center"/>
            </w:pPr>
            <w:r>
              <w:rPr>
                <w:b w:val="false"/>
                <w:bCs w:val="false"/>
                <w:sz w:val="20"/>
                <w:szCs w:val="20"/>
              </w:rPr>
              <w:t xml:space="preserve">96.44 %</w:t>
            </w:r>
          </w:p>
        </w:tc>
        <w:tc>
          <w:tcPr>
            <w:tcW w:type="dxa" w:w="1560"/>
            <w:tcMar>
              <w:top w:type="dxa" w:w="50"/>
              <w:left w:type="dxa" w:w="100"/>
              <w:bottom w:type="dxa" w:w="50"/>
              <w:right w:type="dxa" w:w="100"/>
            </w:tcMar>
          </w:tcPr>
          <w:p>
            <w:pPr>
              <w:jc w:val="center"/>
            </w:pPr>
            <w:r>
              <w:rPr>
                <w:b w:val="false"/>
                <w:bCs w:val="false"/>
                <w:sz w:val="20"/>
                <w:szCs w:val="20"/>
              </w:rPr>
              <w:t xml:space="preserve">96.53 %</w:t>
            </w:r>
          </w:p>
        </w:tc>
        <w:tc>
          <w:tcPr>
            <w:tcW w:type="dxa" w:w="1420"/>
            <w:tcMar>
              <w:top w:type="dxa" w:w="50"/>
              <w:left w:type="dxa" w:w="100"/>
              <w:bottom w:type="dxa" w:w="50"/>
              <w:right w:type="dxa" w:w="100"/>
            </w:tcMar>
          </w:tcPr>
          <w:p>
            <w:pPr>
              <w:jc w:val="center"/>
            </w:pPr>
            <w:r>
              <w:rPr>
                <w:b w:val="false"/>
                <w:bCs w:val="false"/>
                <w:sz w:val="20"/>
                <w:szCs w:val="20"/>
              </w:rPr>
              <w:t xml:space="preserve">94.64 %</w:t>
            </w:r>
          </w:p>
        </w:tc>
        <w:tc>
          <w:tcPr>
            <w:tcW w:type="dxa" w:w="1560"/>
            <w:tcMar>
              <w:top w:type="dxa" w:w="50"/>
              <w:left w:type="dxa" w:w="100"/>
              <w:bottom w:type="dxa" w:w="50"/>
              <w:right w:type="dxa" w:w="100"/>
            </w:tcMar>
          </w:tcPr>
          <w:p>
            <w:pPr>
              <w:jc w:val="center"/>
            </w:pPr>
            <w:r>
              <w:rPr>
                <w:b w:val="false"/>
                <w:bCs w:val="false"/>
                <w:sz w:val="20"/>
                <w:szCs w:val="20"/>
              </w:rPr>
              <w:t xml:space="preserve">95.49 %</w:t>
            </w:r>
          </w:p>
        </w:tc>
        <w:tc>
          <w:tcPr>
            <w:tcW w:type="dxa" w:w="1300"/>
            <w:tcMar>
              <w:top w:type="dxa" w:w="50"/>
              <w:left w:type="dxa" w:w="100"/>
              <w:bottom w:type="dxa" w:w="50"/>
              <w:right w:type="dxa" w:w="100"/>
            </w:tcMar>
          </w:tcPr>
          <w:p>
            <w:pPr>
              <w:jc w:val="center"/>
            </w:pPr>
            <w:r>
              <w:rPr>
                <w:b w:val="false"/>
                <w:bCs w:val="false"/>
                <w:sz w:val="20"/>
                <w:szCs w:val="20"/>
              </w:rPr>
              <w:t xml:space="preserve">0.94 %</w:t>
            </w:r>
          </w:p>
        </w:tc>
      </w:tr>
      <w:tr>
        <w:tc>
          <w:tcPr>
            <w:tcW w:type="dxa" w:w="2200"/>
            <w:shd w:fill="f1f3f5" w:val="clear"/>
            <w:tcMar>
              <w:top w:type="dxa" w:w="50"/>
              <w:left w:type="dxa" w:w="100"/>
              <w:bottom w:type="dxa" w:w="50"/>
              <w:right w:type="dxa" w:w="100"/>
            </w:tcMar>
          </w:tcPr>
          <w:p>
            <w:pPr>
              <w:jc w:val="left"/>
            </w:pPr>
            <w:r>
              <w:rPr>
                <w:b/>
                <w:bCs/>
                <w:sz w:val="20"/>
                <w:szCs w:val="20"/>
              </w:rPr>
              <w:t xml:space="preserve">XGBoost</w:t>
            </w:r>
          </w:p>
        </w:tc>
        <w:tc>
          <w:tcPr>
            <w:tcW w:type="dxa" w:w="1560"/>
            <w:shd w:fill="f1f3f5" w:val="clear"/>
            <w:tcMar>
              <w:top w:type="dxa" w:w="50"/>
              <w:left w:type="dxa" w:w="100"/>
              <w:bottom w:type="dxa" w:w="50"/>
              <w:right w:type="dxa" w:w="100"/>
            </w:tcMar>
          </w:tcPr>
          <w:p>
            <w:pPr>
              <w:jc w:val="center"/>
            </w:pPr>
            <w:r>
              <w:rPr>
                <w:b w:val="false"/>
                <w:bCs w:val="false"/>
                <w:sz w:val="20"/>
                <w:szCs w:val="20"/>
              </w:rPr>
              <w:t xml:space="preserve">97.5 %</w:t>
            </w:r>
          </w:p>
        </w:tc>
        <w:tc>
          <w:tcPr>
            <w:tcW w:type="dxa" w:w="1560"/>
            <w:shd w:fill="f1f3f5" w:val="clear"/>
            <w:tcMar>
              <w:top w:type="dxa" w:w="50"/>
              <w:left w:type="dxa" w:w="100"/>
              <w:bottom w:type="dxa" w:w="50"/>
              <w:right w:type="dxa" w:w="100"/>
            </w:tcMar>
          </w:tcPr>
          <w:p>
            <w:pPr>
              <w:jc w:val="center"/>
            </w:pPr>
            <w:r>
              <w:rPr>
                <w:b w:val="false"/>
                <w:bCs w:val="false"/>
                <w:sz w:val="20"/>
                <w:szCs w:val="20"/>
              </w:rPr>
              <w:t xml:space="preserve">97.31 %</w:t>
            </w:r>
          </w:p>
        </w:tc>
        <w:tc>
          <w:tcPr>
            <w:tcW w:type="dxa" w:w="1420"/>
            <w:shd w:fill="f1f3f5" w:val="clear"/>
            <w:tcMar>
              <w:top w:type="dxa" w:w="50"/>
              <w:left w:type="dxa" w:w="100"/>
              <w:bottom w:type="dxa" w:w="50"/>
              <w:right w:type="dxa" w:w="100"/>
            </w:tcMar>
          </w:tcPr>
          <w:p>
            <w:pPr>
              <w:jc w:val="center"/>
            </w:pPr>
            <w:r>
              <w:rPr>
                <w:b w:val="false"/>
                <w:bCs w:val="false"/>
                <w:sz w:val="20"/>
                <w:szCs w:val="20"/>
              </w:rPr>
              <w:t xml:space="preserve">96.21 %</w:t>
            </w:r>
          </w:p>
        </w:tc>
        <w:tc>
          <w:tcPr>
            <w:tcW w:type="dxa" w:w="1560"/>
            <w:shd w:fill="f1f3f5" w:val="clear"/>
            <w:tcMar>
              <w:top w:type="dxa" w:w="50"/>
              <w:left w:type="dxa" w:w="100"/>
              <w:bottom w:type="dxa" w:w="50"/>
              <w:right w:type="dxa" w:w="100"/>
            </w:tcMar>
          </w:tcPr>
          <w:p>
            <w:pPr>
              <w:jc w:val="center"/>
            </w:pPr>
            <w:r>
              <w:rPr>
                <w:b w:val="false"/>
                <w:bCs w:val="false"/>
                <w:sz w:val="20"/>
                <w:szCs w:val="20"/>
              </w:rPr>
              <w:t xml:space="preserve">96.73 %</w:t>
            </w:r>
          </w:p>
        </w:tc>
        <w:tc>
          <w:tcPr>
            <w:tcW w:type="dxa" w:w="1300"/>
            <w:shd w:fill="f1f3f5" w:val="clear"/>
            <w:tcMar>
              <w:top w:type="dxa" w:w="50"/>
              <w:left w:type="dxa" w:w="100"/>
              <w:bottom w:type="dxa" w:w="50"/>
              <w:right w:type="dxa" w:w="100"/>
            </w:tcMar>
          </w:tcPr>
          <w:p>
            <w:pPr>
              <w:jc w:val="center"/>
            </w:pPr>
            <w:r>
              <w:rPr>
                <w:b w:val="false"/>
                <w:bCs w:val="false"/>
                <w:sz w:val="20"/>
                <w:szCs w:val="20"/>
              </w:rPr>
              <w:t xml:space="preserve">0.66 %</w:t>
            </w:r>
          </w:p>
        </w:tc>
      </w:tr>
    </w:tbl>
    <w:p>
      <w:pPr>
        <w:spacing w:after="120" w:line="276"/>
        <w:jc w:val="both"/>
      </w:pPr>
      <w:r>
        <w:rPr>
          <w:i w:val="false"/>
          <w:iCs w:val="false"/>
          <w:color w:val="222222"/>
          <w:sz w:val="22"/>
          <w:szCs w:val="22"/>
        </w:rPr>
        <w:t xml:space="preserve">Malgre le passage a 5 classes, XGBoost maintient une accuracy de 97.5 % et un FPR de 0.66 %. Les matrices de confusion (figures 4 et 5) montrent une diagonale nettement dominante ; les rares confusions concernent surtout la classe malware, minoritaire, parfois confondue avec phishing.</w:t>
      </w:r>
    </w:p>
    <w:p>
      <w:pPr>
        <w:spacing w:after="40" w:before="120"/>
        <w:jc w:val="center"/>
      </w:pPr>
      <w:r>
        <w:drawing>
          <wp:inline distT="0" distB="0" distL="0" distR="0">
            <wp:extent cx="3810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190875"/>
                    </a:xfrm>
                    <a:prstGeom prst="rect">
                      <a:avLst/>
                    </a:prstGeom>
                  </pic:spPr>
                </pic:pic>
              </a:graphicData>
            </a:graphic>
          </wp:inline>
        </w:drawing>
      </w:r>
    </w:p>
    <w:p>
      <w:pPr>
        <w:spacing w:after="160"/>
        <w:jc w:val="center"/>
      </w:pPr>
      <w:r>
        <w:rPr>
          <w:i/>
          <w:iCs/>
          <w:color w:val="666666"/>
          <w:sz w:val="18"/>
          <w:szCs w:val="18"/>
        </w:rPr>
        <w:t xml:space="preserve">Figure 4 — Matrice de confusion, Random Forest (multi-classe).</w:t>
      </w:r>
    </w:p>
    <w:p>
      <w:pPr>
        <w:spacing w:after="40" w:before="120"/>
        <w:jc w:val="center"/>
      </w:pPr>
      <w:r>
        <w:drawing>
          <wp:inline distT="0" distB="0" distL="0" distR="0">
            <wp:extent cx="3810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190875"/>
                    </a:xfrm>
                    <a:prstGeom prst="rect">
                      <a:avLst/>
                    </a:prstGeom>
                  </pic:spPr>
                </pic:pic>
              </a:graphicData>
            </a:graphic>
          </wp:inline>
        </w:drawing>
      </w:r>
    </w:p>
    <w:p>
      <w:pPr>
        <w:spacing w:after="160"/>
        <w:jc w:val="center"/>
      </w:pPr>
      <w:r>
        <w:rPr>
          <w:i/>
          <w:iCs/>
          <w:color w:val="666666"/>
          <w:sz w:val="18"/>
          <w:szCs w:val="18"/>
        </w:rPr>
        <w:t xml:space="preserve">Figure 5 — Matrice de confusion, XGBoost (multi-classe).</w:t>
      </w:r>
    </w:p>
    <w:p>
      <w:pPr>
        <w:pStyle w:val="Heading1"/>
        <w:spacing w:after="140" w:before="280"/>
      </w:pPr>
      <w:r>
        <w:rPr>
          <w:b/>
          <w:bCs/>
          <w:color w:val="1d3557"/>
          <w:sz w:val="30"/>
          <w:szCs w:val="30"/>
        </w:rPr>
        <w:t xml:space="preserve">5. Comparaison avec l'etat de l'art</w:t>
      </w:r>
    </w:p>
    <w:p>
      <w:pPr>
        <w:spacing w:after="120" w:line="276"/>
        <w:jc w:val="both"/>
      </w:pPr>
      <w:r>
        <w:rPr>
          <w:i w:val="false"/>
          <w:iCs w:val="false"/>
          <w:color w:val="222222"/>
          <w:sz w:val="22"/>
          <w:szCs w:val="22"/>
        </w:rPr>
        <w:t xml:space="preserve">Le tableau ci-dessous situe nos resultats par rapport au papier de reference et a d'autres travaux sur la detection binaire d'URLs malveillantes.</w:t>
      </w:r>
    </w:p>
    <w:tbl>
      <w:tblPr>
        <w:tblW w:type="dxa" w:w="8600"/>
        <w:tblBorders>
          <w:top w:val="single" w:color="cccccc" w:sz="2"/>
          <w:left w:val="single" w:color="cccccc" w:sz="2"/>
          <w:bottom w:val="single" w:color="cccccc" w:sz="2"/>
          <w:right w:val="single" w:color="cccccc" w:sz="2"/>
          <w:insideH w:val="single" w:color="dddddd" w:sz="1"/>
          <w:insideV w:val="single" w:color="dddddd" w:sz="1"/>
        </w:tblBorders>
      </w:tblPr>
      <w:tblGrid>
        <w:gridCol w:w="3000"/>
        <w:gridCol w:w="2200"/>
        <w:gridCol w:w="1700"/>
        <w:gridCol w:w="1700"/>
      </w:tblGrid>
      <w:tr>
        <w:trPr>
          <w:tblHeader/>
        </w:trPr>
        <w:tc>
          <w:tcPr>
            <w:tcW w:type="dxa" w:w="3000"/>
            <w:shd w:fill="1d3557" w:val="clear"/>
            <w:tcMar>
              <w:top w:type="dxa" w:w="60"/>
              <w:left w:type="dxa" w:w="100"/>
              <w:bottom w:type="dxa" w:w="60"/>
              <w:right w:type="dxa" w:w="100"/>
            </w:tcMar>
          </w:tcPr>
          <w:p>
            <w:pPr>
              <w:jc w:val="center"/>
            </w:pPr>
            <w:r>
              <w:rPr>
                <w:b/>
                <w:bCs/>
                <w:color w:val="FFFFFF"/>
                <w:sz w:val="20"/>
                <w:szCs w:val="20"/>
              </w:rPr>
              <w:t xml:space="preserve">Travail</w:t>
            </w:r>
          </w:p>
        </w:tc>
        <w:tc>
          <w:tcPr>
            <w:tcW w:type="dxa" w:w="2200"/>
            <w:shd w:fill="1d3557" w:val="clear"/>
            <w:tcMar>
              <w:top w:type="dxa" w:w="60"/>
              <w:left w:type="dxa" w:w="100"/>
              <w:bottom w:type="dxa" w:w="60"/>
              <w:right w:type="dxa" w:w="100"/>
            </w:tcMar>
          </w:tcPr>
          <w:p>
            <w:pPr>
              <w:jc w:val="center"/>
            </w:pPr>
            <w:r>
              <w:rPr>
                <w:b/>
                <w:bCs/>
                <w:color w:val="FFFFFF"/>
                <w:sz w:val="20"/>
                <w:szCs w:val="20"/>
              </w:rPr>
              <w:t xml:space="preserve">Modele</w:t>
            </w:r>
          </w:p>
        </w:tc>
        <w:tc>
          <w:tcPr>
            <w:tcW w:type="dxa" w:w="1700"/>
            <w:shd w:fill="1d3557" w:val="clear"/>
            <w:tcMar>
              <w:top w:type="dxa" w:w="60"/>
              <w:left w:type="dxa" w:w="100"/>
              <w:bottom w:type="dxa" w:w="60"/>
              <w:right w:type="dxa" w:w="100"/>
            </w:tcMar>
          </w:tcPr>
          <w:p>
            <w:pPr>
              <w:jc w:val="center"/>
            </w:pPr>
            <w:r>
              <w:rPr>
                <w:b/>
                <w:bCs/>
                <w:color w:val="FFFFFF"/>
                <w:sz w:val="20"/>
                <w:szCs w:val="20"/>
              </w:rPr>
              <w:t xml:space="preserve">Accuracy</w:t>
            </w:r>
          </w:p>
        </w:tc>
        <w:tc>
          <w:tcPr>
            <w:tcW w:type="dxa" w:w="1700"/>
            <w:shd w:fill="1d3557" w:val="clear"/>
            <w:tcMar>
              <w:top w:type="dxa" w:w="60"/>
              <w:left w:type="dxa" w:w="100"/>
              <w:bottom w:type="dxa" w:w="60"/>
              <w:right w:type="dxa" w:w="100"/>
            </w:tcMar>
          </w:tcPr>
          <w:p>
            <w:pPr>
              <w:jc w:val="center"/>
            </w:pPr>
            <w:r>
              <w:rPr>
                <w:b/>
                <w:bCs/>
                <w:color w:val="FFFFFF"/>
                <w:sz w:val="20"/>
                <w:szCs w:val="20"/>
              </w:rPr>
              <w:t xml:space="preserve">FPR</w:t>
            </w:r>
          </w:p>
        </w:tc>
      </w:tr>
      <w:tr>
        <w:tc>
          <w:tcPr>
            <w:tcW w:type="dxa" w:w="3000"/>
            <w:tcMar>
              <w:top w:type="dxa" w:w="50"/>
              <w:left w:type="dxa" w:w="100"/>
              <w:bottom w:type="dxa" w:w="50"/>
              <w:right w:type="dxa" w:w="100"/>
            </w:tcMar>
          </w:tcPr>
          <w:p>
            <w:pPr>
              <w:jc w:val="left"/>
            </w:pPr>
            <w:r>
              <w:rPr>
                <w:b/>
                <w:bCs/>
                <w:sz w:val="20"/>
                <w:szCs w:val="20"/>
              </w:rPr>
              <w:t xml:space="preserve">Nana et al. (2024)</w:t>
            </w:r>
          </w:p>
        </w:tc>
        <w:tc>
          <w:tcPr>
            <w:tcW w:type="dxa" w:w="2200"/>
            <w:tcMar>
              <w:top w:type="dxa" w:w="50"/>
              <w:left w:type="dxa" w:w="100"/>
              <w:bottom w:type="dxa" w:w="50"/>
              <w:right w:type="dxa" w:w="100"/>
            </w:tcMar>
          </w:tcPr>
          <w:p>
            <w:pPr>
              <w:jc w:val="center"/>
            </w:pPr>
            <w:r>
              <w:rPr>
                <w:b w:val="false"/>
                <w:bCs w:val="false"/>
                <w:sz w:val="20"/>
                <w:szCs w:val="20"/>
              </w:rPr>
              <w:t xml:space="preserve">Random Forest</w:t>
            </w:r>
          </w:p>
        </w:tc>
        <w:tc>
          <w:tcPr>
            <w:tcW w:type="dxa" w:w="1700"/>
            <w:tcMar>
              <w:top w:type="dxa" w:w="50"/>
              <w:left w:type="dxa" w:w="100"/>
              <w:bottom w:type="dxa" w:w="50"/>
              <w:right w:type="dxa" w:w="100"/>
            </w:tcMar>
          </w:tcPr>
          <w:p>
            <w:pPr>
              <w:jc w:val="center"/>
            </w:pPr>
            <w:r>
              <w:rPr>
                <w:b w:val="false"/>
                <w:bCs w:val="false"/>
                <w:sz w:val="20"/>
                <w:szCs w:val="20"/>
              </w:rPr>
              <w:t xml:space="preserve">97,80 %</w:t>
            </w:r>
          </w:p>
        </w:tc>
        <w:tc>
          <w:tcPr>
            <w:tcW w:type="dxa" w:w="1700"/>
            <w:tcMar>
              <w:top w:type="dxa" w:w="50"/>
              <w:left w:type="dxa" w:w="100"/>
              <w:bottom w:type="dxa" w:w="50"/>
              <w:right w:type="dxa" w:w="100"/>
            </w:tcMar>
          </w:tcPr>
          <w:p>
            <w:pPr>
              <w:jc w:val="center"/>
            </w:pPr>
            <w:r>
              <w:rPr>
                <w:b w:val="false"/>
                <w:bCs w:val="false"/>
                <w:sz w:val="20"/>
                <w:szCs w:val="20"/>
              </w:rPr>
              <w:t xml:space="preserve">1,13 %</w:t>
            </w:r>
          </w:p>
        </w:tc>
      </w:tr>
      <w:tr>
        <w:tc>
          <w:tcPr>
            <w:tcW w:type="dxa" w:w="3000"/>
            <w:shd w:fill="f1f3f5" w:val="clear"/>
            <w:tcMar>
              <w:top w:type="dxa" w:w="50"/>
              <w:left w:type="dxa" w:w="100"/>
              <w:bottom w:type="dxa" w:w="50"/>
              <w:right w:type="dxa" w:w="100"/>
            </w:tcMar>
          </w:tcPr>
          <w:p>
            <w:pPr>
              <w:jc w:val="left"/>
            </w:pPr>
            <w:r>
              <w:rPr>
                <w:b/>
                <w:bCs/>
                <w:sz w:val="20"/>
                <w:szCs w:val="20"/>
              </w:rPr>
              <w:t xml:space="preserve">Xuan et al.</w:t>
            </w:r>
          </w:p>
        </w:tc>
        <w:tc>
          <w:tcPr>
            <w:tcW w:type="dxa" w:w="2200"/>
            <w:shd w:fill="f1f3f5" w:val="clear"/>
            <w:tcMar>
              <w:top w:type="dxa" w:w="50"/>
              <w:left w:type="dxa" w:w="100"/>
              <w:bottom w:type="dxa" w:w="50"/>
              <w:right w:type="dxa" w:w="100"/>
            </w:tcMar>
          </w:tcPr>
          <w:p>
            <w:pPr>
              <w:jc w:val="center"/>
            </w:pPr>
            <w:r>
              <w:rPr>
                <w:b w:val="false"/>
                <w:bCs w:val="false"/>
                <w:sz w:val="20"/>
                <w:szCs w:val="20"/>
              </w:rPr>
              <w:t xml:space="preserve">Random Forest</w:t>
            </w:r>
          </w:p>
        </w:tc>
        <w:tc>
          <w:tcPr>
            <w:tcW w:type="dxa" w:w="1700"/>
            <w:shd w:fill="f1f3f5" w:val="clear"/>
            <w:tcMar>
              <w:top w:type="dxa" w:w="50"/>
              <w:left w:type="dxa" w:w="100"/>
              <w:bottom w:type="dxa" w:w="50"/>
              <w:right w:type="dxa" w:w="100"/>
            </w:tcMar>
          </w:tcPr>
          <w:p>
            <w:pPr>
              <w:jc w:val="center"/>
            </w:pPr>
            <w:r>
              <w:rPr>
                <w:b w:val="false"/>
                <w:bCs w:val="false"/>
                <w:sz w:val="20"/>
                <w:szCs w:val="20"/>
              </w:rPr>
              <w:t xml:space="preserve">-</w:t>
            </w:r>
          </w:p>
        </w:tc>
        <w:tc>
          <w:tcPr>
            <w:tcW w:type="dxa" w:w="1700"/>
            <w:shd w:fill="f1f3f5" w:val="clear"/>
            <w:tcMar>
              <w:top w:type="dxa" w:w="50"/>
              <w:left w:type="dxa" w:w="100"/>
              <w:bottom w:type="dxa" w:w="50"/>
              <w:right w:type="dxa" w:w="100"/>
            </w:tcMar>
          </w:tcPr>
          <w:p>
            <w:pPr>
              <w:jc w:val="center"/>
            </w:pPr>
            <w:r>
              <w:rPr>
                <w:b w:val="false"/>
                <w:bCs w:val="false"/>
                <w:sz w:val="20"/>
                <w:szCs w:val="20"/>
              </w:rPr>
              <w:t xml:space="preserve">12,04 %</w:t>
            </w:r>
          </w:p>
        </w:tc>
      </w:tr>
      <w:tr>
        <w:tc>
          <w:tcPr>
            <w:tcW w:type="dxa" w:w="3000"/>
            <w:tcMar>
              <w:top w:type="dxa" w:w="50"/>
              <w:left w:type="dxa" w:w="100"/>
              <w:bottom w:type="dxa" w:w="50"/>
              <w:right w:type="dxa" w:w="100"/>
            </w:tcMar>
          </w:tcPr>
          <w:p>
            <w:pPr>
              <w:jc w:val="left"/>
            </w:pPr>
            <w:r>
              <w:rPr>
                <w:b/>
                <w:bCs/>
                <w:sz w:val="20"/>
                <w:szCs w:val="20"/>
              </w:rPr>
              <w:t xml:space="preserve">Notre projet (ISCX)</w:t>
            </w:r>
          </w:p>
        </w:tc>
        <w:tc>
          <w:tcPr>
            <w:tcW w:type="dxa" w:w="2200"/>
            <w:tcMar>
              <w:top w:type="dxa" w:w="50"/>
              <w:left w:type="dxa" w:w="100"/>
              <w:bottom w:type="dxa" w:w="50"/>
              <w:right w:type="dxa" w:w="100"/>
            </w:tcMar>
          </w:tcPr>
          <w:p>
            <w:pPr>
              <w:jc w:val="center"/>
            </w:pPr>
            <w:r>
              <w:rPr>
                <w:b w:val="false"/>
                <w:bCs w:val="false"/>
                <w:sz w:val="20"/>
                <w:szCs w:val="20"/>
              </w:rPr>
              <w:t xml:space="preserve">Random Forest</w:t>
            </w:r>
          </w:p>
        </w:tc>
        <w:tc>
          <w:tcPr>
            <w:tcW w:type="dxa" w:w="1700"/>
            <w:tcMar>
              <w:top w:type="dxa" w:w="50"/>
              <w:left w:type="dxa" w:w="100"/>
              <w:bottom w:type="dxa" w:w="50"/>
              <w:right w:type="dxa" w:w="100"/>
            </w:tcMar>
          </w:tcPr>
          <w:p>
            <w:pPr>
              <w:jc w:val="center"/>
            </w:pPr>
            <w:r>
              <w:rPr>
                <w:b w:val="false"/>
                <w:bCs w:val="false"/>
                <w:sz w:val="20"/>
                <w:szCs w:val="20"/>
              </w:rPr>
              <w:t xml:space="preserve">99.04 %</w:t>
            </w:r>
          </w:p>
        </w:tc>
        <w:tc>
          <w:tcPr>
            <w:tcW w:type="dxa" w:w="1700"/>
            <w:tcMar>
              <w:top w:type="dxa" w:w="50"/>
              <w:left w:type="dxa" w:w="100"/>
              <w:bottom w:type="dxa" w:w="50"/>
              <w:right w:type="dxa" w:w="100"/>
            </w:tcMar>
          </w:tcPr>
          <w:p>
            <w:pPr>
              <w:jc w:val="center"/>
            </w:pPr>
            <w:r>
              <w:rPr>
                <w:b w:val="false"/>
                <w:bCs w:val="false"/>
                <w:sz w:val="20"/>
                <w:szCs w:val="20"/>
              </w:rPr>
              <w:t xml:space="preserve">1.47 %</w:t>
            </w:r>
          </w:p>
        </w:tc>
      </w:tr>
      <w:tr>
        <w:tc>
          <w:tcPr>
            <w:tcW w:type="dxa" w:w="3000"/>
            <w:shd w:fill="f1f3f5" w:val="clear"/>
            <w:tcMar>
              <w:top w:type="dxa" w:w="50"/>
              <w:left w:type="dxa" w:w="100"/>
              <w:bottom w:type="dxa" w:w="50"/>
              <w:right w:type="dxa" w:w="100"/>
            </w:tcMar>
          </w:tcPr>
          <w:p>
            <w:pPr>
              <w:jc w:val="left"/>
            </w:pPr>
            <w:r>
              <w:rPr>
                <w:b/>
                <w:bCs/>
                <w:sz w:val="20"/>
                <w:szCs w:val="20"/>
              </w:rPr>
              <w:t xml:space="preserve">Notre projet (ISCX)</w:t>
            </w:r>
          </w:p>
        </w:tc>
        <w:tc>
          <w:tcPr>
            <w:tcW w:type="dxa" w:w="2200"/>
            <w:shd w:fill="f1f3f5" w:val="clear"/>
            <w:tcMar>
              <w:top w:type="dxa" w:w="50"/>
              <w:left w:type="dxa" w:w="100"/>
              <w:bottom w:type="dxa" w:w="50"/>
              <w:right w:type="dxa" w:w="100"/>
            </w:tcMar>
          </w:tcPr>
          <w:p>
            <w:pPr>
              <w:jc w:val="center"/>
            </w:pPr>
            <w:r>
              <w:rPr>
                <w:b w:val="false"/>
                <w:bCs w:val="false"/>
                <w:sz w:val="20"/>
                <w:szCs w:val="20"/>
              </w:rPr>
              <w:t xml:space="preserve">XGBoost</w:t>
            </w:r>
          </w:p>
        </w:tc>
        <w:tc>
          <w:tcPr>
            <w:tcW w:type="dxa" w:w="1700"/>
            <w:shd w:fill="f1f3f5" w:val="clear"/>
            <w:tcMar>
              <w:top w:type="dxa" w:w="50"/>
              <w:left w:type="dxa" w:w="100"/>
              <w:bottom w:type="dxa" w:w="50"/>
              <w:right w:type="dxa" w:w="100"/>
            </w:tcMar>
          </w:tcPr>
          <w:p>
            <w:pPr>
              <w:jc w:val="center"/>
            </w:pPr>
            <w:r>
              <w:rPr>
                <w:b w:val="false"/>
                <w:bCs w:val="false"/>
                <w:sz w:val="20"/>
                <w:szCs w:val="20"/>
              </w:rPr>
              <w:t xml:space="preserve">99.26 %</w:t>
            </w:r>
          </w:p>
        </w:tc>
        <w:tc>
          <w:tcPr>
            <w:tcW w:type="dxa" w:w="1700"/>
            <w:shd w:fill="f1f3f5" w:val="clear"/>
            <w:tcMar>
              <w:top w:type="dxa" w:w="50"/>
              <w:left w:type="dxa" w:w="100"/>
              <w:bottom w:type="dxa" w:w="50"/>
              <w:right w:type="dxa" w:w="100"/>
            </w:tcMar>
          </w:tcPr>
          <w:p>
            <w:pPr>
              <w:jc w:val="center"/>
            </w:pPr>
            <w:r>
              <w:rPr>
                <w:b w:val="false"/>
                <w:bCs w:val="false"/>
                <w:sz w:val="20"/>
                <w:szCs w:val="20"/>
              </w:rPr>
              <w:t xml:space="preserve">1 %</w:t>
            </w:r>
          </w:p>
        </w:tc>
      </w:tr>
    </w:tbl>
    <w:p>
      <w:pPr>
        <w:spacing w:after="120" w:line="276"/>
        <w:jc w:val="both"/>
      </w:pPr>
      <w:r>
        <w:rPr>
          <w:i w:val="false"/>
          <w:iCs w:val="false"/>
          <w:color w:val="222222"/>
          <w:sz w:val="22"/>
          <w:szCs w:val="22"/>
        </w:rPr>
        <w:t xml:space="preserve">Notre FPR (1 % avec XGBoost) est nettement inferieur a celui de plusieurs travaux anterieurs (8 a 12 %) et competitif avec le papier de reference, confirmant l'efficacite des modeles d'ensemble bien parametres sur des features structurelles riches.</w:t>
      </w:r>
    </w:p>
    <w:p>
      <w:pPr>
        <w:pStyle w:val="Heading1"/>
        <w:spacing w:after="140" w:before="280"/>
      </w:pPr>
      <w:r>
        <w:rPr>
          <w:b/>
          <w:bCs/>
          <w:color w:val="1d3557"/>
          <w:sz w:val="30"/>
          <w:szCs w:val="30"/>
        </w:rPr>
        <w:t xml:space="preserve">6. Conclusion et perspectives</w:t>
      </w:r>
    </w:p>
    <w:p>
      <w:pPr>
        <w:spacing w:after="120" w:line="276"/>
        <w:jc w:val="both"/>
      </w:pPr>
      <w:r>
        <w:rPr>
          <w:i w:val="false"/>
          <w:iCs w:val="false"/>
          <w:color w:val="222222"/>
          <w:sz w:val="22"/>
          <w:szCs w:val="22"/>
        </w:rPr>
        <w:t xml:space="preserve">Ce projet a mis en oeuvre un systeme complet de detection et de classification d'URLs malveillantes par Machine Learning, sur le dataset de reference ISCX-URL2016. Les principaux enseignements sont :</w:t>
      </w:r>
    </w:p>
    <w:p>
      <w:pPr>
        <w:pStyle w:val="ListParagraph"/>
        <w:numPr>
          <w:ilvl w:val="0"/>
          <w:numId w:val="1"/>
        </w:numPr>
        <w:spacing w:after="60"/>
      </w:pPr>
      <w:r>
        <w:rPr>
          <w:sz w:val="22"/>
          <w:szCs w:val="22"/>
        </w:rPr>
        <w:t xml:space="preserve">Detection binaire : 99.26 % d'accuracy avec un FPR de 1 % (XGBoost), au niveau de l'etat de l'art.</w:t>
      </w:r>
    </w:p>
    <w:p>
      <w:pPr>
        <w:pStyle w:val="ListParagraph"/>
        <w:numPr>
          <w:ilvl w:val="0"/>
          <w:numId w:val="1"/>
        </w:numPr>
        <w:spacing w:after="60"/>
      </w:pPr>
      <w:r>
        <w:rPr>
          <w:sz w:val="22"/>
          <w:szCs w:val="22"/>
        </w:rPr>
        <w:t xml:space="preserve">Classification multi-classe (5 types) : 97.5 % d'accuracy avec un FPR de 0.66 %.</w:t>
      </w:r>
    </w:p>
    <w:p>
      <w:pPr>
        <w:pStyle w:val="ListParagraph"/>
        <w:numPr>
          <w:ilvl w:val="0"/>
          <w:numId w:val="1"/>
        </w:numPr>
        <w:spacing w:after="60"/>
      </w:pPr>
      <w:r>
        <w:rPr>
          <w:sz w:val="22"/>
          <w:szCs w:val="22"/>
        </w:rPr>
        <w:t xml:space="preserve">XGBoost devance systematiquement Random Forest sur les deux scenarios.</w:t>
      </w:r>
    </w:p>
    <w:p>
      <w:pPr>
        <w:pStyle w:val="ListParagraph"/>
        <w:numPr>
          <w:ilvl w:val="0"/>
          <w:numId w:val="1"/>
        </w:numPr>
        <w:spacing w:after="60"/>
      </w:pPr>
      <w:r>
        <w:rPr>
          <w:sz w:val="22"/>
          <w:szCs w:val="22"/>
        </w:rPr>
        <w:t xml:space="preserve">Les features structurelles (tokens du domaine, points, symboles, ratios) sont les plus discriminantes, ce qui rend le modele explicable.</w:t>
      </w:r>
    </w:p>
    <w:p>
      <w:pPr>
        <w:spacing w:after="120" w:line="276"/>
        <w:jc w:val="both"/>
      </w:pPr>
      <w:r>
        <w:rPr>
          <w:i w:val="false"/>
          <w:iCs w:val="false"/>
          <w:color w:val="222222"/>
          <w:sz w:val="22"/>
          <w:szCs w:val="22"/>
        </w:rPr>
        <w:t xml:space="preserve">Perspectives : tester la robustesse sur des URLs recentes hors dataset, ajouter des features host-based (WHOIS, age du domaine), et evaluer le modele sur des URLs issues d'un cyberspace local — piste explicitement evoquee par les auteurs du papier de reference.</w:t>
      </w:r>
    </w:p>
    <w:p>
      <w:pPr>
        <w:spacing w:before="300"/>
      </w:pPr>
      <w:r>
        <w:rPr>
          <w:i/>
          <w:iCs/>
          <w:color w:val="666666"/>
          <w:sz w:val="20"/>
          <w:szCs w:val="20"/>
        </w:rPr>
        <w:t xml:space="preserve">Livrables associes : notebook Jupyter commente et executable (URL_Detection_ISCX_Notebook.ipynb), script d'entrainement (train_iscx.py) et application Streamlit interactive (app.py).</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63cb162b2230cee4b3c7167b67d6980228be06.png"/><Relationship Id="rId8" Type="http://schemas.openxmlformats.org/officeDocument/2006/relationships/image" Target="media/8a94a6a21a30055d6419722a8f2826346da0ed1f.png"/><Relationship Id="rId9" Type="http://schemas.openxmlformats.org/officeDocument/2006/relationships/image" Target="media/0c1dc634d4a4d1feb6645a2b6b51ccf0b35a179e.png"/><Relationship Id="rId10" Type="http://schemas.openxmlformats.org/officeDocument/2006/relationships/image" Target="media/733369ba5bb5fbe09a0350e506ac6589b02476c2.png"/><Relationship Id="rId11" Type="http://schemas.openxmlformats.org/officeDocument/2006/relationships/image" Target="media/57b43ab1581fc61403baa1b2fa5328dcf9d09e0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2026-07-13T15:30:55.977Z</dcterms:created>
  <dcterms:modified xsi:type="dcterms:W3CDTF">2026-07-13T15:30:55.978Z</dcterms:modified>
</cp:coreProperties>
</file>

<file path=docProps/custom.xml><?xml version="1.0" encoding="utf-8"?>
<Properties xmlns="http://schemas.openxmlformats.org/officeDocument/2006/custom-properties" xmlns:vt="http://schemas.openxmlformats.org/officeDocument/2006/docPropsVTypes"/>
</file>