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Spécifications techniques pour le câblage d’un LAN de grande envergure</w:t>
      </w:r>
    </w:p>
    <w:p>
      <w:r>
        <w:t>Ce document présente les spécifications techniques pour un réseau local (LAN) pouvant supporter plus de 800 utilisateurs simultanés, en se concentrant uniquement sur les aspects liés au câblage.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Spécifications</w:t>
            </w:r>
          </w:p>
        </w:tc>
        <w:tc>
          <w:tcPr>
            <w:tcW w:type="dxa" w:w="2880"/>
          </w:tcPr>
          <w:p>
            <w:r>
              <w:t>Quantité</w:t>
            </w:r>
          </w:p>
        </w:tc>
      </w:tr>
      <w:tr>
        <w:tc>
          <w:tcPr>
            <w:tcW w:type="dxa" w:w="2880"/>
          </w:tcPr>
          <w:p>
            <w:r>
              <w:t>Type de câble</w:t>
            </w:r>
          </w:p>
        </w:tc>
        <w:tc>
          <w:tcPr>
            <w:tcW w:type="dxa" w:w="2880"/>
          </w:tcPr>
          <w:p>
            <w:r>
              <w:t>- **Cat 6a (Cuivre)** : Bande passante jusqu'à **500 MHz**, débit **10 Gbps**, distance max **100 mètres**.</w:t>
              <w:br/>
              <w:t>- **Fibre optique OM4 (Multimode)** : Backbone jusqu’à **400 mètres** à **10 Gbps**.</w:t>
            </w:r>
          </w:p>
        </w:tc>
        <w:tc>
          <w:tcPr>
            <w:tcW w:type="dxa" w:w="2880"/>
          </w:tcPr>
          <w:p>
            <w:r>
              <w:t>- **22,8 km** de Cat 6a (environ **114 rouleaux de 200 m**).</w:t>
              <w:br/>
              <w:t>- **500 mètres** de fibre optique (environ **3 rouleaux de 200 m**).</w:t>
            </w:r>
          </w:p>
        </w:tc>
      </w:tr>
      <w:tr>
        <w:tc>
          <w:tcPr>
            <w:tcW w:type="dxa" w:w="2880"/>
          </w:tcPr>
          <w:p>
            <w:r>
              <w:t>Structure du câblage</w:t>
            </w:r>
          </w:p>
        </w:tc>
        <w:tc>
          <w:tcPr>
            <w:tcW w:type="dxa" w:w="2880"/>
          </w:tcPr>
          <w:p>
            <w:r>
              <w:t>- **Topologie en étoile** : Connexion centralisée depuis les armoires de brassage.</w:t>
              <w:br/>
              <w:t>- **Sous-réseaux physiques** : Par étage, département ou bâtiment.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Câblage horizontal</w:t>
            </w:r>
          </w:p>
        </w:tc>
        <w:tc>
          <w:tcPr>
            <w:tcW w:type="dxa" w:w="2880"/>
          </w:tcPr>
          <w:p>
            <w:r>
              <w:t>- Câbles **Cat 6a** tirés des armoires de brassage vers les postes.</w:t>
              <w:br/>
              <w:t>- Une prise RJ45 par utilisateur, intégrée dans les murs.</w:t>
            </w:r>
          </w:p>
        </w:tc>
        <w:tc>
          <w:tcPr>
            <w:tcW w:type="dxa" w:w="2880"/>
          </w:tcPr>
          <w:p>
            <w:r>
              <w:t>Inclus dans les **22,8 km** mentionnés.</w:t>
            </w:r>
          </w:p>
        </w:tc>
      </w:tr>
      <w:tr>
        <w:tc>
          <w:tcPr>
            <w:tcW w:type="dxa" w:w="2880"/>
          </w:tcPr>
          <w:p>
            <w:r>
              <w:t>Câblage vertical (Backbone)</w:t>
            </w:r>
          </w:p>
        </w:tc>
        <w:tc>
          <w:tcPr>
            <w:tcW w:type="dxa" w:w="2880"/>
          </w:tcPr>
          <w:p>
            <w:r>
              <w:t>- Backbone en **fibre optique OM4 multimodes** pour interconnecter les armoires de brassage à la salle serveur.</w:t>
              <w:br/>
              <w:t>- **Gaine de protection** pour sécuriser le câblage.</w:t>
            </w:r>
          </w:p>
        </w:tc>
        <w:tc>
          <w:tcPr>
            <w:tcW w:type="dxa" w:w="2880"/>
          </w:tcPr>
          <w:p>
            <w:r>
              <w:t>**500 mètres de fibre optique (3 rouleaux)**.</w:t>
            </w:r>
          </w:p>
        </w:tc>
      </w:tr>
      <w:tr>
        <w:tc>
          <w:tcPr>
            <w:tcW w:type="dxa" w:w="2880"/>
          </w:tcPr>
          <w:p>
            <w:r>
              <w:t>Gaines de protection</w:t>
            </w:r>
          </w:p>
        </w:tc>
        <w:tc>
          <w:tcPr>
            <w:tcW w:type="dxa" w:w="2880"/>
          </w:tcPr>
          <w:p>
            <w:r>
              <w:t>- **PVC ou PEHD** : Gaine dédiée pour les câbles cuivre Cat 6a et fibre optique, résistante au feu et aux interférences électromagnétiques.</w:t>
              <w:br/>
              <w:t>- Diamètre recommandé : **25 mm à 40 mm** selon le nombre de câbles à protéger.</w:t>
            </w:r>
          </w:p>
        </w:tc>
        <w:tc>
          <w:tcPr>
            <w:tcW w:type="dxa" w:w="2880"/>
          </w:tcPr>
          <w:p>
            <w:r>
              <w:t>Environ **22,8 km de gaines** pour les câbles Cat 6a.</w:t>
              <w:br/>
              <w:t>**500 mètres** pour la fibre optique.</w:t>
            </w:r>
          </w:p>
        </w:tc>
      </w:tr>
      <w:tr>
        <w:tc>
          <w:tcPr>
            <w:tcW w:type="dxa" w:w="2880"/>
          </w:tcPr>
          <w:p>
            <w:r>
              <w:t>Prises murales</w:t>
            </w:r>
          </w:p>
        </w:tc>
        <w:tc>
          <w:tcPr>
            <w:tcW w:type="dxa" w:w="2880"/>
          </w:tcPr>
          <w:p>
            <w:r>
              <w:t>- **Double port RJ45 Cat 6a** par point d'accès utilisateur pour assurer l'évolutivité.</w:t>
              <w:br/>
              <w:t>- Étiquetage clair pour chaque prise.</w:t>
            </w:r>
          </w:p>
        </w:tc>
        <w:tc>
          <w:tcPr>
            <w:tcW w:type="dxa" w:w="2880"/>
          </w:tcPr>
          <w:p>
            <w:r>
              <w:t>**800 prises murales double port RJ45**.</w:t>
            </w:r>
          </w:p>
        </w:tc>
      </w:tr>
      <w:tr>
        <w:tc>
          <w:tcPr>
            <w:tcW w:type="dxa" w:w="2880"/>
          </w:tcPr>
          <w:p>
            <w:r>
              <w:t>Connecteurs et câbles</w:t>
            </w:r>
          </w:p>
        </w:tc>
        <w:tc>
          <w:tcPr>
            <w:tcW w:type="dxa" w:w="2880"/>
          </w:tcPr>
          <w:p>
            <w:r>
              <w:t>- Connecteurs **blindés STP (Shielded Twisted Pair)** pour les câbles Cat 6a.</w:t>
              <w:br/>
              <w:t>- **Embouts RJ45** de haute qualité pour éviter les pertes de signal.</w:t>
            </w:r>
          </w:p>
        </w:tc>
        <w:tc>
          <w:tcPr>
            <w:tcW w:type="dxa" w:w="2880"/>
          </w:tcPr>
          <w:p>
            <w:r>
              <w:t>**1600 connecteurs RJ45 (2 par prise)**.</w:t>
            </w:r>
          </w:p>
        </w:tc>
      </w:tr>
      <w:tr>
        <w:tc>
          <w:tcPr>
            <w:tcW w:type="dxa" w:w="2880"/>
          </w:tcPr>
          <w:p>
            <w:r>
              <w:t>Prises de terre</w:t>
            </w:r>
          </w:p>
        </w:tc>
        <w:tc>
          <w:tcPr>
            <w:tcW w:type="dxa" w:w="2880"/>
          </w:tcPr>
          <w:p>
            <w:r>
              <w:t>- Chaque armoire de brassage et chemins de câbles doivent être connectés à une prise de terre dédiée.</w:t>
              <w:br/>
              <w:t>- Utiliser des **barres de terre** pour la dissipation des EMI.</w:t>
            </w:r>
          </w:p>
        </w:tc>
        <w:tc>
          <w:tcPr>
            <w:tcW w:type="dxa" w:w="2880"/>
          </w:tcPr>
          <w:p>
            <w:r>
              <w:t>Selon le nombre d'armoires (minimum 1 par étage).</w:t>
            </w:r>
          </w:p>
        </w:tc>
      </w:tr>
      <w:tr>
        <w:tc>
          <w:tcPr>
            <w:tcW w:type="dxa" w:w="2880"/>
          </w:tcPr>
          <w:p>
            <w:r>
              <w:t>Standards et certifications</w:t>
            </w:r>
          </w:p>
        </w:tc>
        <w:tc>
          <w:tcPr>
            <w:tcW w:type="dxa" w:w="2880"/>
          </w:tcPr>
          <w:p>
            <w:r>
              <w:t>- Respect des normes **ISO/IEC 11801** et **ANSI/TIA-568**.</w:t>
              <w:br/>
              <w:t>- Test des câbles pour vérifier la continuité, la diaphonie et les pertes d’insertion.</w:t>
            </w:r>
          </w:p>
        </w:tc>
        <w:tc>
          <w:tcPr>
            <w:tcW w:type="dxa" w:w="2880"/>
          </w:tcPr>
          <w:p>
            <w:r>
              <w:t>Tous les câbles doivent être certifiés.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