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page" w:tblpX="992" w:tblpY="768"/>
        <w:tblOverlap w:val="never"/>
        <w:tblW w:w="150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4818"/>
        <w:gridCol w:w="1789"/>
        <w:gridCol w:w="1959"/>
        <w:gridCol w:w="5744"/>
      </w:tblGrid>
      <w:tr w14:paraId="6CA5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FBE5D5" w:themeFill="accent2" w:themeFillTint="33"/>
          </w:tcPr>
          <w:p w14:paraId="11D2E37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S.N</w:t>
            </w:r>
          </w:p>
        </w:tc>
        <w:tc>
          <w:tcPr>
            <w:tcW w:w="4818" w:type="dxa"/>
            <w:shd w:val="clear" w:color="auto" w:fill="FBE5D5" w:themeFill="accent2" w:themeFillTint="33"/>
          </w:tcPr>
          <w:p w14:paraId="5BB05A8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Title of Toolbox briefing</w:t>
            </w:r>
          </w:p>
        </w:tc>
        <w:tc>
          <w:tcPr>
            <w:tcW w:w="1789" w:type="dxa"/>
            <w:shd w:val="clear" w:color="auto" w:fill="FBE5D5" w:themeFill="accent2" w:themeFillTint="33"/>
          </w:tcPr>
          <w:p w14:paraId="7EFB3E5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1959" w:type="dxa"/>
            <w:shd w:val="clear" w:color="auto" w:fill="FBE5D5" w:themeFill="accent2" w:themeFillTint="33"/>
          </w:tcPr>
          <w:p w14:paraId="6BBF042A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Project Name</w:t>
            </w:r>
          </w:p>
        </w:tc>
        <w:tc>
          <w:tcPr>
            <w:tcW w:w="5744" w:type="dxa"/>
            <w:shd w:val="clear" w:color="auto" w:fill="FBE5D5" w:themeFill="accent2" w:themeFillTint="33"/>
          </w:tcPr>
          <w:p w14:paraId="5D33927C">
            <w:pPr>
              <w:tabs>
                <w:tab w:val="left" w:pos="1620"/>
                <w:tab w:val="center" w:pos="2764"/>
              </w:tabs>
              <w:spacing w:after="0" w:line="24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ab/>
            </w:r>
            <w:r>
              <w:rPr>
                <w:b/>
                <w:sz w:val="32"/>
                <w:szCs w:val="32"/>
              </w:rPr>
              <w:t>Remark</w:t>
            </w:r>
          </w:p>
        </w:tc>
      </w:tr>
      <w:tr w14:paraId="5BC33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BC731DC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</w:t>
            </w:r>
          </w:p>
        </w:tc>
        <w:tc>
          <w:tcPr>
            <w:tcW w:w="4818" w:type="dxa"/>
          </w:tcPr>
          <w:p w14:paraId="277EA4E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Importance of Toolbox briefing.</w:t>
            </w:r>
          </w:p>
        </w:tc>
        <w:tc>
          <w:tcPr>
            <w:tcW w:w="1789" w:type="dxa"/>
          </w:tcPr>
          <w:p w14:paraId="3B497A28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2C7ADE96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104E13F6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4A5C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BDE1A5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</w:t>
            </w:r>
          </w:p>
        </w:tc>
        <w:tc>
          <w:tcPr>
            <w:tcW w:w="4818" w:type="dxa"/>
          </w:tcPr>
          <w:p w14:paraId="534767A1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Metropolitan EHS rule and regulation.</w:t>
            </w:r>
          </w:p>
        </w:tc>
        <w:tc>
          <w:tcPr>
            <w:tcW w:w="1789" w:type="dxa"/>
          </w:tcPr>
          <w:p w14:paraId="38F80109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4987EDD7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039D5FC1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  <w:tr w14:paraId="28A2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5AC563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3</w:t>
            </w:r>
          </w:p>
        </w:tc>
        <w:tc>
          <w:tcPr>
            <w:tcW w:w="4818" w:type="dxa"/>
          </w:tcPr>
          <w:p w14:paraId="353EA5C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Causes and </w:t>
            </w:r>
            <w:r>
              <w:rPr>
                <w:b/>
                <w:sz w:val="26"/>
                <w:szCs w:val="26"/>
                <w:lang w:val="en-US"/>
              </w:rPr>
              <w:t>prevent ions</w:t>
            </w:r>
            <w:r>
              <w:rPr>
                <w:b/>
                <w:sz w:val="26"/>
                <w:szCs w:val="26"/>
              </w:rPr>
              <w:t xml:space="preserve"> of accidents and incidents in the work site.</w:t>
            </w:r>
          </w:p>
        </w:tc>
        <w:tc>
          <w:tcPr>
            <w:tcW w:w="1789" w:type="dxa"/>
          </w:tcPr>
          <w:p w14:paraId="07967E2E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01F01EE2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1917E3E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This training is provided using power points and training videos.</w:t>
            </w:r>
          </w:p>
        </w:tc>
      </w:tr>
      <w:tr w14:paraId="4DDB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0BA2F94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4</w:t>
            </w:r>
          </w:p>
        </w:tc>
        <w:tc>
          <w:tcPr>
            <w:tcW w:w="4818" w:type="dxa"/>
          </w:tcPr>
          <w:p w14:paraId="19EFC2F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Manual handling and health and safety issues</w:t>
            </w:r>
          </w:p>
        </w:tc>
        <w:tc>
          <w:tcPr>
            <w:tcW w:w="1789" w:type="dxa"/>
          </w:tcPr>
          <w:p w14:paraId="2490318C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5B7A8F24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7FDE1834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This training is provided using power points and training videos.</w:t>
            </w:r>
          </w:p>
        </w:tc>
      </w:tr>
      <w:tr w14:paraId="058E7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1D7DF6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5</w:t>
            </w:r>
          </w:p>
        </w:tc>
        <w:tc>
          <w:tcPr>
            <w:tcW w:w="4818" w:type="dxa"/>
          </w:tcPr>
          <w:p w14:paraId="6AAACE38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Consequences of poor housekeeping and measures to be taken to protect workers from workplace trip, falls and other kinds of injuries.</w:t>
            </w:r>
          </w:p>
        </w:tc>
        <w:tc>
          <w:tcPr>
            <w:tcW w:w="1789" w:type="dxa"/>
          </w:tcPr>
          <w:p w14:paraId="54725B72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615B5455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7F848430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This training is provided using power points and training videos.</w:t>
            </w:r>
          </w:p>
        </w:tc>
      </w:tr>
      <w:tr w14:paraId="0E2D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045EB38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6</w:t>
            </w:r>
          </w:p>
        </w:tc>
        <w:tc>
          <w:tcPr>
            <w:tcW w:w="4818" w:type="dxa"/>
          </w:tcPr>
          <w:p w14:paraId="6D829ABA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Workplace chemical hazards and its prevention.</w:t>
            </w:r>
          </w:p>
        </w:tc>
        <w:tc>
          <w:tcPr>
            <w:tcW w:w="1789" w:type="dxa"/>
          </w:tcPr>
          <w:p w14:paraId="13918C40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059CDF40">
            <w:pPr>
              <w:spacing w:after="0" w:line="240" w:lineRule="auto"/>
              <w:rPr>
                <w:b/>
                <w:sz w:val="26"/>
                <w:szCs w:val="26"/>
              </w:rPr>
            </w:pPr>
          </w:p>
        </w:tc>
        <w:tc>
          <w:tcPr>
            <w:tcW w:w="5744" w:type="dxa"/>
          </w:tcPr>
          <w:p w14:paraId="7251805B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This training is provided using power points and training videos.</w:t>
            </w:r>
          </w:p>
        </w:tc>
      </w:tr>
    </w:tbl>
    <w:p w14:paraId="2F46E9A8">
      <w:pPr>
        <w:rPr>
          <w:b/>
          <w:color w:val="1E386B" w:themeColor="accent1" w:themeShade="80"/>
          <w:sz w:val="32"/>
          <w:szCs w:val="32"/>
        </w:rPr>
      </w:pPr>
      <w:bookmarkStart w:id="0" w:name="_GoBack"/>
      <w:bookmarkEnd w:id="0"/>
      <w:r>
        <w:rPr>
          <w:b/>
          <w:color w:val="1E386B" w:themeColor="accent1" w:themeShade="80"/>
          <w:sz w:val="32"/>
          <w:szCs w:val="32"/>
        </w:rPr>
        <w:t>Toolbox briefing</w:t>
      </w:r>
    </w:p>
    <w:p w14:paraId="51BBDA9E">
      <w:pPr>
        <w:rPr>
          <w:b/>
          <w:color w:val="1E386B" w:themeColor="accent1" w:themeShade="80"/>
          <w:sz w:val="32"/>
          <w:szCs w:val="32"/>
        </w:rPr>
      </w:pPr>
    </w:p>
    <w:p w14:paraId="565CE1B6"/>
    <w:sectPr>
      <w:headerReference r:id="rId5" w:type="default"/>
      <w:footerReference r:id="rId6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7160895</wp:posOffset>
          </wp:positionH>
          <wp:positionV relativeFrom="paragraph">
            <wp:posOffset>-57150</wp:posOffset>
          </wp:positionV>
          <wp:extent cx="1457960" cy="845185"/>
          <wp:effectExtent l="0" t="0" r="8890" b="12065"/>
          <wp:wrapNone/>
          <wp:docPr id="1" name="Picture 1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57960" cy="845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eastAsiaTheme="minorEastAsia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Confidential – Professional Use Only</w:t>
    </w:r>
  </w:p>
  <w:p w14:paraId="7099BC58">
    <w:pPr>
      <w:spacing w:after="0" w:line="240" w:lineRule="auto"/>
      <w:rPr>
        <w:rFonts w:hint="default" w:eastAsiaTheme="minorEastAsia"/>
        <w:b/>
        <w:bCs/>
        <w:sz w:val="20"/>
        <w:szCs w:val="20"/>
        <w:lang w:eastAsia="zh-CN"/>
      </w:rPr>
    </w:pPr>
    <w:r>
      <w:rPr>
        <w:rFonts w:hint="default" w:eastAsiaTheme="minorEastAsia"/>
        <w:b/>
        <w:bCs/>
        <w:sz w:val="20"/>
        <w:szCs w:val="20"/>
        <w:lang w:eastAsia="zh-CN"/>
      </w:rPr>
      <w:t>Page X of Y</w:t>
    </w:r>
  </w:p>
  <w:p w14:paraId="5E9C213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4336" w:tblpY="813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0"/>
      <w:gridCol w:w="5685"/>
      <w:gridCol w:w="2659"/>
    </w:tblGrid>
    <w:tr w14:paraId="114A14D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6" w:hRule="atLeast"/>
      </w:trPr>
      <w:tc>
        <w:tcPr>
          <w:tcW w:w="2830" w:type="dxa"/>
          <w:shd w:val="clear" w:color="auto" w:fill="E7E6E6" w:themeFill="background2"/>
        </w:tcPr>
        <w:p w14:paraId="26026BC2">
          <w:pPr>
            <w:widowControl w:val="0"/>
            <w:jc w:val="both"/>
            <w:rPr>
              <w:rFonts w:hint="default"/>
              <w:b/>
              <w:bCs/>
              <w:sz w:val="24"/>
              <w:szCs w:val="24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Company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Name &amp; Loggo:</w:t>
          </w:r>
        </w:p>
      </w:tc>
      <w:tc>
        <w:tcPr>
          <w:tcW w:w="5685" w:type="dxa"/>
          <w:shd w:val="clear" w:color="auto" w:fill="E7E6E6" w:themeFill="background2"/>
        </w:tcPr>
        <w:p w14:paraId="5941760F">
          <w:pPr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Title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:   </w:t>
          </w:r>
          <w:r>
            <w:rPr>
              <w:rFonts w:hint="default"/>
              <w:b/>
              <w:color w:val="1E386B" w:themeColor="accent1" w:themeShade="80"/>
              <w:sz w:val="26"/>
              <w:szCs w:val="26"/>
              <w:lang w:val="en-US"/>
            </w:rPr>
            <w:t>Toolbox briefing</w:t>
          </w:r>
        </w:p>
      </w:tc>
      <w:tc>
        <w:tcPr>
          <w:tcW w:w="2659" w:type="dxa"/>
          <w:shd w:val="clear" w:color="auto" w:fill="E7E6E6" w:themeFill="background2"/>
        </w:tcPr>
        <w:p w14:paraId="5F95C06C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Date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>:</w:t>
          </w:r>
        </w:p>
      </w:tc>
    </w:tr>
    <w:tr w14:paraId="2ECFC0F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3" w:hRule="atLeast"/>
      </w:trPr>
      <w:tc>
        <w:tcPr>
          <w:tcW w:w="2830" w:type="dxa"/>
          <w:shd w:val="clear" w:color="auto" w:fill="E7E6E6" w:themeFill="background2"/>
        </w:tcPr>
        <w:p w14:paraId="7B7C8392">
          <w:pPr>
            <w:pStyle w:val="5"/>
            <w:widowControl w:val="0"/>
            <w:jc w:val="both"/>
            <w:rPr>
              <w:sz w:val="24"/>
              <w:szCs w:val="24"/>
              <w:vertAlign w:val="baseline"/>
            </w:rPr>
          </w:pPr>
        </w:p>
      </w:tc>
      <w:tc>
        <w:tcPr>
          <w:tcW w:w="5685" w:type="dxa"/>
          <w:shd w:val="clear" w:color="auto" w:fill="E7E6E6" w:themeFill="background2"/>
        </w:tcPr>
        <w:p w14:paraId="69B357FA">
          <w:pPr>
            <w:pStyle w:val="5"/>
            <w:widowControl w:val="0"/>
            <w:jc w:val="both"/>
            <w:rPr>
              <w:rFonts w:hint="default"/>
              <w:b/>
              <w:bCs/>
              <w:sz w:val="24"/>
              <w:szCs w:val="24"/>
              <w:vertAlign w:val="baseline"/>
              <w:lang w:val="en-US"/>
            </w:rPr>
          </w:pPr>
          <w:r>
            <w:rPr>
              <w:rFonts w:hint="default"/>
              <w:b/>
              <w:bCs/>
              <w:sz w:val="24"/>
              <w:szCs w:val="24"/>
            </w:rPr>
            <w:t>Doc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  <w:r>
            <w:rPr>
              <w:rFonts w:hint="default"/>
              <w:b/>
              <w:bCs/>
              <w:sz w:val="24"/>
              <w:szCs w:val="24"/>
            </w:rPr>
            <w:t>No:</w:t>
          </w:r>
          <w:r>
            <w:rPr>
              <w:rFonts w:hint="default"/>
              <w:b/>
              <w:bCs/>
              <w:sz w:val="24"/>
              <w:szCs w:val="24"/>
              <w:lang w:val="en-US"/>
            </w:rPr>
            <w:t xml:space="preserve"> </w:t>
          </w:r>
        </w:p>
      </w:tc>
      <w:tc>
        <w:tcPr>
          <w:tcW w:w="2659" w:type="dxa"/>
          <w:shd w:val="clear" w:color="auto" w:fill="E7E6E6" w:themeFill="background2"/>
        </w:tcPr>
        <w:p w14:paraId="74F5DA63">
          <w:pPr>
            <w:pStyle w:val="5"/>
            <w:widowControl w:val="0"/>
            <w:jc w:val="both"/>
            <w:rPr>
              <w:b/>
              <w:bCs/>
              <w:sz w:val="24"/>
              <w:szCs w:val="24"/>
              <w:vertAlign w:val="baseline"/>
            </w:rPr>
          </w:pPr>
          <w:r>
            <w:rPr>
              <w:rFonts w:hint="default"/>
              <w:b/>
              <w:bCs/>
              <w:sz w:val="24"/>
              <w:szCs w:val="24"/>
            </w:rPr>
            <w:t>Page:</w:t>
          </w:r>
        </w:p>
      </w:tc>
    </w:tr>
  </w:tbl>
  <w:p w14:paraId="01D806D3">
    <w:pPr>
      <w:pStyle w:val="5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-306705</wp:posOffset>
          </wp:positionH>
          <wp:positionV relativeFrom="paragraph">
            <wp:posOffset>-379730</wp:posOffset>
          </wp:positionV>
          <wp:extent cx="1971675" cy="1143000"/>
          <wp:effectExtent l="0" t="0" r="9525" b="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607695" y="77470"/>
                    <a:ext cx="197167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54600"/>
    <w:rsid w:val="02AB526E"/>
    <w:rsid w:val="24654600"/>
    <w:rsid w:val="3186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611</Characters>
  <Lines>0</Lines>
  <Paragraphs>0</Paragraphs>
  <TotalTime>1</TotalTime>
  <ScaleCrop>false</ScaleCrop>
  <LinksUpToDate>false</LinksUpToDate>
  <CharactersWithSpaces>705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2026-03-17T14:09:00Z</dcterms:created>
  <dc:creator>jhony</dc:creator>
  <cp:lastModifiedBy>jhony</cp:lastModifiedBy>
  <dcterms:modified xsi:type="dcterms:W3CDTF">2026-04-01T07:31:44Z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E65546BB2F8941E19579ED86E346D96C_11</vt:lpwstr>
  </property>
  <property fmtid="{D5CDD505-2E9C-101B-9397-08002B2CF9AE}" pid="4" name="KSOTemplateDocerSaveRecord">
    <vt:lpwstr>eyJoZGlkIjoiYzQ4MjRjZWYwZjUyYTQ3ZGIxOGNiY2IzYTc5NmZiOGEifQ==</vt:lpwstr>
  </property>
</Properties>
</file>