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5B" w:rsidRPr="0020545B" w:rsidRDefault="0020545B" w:rsidP="0020545B">
      <w:pPr>
        <w:spacing w:line="276" w:lineRule="auto"/>
        <w:jc w:val="center"/>
        <w:rPr>
          <w:rFonts w:ascii="Noto Sans CJK TC Regular" w:eastAsia="Noto Sans CJK TC Regular" w:hAnsi="Noto Sans CJK TC Regular" w:hint="eastAsia"/>
          <w:b/>
          <w:sz w:val="56"/>
          <w:szCs w:val="56"/>
        </w:rPr>
      </w:pPr>
      <w:r w:rsidRPr="0020545B">
        <w:rPr>
          <w:rFonts w:ascii="Noto Sans CJK TC Regular" w:eastAsia="Noto Sans CJK TC Regular" w:hAnsi="Noto Sans CJK TC Regular" w:hint="eastAsia"/>
          <w:b/>
          <w:sz w:val="56"/>
          <w:szCs w:val="56"/>
        </w:rPr>
        <w:t>目錄</w:t>
      </w:r>
    </w:p>
    <w:p w:rsidR="0020545B" w:rsidRPr="0020545B" w:rsidRDefault="0020545B" w:rsidP="0020545B">
      <w:pPr>
        <w:pStyle w:val="a3"/>
        <w:numPr>
          <w:ilvl w:val="0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</w:pPr>
      <w:r w:rsidRPr="0020545B"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  <w:t>基礎篇：數位</w:t>
      </w:r>
      <w:r w:rsidRPr="0020545B"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  <w:t>連結</w:t>
      </w:r>
      <w:r w:rsidRPr="0020545B"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  <w:t>經濟真的來了  1</w:t>
      </w: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網路與連結經濟  3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連結經濟的來臨  7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生態經濟學  16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消失中的產業  21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網路連結經濟的六項原則  26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數位行銷進化論：新典範  43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行銷進化論  46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資訊空間的新典範  55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交流空間的新典範  60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市場空間的新典範  64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社交空間的新典範  67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經營模式與數位行銷規劃  77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牛頓式策略規劃：機械論  80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營運模式  86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策略演進：經營模式與策略  99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lastRenderedPageBreak/>
        <w:t>策略形成的複雜理論  101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數位行銷之規劃模式  103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策略地圖與平衡計分卡  112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0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</w:pPr>
      <w:r w:rsidRPr="0020545B"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  <w:t>人的策略：一個人、一群人、虛擬社群  119</w:t>
      </w: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一個客戶的行銷：網路消費者行為  121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人的進化  124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網路心理學：上網行為模式的改變  128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網路市場研究  132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網際網路消費者行為決策  136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注意力認知與客製化  146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一群人的創新擴散與口碑行銷  159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網路外部性  163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創新擴散理論  172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口碑行銷  181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社交網路與虛擬社群  189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社會資本  192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lastRenderedPageBreak/>
        <w:t>社交媒體行銷  197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社交媒體行銷：讓人知道你  201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社交媒體行銷：讓人喜歡你  209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社交媒體行銷：讓人與你交易  214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社交網路與說服行銷  220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0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</w:pPr>
      <w:r w:rsidRPr="0020545B"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  <w:t>網的策略：一個網、一群網、虛擬企業  227</w:t>
      </w: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一個網的策略：網站、產品與流程  229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網際網路的進化  232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企業e化的進化  238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客戶的體驗設計  239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數位時代的產品設計  254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數位時代的流程設計：銷售、行銷與服務  258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一群網的整合行銷：媒體、搜尋、資料庫與社交  269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數位整合行銷傳播  272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網路是媒體：網路廣告  275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搜尋是王  285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客戶是王  291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lastRenderedPageBreak/>
        <w:t>社交網路為王  295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成效分析  302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虛擬企業的策略：組織、通路與平台  311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企業再造：企業網站化還是網站企業化  314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e通路  317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多角化或專業分工  326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交易成本理論  328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代理問題與垂直整合  334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企業網站化：虛擬企業的四個變革模式  337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網站企業化：平台與產業群聚  344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0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</w:pPr>
      <w:r w:rsidRPr="0020545B">
        <w:rPr>
          <w:rFonts w:ascii="Noto Sans CJK TC Regular" w:eastAsia="Noto Sans CJK TC Regular" w:hAnsi="Noto Sans CJK TC Regular" w:hint="eastAsia"/>
          <w:b/>
          <w:color w:val="002060"/>
          <w:sz w:val="36"/>
          <w:szCs w:val="36"/>
        </w:rPr>
        <w:t>關係策略：關係、定價與自然成長法則  353</w:t>
      </w: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客戶關係與忠誠  355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一對一行銷  358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辨識客戶  362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客戶分級  366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關係鏈  371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關係行銷  373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lastRenderedPageBreak/>
        <w:t>滿意、關係與忠誠  374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五階段客戶關係管理  380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小眾與分眾  381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定價策略與獲利模式  389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價格是由甚麼決定的？  392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定價策略  398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價格研究  404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定價方法  407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獲利模式  410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數位內容獲利模式  416</w:t>
      </w:r>
    </w:p>
    <w:p w:rsidR="0020545B" w:rsidRPr="0020545B" w:rsidRDefault="0020545B" w:rsidP="0020545B">
      <w:pPr>
        <w:spacing w:line="276" w:lineRule="auto"/>
        <w:rPr>
          <w:rFonts w:ascii="Noto Sans CJK TC Regular" w:eastAsia="Noto Sans CJK TC Regular" w:hAnsi="Noto Sans CJK TC Regular"/>
        </w:rPr>
      </w:pPr>
    </w:p>
    <w:p w:rsidR="0020545B" w:rsidRPr="0020545B" w:rsidRDefault="0020545B" w:rsidP="0020545B">
      <w:pPr>
        <w:pStyle w:val="a3"/>
        <w:numPr>
          <w:ilvl w:val="1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  <w:b/>
        </w:rPr>
      </w:pPr>
      <w:r w:rsidRPr="0020545B">
        <w:rPr>
          <w:rFonts w:ascii="Noto Sans CJK TC Regular" w:eastAsia="Noto Sans CJK TC Regular" w:hAnsi="Noto Sans CJK TC Regular" w:hint="eastAsia"/>
          <w:b/>
        </w:rPr>
        <w:t>生生不息：網路發展的多樣性  423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連結經濟真的來了  426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連結經濟下的演化與創新  430</w:t>
      </w:r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創新機會  436</w:t>
      </w:r>
      <w:bookmarkStart w:id="0" w:name="_GoBack"/>
      <w:bookmarkEnd w:id="0"/>
    </w:p>
    <w:p w:rsidR="0020545B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 w:hint="eastAsia"/>
        </w:rPr>
      </w:pPr>
      <w:r w:rsidRPr="0020545B">
        <w:rPr>
          <w:rFonts w:ascii="Noto Sans CJK TC Regular" w:eastAsia="Noto Sans CJK TC Regular" w:hAnsi="Noto Sans CJK TC Regular" w:hint="eastAsia"/>
        </w:rPr>
        <w:t>創新的時機  444</w:t>
      </w:r>
    </w:p>
    <w:p w:rsidR="00DD6B10" w:rsidRPr="0020545B" w:rsidRDefault="0020545B" w:rsidP="0020545B">
      <w:pPr>
        <w:pStyle w:val="a3"/>
        <w:numPr>
          <w:ilvl w:val="2"/>
          <w:numId w:val="1"/>
        </w:numPr>
        <w:spacing w:line="276" w:lineRule="auto"/>
        <w:ind w:leftChars="0"/>
        <w:rPr>
          <w:rFonts w:ascii="Noto Sans CJK TC Regular" w:eastAsia="Noto Sans CJK TC Regular" w:hAnsi="Noto Sans CJK TC Regular"/>
        </w:rPr>
      </w:pPr>
      <w:r w:rsidRPr="0020545B">
        <w:rPr>
          <w:rFonts w:ascii="Noto Sans CJK TC Regular" w:eastAsia="Noto Sans CJK TC Regular" w:hAnsi="Noto Sans CJK TC Regular" w:hint="eastAsia"/>
        </w:rPr>
        <w:t>生命尋找出路：自然成長法則  450</w:t>
      </w:r>
    </w:p>
    <w:sectPr w:rsidR="00DD6B10" w:rsidRPr="0020545B" w:rsidSect="0020545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5D81"/>
    <w:multiLevelType w:val="multilevel"/>
    <w:tmpl w:val="0F0CC320"/>
    <w:lvl w:ilvl="0">
      <w:start w:val="1"/>
      <w:numFmt w:val="decimal"/>
      <w:lvlText w:val="Part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Chapter 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1NzcxsDQyMzI0NDFW0lEKTi0uzszPAykwrAUAjJ6OFSwAAAA="/>
  </w:docVars>
  <w:rsids>
    <w:rsidRoot w:val="00E87F8B"/>
    <w:rsid w:val="0020545B"/>
    <w:rsid w:val="00DD6B10"/>
    <w:rsid w:val="00E8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FCD23-06CF-46DA-8A73-A462A449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45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0545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0545B"/>
  </w:style>
  <w:style w:type="character" w:customStyle="1" w:styleId="a6">
    <w:name w:val="註解文字 字元"/>
    <w:basedOn w:val="a0"/>
    <w:link w:val="a5"/>
    <w:uiPriority w:val="99"/>
    <w:semiHidden/>
    <w:rsid w:val="0020545B"/>
  </w:style>
  <w:style w:type="paragraph" w:styleId="a7">
    <w:name w:val="annotation subject"/>
    <w:basedOn w:val="a5"/>
    <w:next w:val="a5"/>
    <w:link w:val="a8"/>
    <w:uiPriority w:val="99"/>
    <w:semiHidden/>
    <w:unhideWhenUsed/>
    <w:rsid w:val="0020545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0545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054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054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2016-10-10T12:50:00Z</dcterms:created>
  <dcterms:modified xsi:type="dcterms:W3CDTF">2016-10-10T13:43:00Z</dcterms:modified>
</cp:coreProperties>
</file>