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7B2D" w14:textId="379D4296" w:rsidR="00324308" w:rsidRPr="00AB6553" w:rsidRDefault="00000000">
      <w:pPr>
        <w:spacing w:after="200"/>
        <w:jc w:val="center"/>
        <w:rPr>
          <w:rFonts w:hint="eastAsia"/>
          <w:sz w:val="16"/>
          <w:szCs w:val="16"/>
        </w:rPr>
      </w:pPr>
      <w:r w:rsidRPr="00AB6553">
        <w:rPr>
          <w:rFonts w:ascii="黑体" w:eastAsia="黑体" w:hAnsi="黑体" w:cs="黑体"/>
          <w:b/>
          <w:bCs/>
          <w:sz w:val="40"/>
          <w:szCs w:val="40"/>
        </w:rPr>
        <w:t>王</w:t>
      </w:r>
      <w:r w:rsidR="00AB6553">
        <w:rPr>
          <w:rFonts w:ascii="黑体" w:eastAsia="黑体" w:hAnsi="黑体" w:cs="黑体" w:hint="eastAsia"/>
          <w:b/>
          <w:bCs/>
          <w:sz w:val="40"/>
          <w:szCs w:val="40"/>
        </w:rPr>
        <w:t>四</w:t>
      </w:r>
    </w:p>
    <w:p w14:paraId="35AD60E3" w14:textId="77777777" w:rsidR="00324308" w:rsidRDefault="00000000">
      <w:pPr>
        <w:spacing w:after="200"/>
        <w:rPr>
          <w:rFonts w:hint="eastAsia"/>
        </w:rPr>
      </w:pPr>
      <w:r>
        <w:t>电话：138-3344-5566   |   邮箱：wangsiyuan@example.com</w:t>
      </w:r>
    </w:p>
    <w:p w14:paraId="576AC1E6" w14:textId="77777777" w:rsidR="00324308" w:rsidRPr="00AB6553" w:rsidRDefault="00000000">
      <w:pPr>
        <w:spacing w:before="240" w:after="120"/>
        <w:rPr>
          <w:rFonts w:hint="eastAsia"/>
          <w:sz w:val="21"/>
          <w:szCs w:val="21"/>
        </w:rPr>
      </w:pPr>
      <w:r w:rsidRPr="00AB6553">
        <w:rPr>
          <w:rFonts w:ascii="黑体" w:eastAsia="黑体" w:hAnsi="黑体" w:cs="黑体"/>
          <w:b/>
          <w:bCs/>
          <w:sz w:val="28"/>
          <w:szCs w:val="28"/>
        </w:rPr>
        <w:t>教育背景</w:t>
      </w:r>
    </w:p>
    <w:p w14:paraId="359D81CD" w14:textId="77777777" w:rsidR="00324308" w:rsidRDefault="00000000">
      <w:pPr>
        <w:spacing w:after="40"/>
        <w:ind w:left="240"/>
        <w:rPr>
          <w:rFonts w:hint="eastAsia"/>
        </w:rPr>
      </w:pPr>
      <w:r>
        <w:t>上海交通大学 | 金融学（金融工程方向）· 本科 | 2015-09 ~ 2019-07</w:t>
      </w:r>
    </w:p>
    <w:p w14:paraId="768968DD" w14:textId="77777777" w:rsidR="00324308" w:rsidRDefault="00000000">
      <w:pPr>
        <w:spacing w:after="40"/>
        <w:ind w:left="480"/>
        <w:rPr>
          <w:rFonts w:hint="eastAsia"/>
        </w:rPr>
      </w:pPr>
      <w:r>
        <w:t>· 主修课程：宏观经济学、微观经济学、计量经济学、金融工程、公司金融、投资学、衍生品定价、随机过程</w:t>
      </w:r>
    </w:p>
    <w:p w14:paraId="1088ECDC" w14:textId="77777777" w:rsidR="00324308" w:rsidRDefault="00000000">
      <w:pPr>
        <w:spacing w:after="40"/>
        <w:ind w:left="240"/>
        <w:rPr>
          <w:rFonts w:hint="eastAsia"/>
        </w:rPr>
      </w:pPr>
      <w:r>
        <w:t>上海交通大学 | 金融工程 · 硕士（保研）| 2019-09 ~ 2021-07</w:t>
      </w:r>
    </w:p>
    <w:p w14:paraId="6FF37016" w14:textId="77777777" w:rsidR="00324308" w:rsidRDefault="00000000">
      <w:pPr>
        <w:spacing w:after="40"/>
        <w:ind w:left="480"/>
        <w:rPr>
          <w:rFonts w:hint="eastAsia"/>
        </w:rPr>
      </w:pPr>
      <w:r>
        <w:t>· 研究方向：量化选股与因子模型，硕士论文《基于多因子模型的 A 股行业轮动策略研究》获评校级优秀</w:t>
      </w:r>
    </w:p>
    <w:p w14:paraId="691FF6B9" w14:textId="77777777" w:rsidR="00324308" w:rsidRDefault="00000000">
      <w:pPr>
        <w:spacing w:after="40"/>
        <w:ind w:left="480"/>
        <w:rPr>
          <w:rFonts w:hint="eastAsia"/>
        </w:rPr>
      </w:pPr>
      <w:r>
        <w:t>· 学术成果：以第一作者在《系统工程》发表论文 1 篇（CSCD 核心），获 2020 年中金所杯全国大学生金融衍生品竞赛二等奖</w:t>
      </w:r>
    </w:p>
    <w:p w14:paraId="0A49056E" w14:textId="77777777" w:rsidR="00324308" w:rsidRPr="00AB6553" w:rsidRDefault="00000000">
      <w:pPr>
        <w:spacing w:before="240" w:after="120"/>
        <w:rPr>
          <w:rFonts w:hint="eastAsia"/>
          <w:sz w:val="21"/>
          <w:szCs w:val="21"/>
        </w:rPr>
      </w:pPr>
      <w:r w:rsidRPr="00AB6553">
        <w:rPr>
          <w:rFonts w:ascii="黑体" w:eastAsia="黑体" w:hAnsi="黑体" w:cs="黑体"/>
          <w:b/>
          <w:bCs/>
          <w:sz w:val="28"/>
          <w:szCs w:val="28"/>
        </w:rPr>
        <w:t>工作经历</w:t>
      </w:r>
    </w:p>
    <w:p w14:paraId="2E6207DB" w14:textId="77777777" w:rsidR="00324308" w:rsidRDefault="00000000">
      <w:pPr>
        <w:spacing w:after="40"/>
        <w:ind w:left="240"/>
        <w:rPr>
          <w:rFonts w:hint="eastAsia"/>
        </w:rPr>
      </w:pPr>
      <w:r>
        <w:t>中信证券股份有限公司  |  研究部 · 行业研究员（实习） |  2020-09 ~ 2021-06</w:t>
      </w:r>
    </w:p>
    <w:p w14:paraId="01D42D8F" w14:textId="77777777" w:rsidR="00324308" w:rsidRDefault="00000000">
      <w:pPr>
        <w:spacing w:after="40"/>
        <w:ind w:left="480"/>
        <w:rPr>
          <w:rFonts w:hint="eastAsia"/>
        </w:rPr>
      </w:pPr>
      <w:r>
        <w:t>· 覆盖消费板块 8 家上市公司，跟踪季度业绩与估值变化，独立完成 2 篇深度行业报告</w:t>
      </w:r>
    </w:p>
    <w:p w14:paraId="43E487FD" w14:textId="77777777" w:rsidR="00324308" w:rsidRDefault="00000000">
      <w:pPr>
        <w:spacing w:after="40"/>
        <w:ind w:left="480"/>
        <w:rPr>
          <w:rFonts w:hint="eastAsia"/>
        </w:rPr>
      </w:pPr>
      <w:r>
        <w:t>· 搭建消费行业景气度数据库（Python + MySQL），协助正式员工梳理 30+ 关键指标</w:t>
      </w:r>
    </w:p>
    <w:p w14:paraId="3141C1DD" w14:textId="77777777" w:rsidR="00324308" w:rsidRDefault="00000000">
      <w:pPr>
        <w:spacing w:after="40"/>
        <w:ind w:left="240"/>
        <w:rPr>
          <w:rFonts w:hint="eastAsia"/>
        </w:rPr>
      </w:pPr>
      <w:r>
        <w:t>易方达基金管理有限公司  |  研究发展部 · 助理研究员 |  2021-07 ~ 2022-12</w:t>
      </w:r>
    </w:p>
    <w:p w14:paraId="42B71AAB" w14:textId="77777777" w:rsidR="00324308" w:rsidRDefault="00000000">
      <w:pPr>
        <w:spacing w:after="40"/>
        <w:ind w:left="480"/>
        <w:rPr>
          <w:rFonts w:hint="eastAsia"/>
        </w:rPr>
      </w:pPr>
      <w:r>
        <w:t>· 负责消费板块中 3 只重仓股的深度跟踪，每周输出 1 篇周报，被基金经理采纳 12 次</w:t>
      </w:r>
    </w:p>
    <w:p w14:paraId="0586F4BB" w14:textId="77777777" w:rsidR="00324308" w:rsidRDefault="00000000">
      <w:pPr>
        <w:spacing w:after="40"/>
        <w:ind w:left="480"/>
        <w:rPr>
          <w:rFonts w:hint="eastAsia"/>
        </w:rPr>
      </w:pPr>
      <w:r>
        <w:t>· 参与公司"行业比较"框架迭代：搭建 12 个行业的多因子打分模型，月度输出 IC 排序</w:t>
      </w:r>
    </w:p>
    <w:p w14:paraId="25675EE9" w14:textId="77777777" w:rsidR="00324308" w:rsidRDefault="00000000">
      <w:pPr>
        <w:spacing w:after="40"/>
        <w:ind w:left="480"/>
        <w:rPr>
          <w:rFonts w:hint="eastAsia"/>
        </w:rPr>
      </w:pPr>
      <w:r>
        <w:t>· 2022 年所在小组推荐组合相对沪深 300 超额收益 +11.4%</w:t>
      </w:r>
    </w:p>
    <w:p w14:paraId="09B0D43C" w14:textId="77777777" w:rsidR="00324308" w:rsidRDefault="00000000">
      <w:pPr>
        <w:spacing w:after="40"/>
        <w:ind w:left="240"/>
        <w:rPr>
          <w:rFonts w:hint="eastAsia"/>
        </w:rPr>
      </w:pPr>
      <w:r>
        <w:t>易方达基金管理有限公司  |  研究发展部 · 研究员（独立推荐） |  2023-01 ~ 至今</w:t>
      </w:r>
    </w:p>
    <w:p w14:paraId="5FCAAF20" w14:textId="77777777" w:rsidR="00324308" w:rsidRDefault="00000000">
      <w:pPr>
        <w:spacing w:after="40"/>
        <w:ind w:left="480"/>
        <w:rPr>
          <w:rFonts w:hint="eastAsia"/>
        </w:rPr>
      </w:pPr>
      <w:r>
        <w:t>· 独立覆盖高端制造与新材料 2 个细分赛道，覆盖 5 家上市公司，撰写首次覆盖报告 3 篇</w:t>
      </w:r>
    </w:p>
    <w:p w14:paraId="7DAD5AB4" w14:textId="77777777" w:rsidR="00324308" w:rsidRDefault="00000000">
      <w:pPr>
        <w:spacing w:after="40"/>
        <w:ind w:left="480"/>
        <w:rPr>
          <w:rFonts w:hint="eastAsia"/>
        </w:rPr>
      </w:pPr>
      <w:r>
        <w:t>· 主导 1 只 5 亿规模 ETF 的成分股筛选与权重优化建议，半年度调样贡献 67bps 超额</w:t>
      </w:r>
    </w:p>
    <w:p w14:paraId="7E7DA3CC" w14:textId="77777777" w:rsidR="00324308" w:rsidRDefault="00000000">
      <w:pPr>
        <w:spacing w:after="40"/>
        <w:ind w:left="480"/>
        <w:rPr>
          <w:rFonts w:hint="eastAsia"/>
        </w:rPr>
      </w:pPr>
      <w:r>
        <w:t>· 配合基金经理完成 4 次实地调研，整理纪要 30+ 份</w:t>
      </w:r>
    </w:p>
    <w:p w14:paraId="3501C56B" w14:textId="77777777" w:rsidR="00324308" w:rsidRPr="00AB6553" w:rsidRDefault="00000000">
      <w:pPr>
        <w:spacing w:before="240" w:after="120"/>
        <w:rPr>
          <w:rFonts w:hint="eastAsia"/>
          <w:sz w:val="21"/>
          <w:szCs w:val="21"/>
        </w:rPr>
      </w:pPr>
      <w:r w:rsidRPr="00AB6553">
        <w:rPr>
          <w:rFonts w:ascii="黑体" w:eastAsia="黑体" w:hAnsi="黑体" w:cs="黑体"/>
          <w:b/>
          <w:bCs/>
          <w:sz w:val="28"/>
          <w:szCs w:val="28"/>
        </w:rPr>
        <w:t>项目经历</w:t>
      </w:r>
    </w:p>
    <w:p w14:paraId="1FFF5A89" w14:textId="77777777" w:rsidR="00324308" w:rsidRDefault="00000000">
      <w:pPr>
        <w:spacing w:after="40"/>
        <w:ind w:left="240"/>
        <w:rPr>
          <w:rFonts w:hint="eastAsia"/>
        </w:rPr>
      </w:pPr>
      <w:r>
        <w:t>消费行业多因子选股模型  |  主研 |  2022-03 ~ 2022-12</w:t>
      </w:r>
    </w:p>
    <w:p w14:paraId="22410A3F" w14:textId="77777777" w:rsidR="00324308" w:rsidRDefault="00000000">
      <w:pPr>
        <w:spacing w:after="40"/>
        <w:ind w:left="480"/>
        <w:rPr>
          <w:rFonts w:hint="eastAsia"/>
        </w:rPr>
      </w:pPr>
      <w:r>
        <w:t>· 基于 barra 风险因子 + 9 个价值/质量/成长增强因子，构建 A 股消费行业打分模型</w:t>
      </w:r>
    </w:p>
    <w:p w14:paraId="3432C983" w14:textId="77777777" w:rsidR="00324308" w:rsidRDefault="00000000">
      <w:pPr>
        <w:spacing w:after="40"/>
        <w:ind w:left="480"/>
        <w:rPr>
          <w:rFonts w:hint="eastAsia"/>
        </w:rPr>
      </w:pPr>
      <w:r>
        <w:t>· 历史回测（2015-2022）相对中证消费指数年化超额 9.8%，信息比 1.42；模型稳定通过稳健性检验</w:t>
      </w:r>
    </w:p>
    <w:p w14:paraId="1B696A07" w14:textId="77777777" w:rsidR="00324308" w:rsidRDefault="00000000">
      <w:pPr>
        <w:spacing w:after="40"/>
        <w:ind w:left="240"/>
        <w:rPr>
          <w:rFonts w:hint="eastAsia"/>
        </w:rPr>
      </w:pPr>
      <w:r>
        <w:t>量化指数增强策略  |  主研 |  2023-06 ~ 2023-12</w:t>
      </w:r>
    </w:p>
    <w:p w14:paraId="3615544D" w14:textId="77777777" w:rsidR="00324308" w:rsidRDefault="00000000">
      <w:pPr>
        <w:spacing w:after="40"/>
        <w:ind w:left="480"/>
        <w:rPr>
          <w:rFonts w:hint="eastAsia"/>
        </w:rPr>
      </w:pPr>
      <w:r>
        <w:t xml:space="preserve">· 基于机器学习（Lasso + </w:t>
      </w:r>
      <w:proofErr w:type="spellStart"/>
      <w:r>
        <w:t>LightGBM</w:t>
      </w:r>
      <w:proofErr w:type="spellEnd"/>
      <w:r>
        <w:t>）构建沪深 300 增强策略，月度调仓</w:t>
      </w:r>
    </w:p>
    <w:p w14:paraId="6B4FEBEE" w14:textId="77777777" w:rsidR="00324308" w:rsidRDefault="00000000">
      <w:pPr>
        <w:spacing w:after="40"/>
        <w:ind w:left="480"/>
        <w:rPr>
          <w:rFonts w:hint="eastAsia"/>
        </w:rPr>
      </w:pPr>
      <w:r>
        <w:t>· 实盘跟踪 6 个月：年化超额 8.2%，最大回撤 -4.1%，相对中证 800 信息比 1.8</w:t>
      </w:r>
    </w:p>
    <w:p w14:paraId="741B011E" w14:textId="77777777" w:rsidR="00324308" w:rsidRDefault="00000000">
      <w:pPr>
        <w:spacing w:after="40"/>
        <w:ind w:left="240"/>
        <w:rPr>
          <w:rFonts w:hint="eastAsia"/>
        </w:rPr>
      </w:pPr>
      <w:r>
        <w:t>新材料行业 1 万字深度研究  |  主笔 |  2023-09</w:t>
      </w:r>
    </w:p>
    <w:p w14:paraId="4B06DF3F" w14:textId="77777777" w:rsidR="00324308" w:rsidRDefault="00000000">
      <w:pPr>
        <w:spacing w:after="40"/>
        <w:ind w:left="480"/>
        <w:rPr>
          <w:rFonts w:hint="eastAsia"/>
        </w:rPr>
      </w:pPr>
      <w:r>
        <w:t>· 实地走访 5 家上市公司、2 家行业专家，梳理碳纤维产业链上下游 20+ 环节</w:t>
      </w:r>
    </w:p>
    <w:p w14:paraId="61AF5DC2" w14:textId="77777777" w:rsidR="00324308" w:rsidRDefault="00000000">
      <w:pPr>
        <w:spacing w:after="40"/>
        <w:ind w:left="480"/>
        <w:rPr>
          <w:rFonts w:hint="eastAsia"/>
        </w:rPr>
      </w:pPr>
      <w:r>
        <w:lastRenderedPageBreak/>
        <w:t>· 报告被研究部总监评级 A，并被纳入 2024 年度策略会主题</w:t>
      </w:r>
    </w:p>
    <w:p w14:paraId="1FACCE92" w14:textId="77777777" w:rsidR="00324308" w:rsidRDefault="00000000">
      <w:pPr>
        <w:spacing w:before="240" w:after="120"/>
        <w:rPr>
          <w:rFonts w:hint="eastAsia"/>
        </w:rPr>
      </w:pPr>
      <w:r>
        <w:rPr>
          <w:rFonts w:ascii="黑体" w:eastAsia="黑体" w:hAnsi="黑体" w:cs="黑体"/>
          <w:b/>
          <w:bCs/>
          <w:sz w:val="32"/>
          <w:szCs w:val="32"/>
        </w:rPr>
        <w:t>技能清单</w:t>
      </w:r>
    </w:p>
    <w:p w14:paraId="437D6A84" w14:textId="77777777" w:rsidR="00324308" w:rsidRDefault="00000000">
      <w:pPr>
        <w:spacing w:after="40"/>
        <w:rPr>
          <w:rFonts w:hint="eastAsia"/>
        </w:rPr>
      </w:pPr>
      <w:r>
        <w:t xml:space="preserve">数据 / 编程：Python（pandas / </w:t>
      </w:r>
      <w:proofErr w:type="spellStart"/>
      <w:r>
        <w:t>numpy</w:t>
      </w:r>
      <w:proofErr w:type="spellEnd"/>
      <w:r>
        <w:t xml:space="preserve"> / scikit-learn / </w:t>
      </w:r>
      <w:proofErr w:type="spellStart"/>
      <w:r>
        <w:t>statsmodels</w:t>
      </w:r>
      <w:proofErr w:type="spellEnd"/>
      <w:r>
        <w:t>） · SQL（MySQL / Hive） · R · MATLAB</w:t>
      </w:r>
    </w:p>
    <w:p w14:paraId="3D6C1BA0" w14:textId="77777777" w:rsidR="00324308" w:rsidRDefault="00000000">
      <w:pPr>
        <w:spacing w:after="40"/>
        <w:rPr>
          <w:rFonts w:hint="eastAsia"/>
        </w:rPr>
      </w:pPr>
      <w:r>
        <w:t>金融建模：多因子模型（barra / Fama-French） · 衍生品定价（Black-Scholes / 蒙特卡洛） · 行业比较框架</w:t>
      </w:r>
    </w:p>
    <w:p w14:paraId="776CA283" w14:textId="77777777" w:rsidR="00324308" w:rsidRDefault="00000000">
      <w:pPr>
        <w:spacing w:after="40"/>
        <w:rPr>
          <w:rFonts w:hint="eastAsia"/>
        </w:rPr>
      </w:pPr>
      <w:r>
        <w:t xml:space="preserve">工具 / 平台：Wind · 同花顺 </w:t>
      </w:r>
      <w:proofErr w:type="spellStart"/>
      <w:r>
        <w:t>iFinD</w:t>
      </w:r>
      <w:proofErr w:type="spellEnd"/>
      <w:r>
        <w:t xml:space="preserve"> · 聚宽 </w:t>
      </w:r>
      <w:proofErr w:type="spellStart"/>
      <w:r>
        <w:t>JoinQuant</w:t>
      </w:r>
      <w:proofErr w:type="spellEnd"/>
      <w:r>
        <w:t xml:space="preserve"> · 米筐 </w:t>
      </w:r>
      <w:proofErr w:type="spellStart"/>
      <w:r>
        <w:t>RiceQuant</w:t>
      </w:r>
      <w:proofErr w:type="spellEnd"/>
      <w:r>
        <w:t xml:space="preserve"> · 彭博 Bloomberg（初级）</w:t>
      </w:r>
    </w:p>
    <w:p w14:paraId="1DA3702E" w14:textId="77777777" w:rsidR="00324308" w:rsidRDefault="00000000">
      <w:pPr>
        <w:spacing w:after="40"/>
        <w:rPr>
          <w:rFonts w:hint="eastAsia"/>
        </w:rPr>
      </w:pPr>
      <w:r>
        <w:t>语言：英语（CET-6 580 分，能流利阅读英文研报） · 普通话（母语）</w:t>
      </w:r>
    </w:p>
    <w:p w14:paraId="22136077" w14:textId="77777777" w:rsidR="00324308" w:rsidRDefault="00000000">
      <w:pPr>
        <w:spacing w:after="40"/>
        <w:rPr>
          <w:rFonts w:hint="eastAsia"/>
        </w:rPr>
      </w:pPr>
      <w:r>
        <w:t>证书：CFA Level II 通过（待考 Level III） · 证券从业资格 · 基金从业资格</w:t>
      </w:r>
    </w:p>
    <w:p w14:paraId="5C688135" w14:textId="77777777" w:rsidR="00324308" w:rsidRDefault="00000000">
      <w:pPr>
        <w:spacing w:before="240" w:after="120"/>
        <w:rPr>
          <w:rFonts w:hint="eastAsia"/>
        </w:rPr>
      </w:pPr>
      <w:r>
        <w:rPr>
          <w:rFonts w:ascii="黑体" w:eastAsia="黑体" w:hAnsi="黑体" w:cs="黑体"/>
          <w:b/>
          <w:bCs/>
          <w:sz w:val="32"/>
          <w:szCs w:val="32"/>
        </w:rPr>
        <w:t>自我评价</w:t>
      </w:r>
    </w:p>
    <w:p w14:paraId="3031AF23" w14:textId="77777777" w:rsidR="00324308" w:rsidRDefault="00000000">
      <w:pPr>
        <w:spacing w:after="60"/>
        <w:rPr>
          <w:rFonts w:hint="eastAsia"/>
        </w:rPr>
      </w:pPr>
      <w:r>
        <w:t>5 年证券/基金行业研究经验，专注消费与高端制造赛道。具备扎实的财务分析功底与量化建模能力，熟练使用 Python / SQL / 多因子框架完成行业比较与组合优化。性格沉稳、注重细节，习惯以数据与逻辑支撑投资判断，能够在高强度工作节奏下持续输出高质量研究成果。</w:t>
      </w:r>
    </w:p>
    <w:sectPr w:rsidR="003243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E3655"/>
    <w:multiLevelType w:val="hybridMultilevel"/>
    <w:tmpl w:val="2FB2108E"/>
    <w:lvl w:ilvl="0" w:tplc="8A22D556">
      <w:start w:val="1"/>
      <w:numFmt w:val="bullet"/>
      <w:lvlText w:val="●"/>
      <w:lvlJc w:val="left"/>
      <w:pPr>
        <w:ind w:left="720" w:hanging="360"/>
      </w:pPr>
    </w:lvl>
    <w:lvl w:ilvl="1" w:tplc="E902A240">
      <w:start w:val="1"/>
      <w:numFmt w:val="bullet"/>
      <w:lvlText w:val="○"/>
      <w:lvlJc w:val="left"/>
      <w:pPr>
        <w:ind w:left="1440" w:hanging="360"/>
      </w:pPr>
    </w:lvl>
    <w:lvl w:ilvl="2" w:tplc="F4D8AD6C">
      <w:start w:val="1"/>
      <w:numFmt w:val="bullet"/>
      <w:lvlText w:val="■"/>
      <w:lvlJc w:val="left"/>
      <w:pPr>
        <w:ind w:left="2160" w:hanging="360"/>
      </w:pPr>
    </w:lvl>
    <w:lvl w:ilvl="3" w:tplc="A4E092B2">
      <w:start w:val="1"/>
      <w:numFmt w:val="bullet"/>
      <w:lvlText w:val="●"/>
      <w:lvlJc w:val="left"/>
      <w:pPr>
        <w:ind w:left="2880" w:hanging="360"/>
      </w:pPr>
    </w:lvl>
    <w:lvl w:ilvl="4" w:tplc="21180380">
      <w:start w:val="1"/>
      <w:numFmt w:val="bullet"/>
      <w:lvlText w:val="○"/>
      <w:lvlJc w:val="left"/>
      <w:pPr>
        <w:ind w:left="3600" w:hanging="360"/>
      </w:pPr>
    </w:lvl>
    <w:lvl w:ilvl="5" w:tplc="99CCB4A8">
      <w:start w:val="1"/>
      <w:numFmt w:val="bullet"/>
      <w:lvlText w:val="■"/>
      <w:lvlJc w:val="left"/>
      <w:pPr>
        <w:ind w:left="4320" w:hanging="360"/>
      </w:pPr>
    </w:lvl>
    <w:lvl w:ilvl="6" w:tplc="212E5050">
      <w:start w:val="1"/>
      <w:numFmt w:val="bullet"/>
      <w:lvlText w:val="●"/>
      <w:lvlJc w:val="left"/>
      <w:pPr>
        <w:ind w:left="5040" w:hanging="360"/>
      </w:pPr>
    </w:lvl>
    <w:lvl w:ilvl="7" w:tplc="6174FE26">
      <w:start w:val="1"/>
      <w:numFmt w:val="bullet"/>
      <w:lvlText w:val="●"/>
      <w:lvlJc w:val="left"/>
      <w:pPr>
        <w:ind w:left="5760" w:hanging="360"/>
      </w:pPr>
    </w:lvl>
    <w:lvl w:ilvl="8" w:tplc="AB3CB168">
      <w:start w:val="1"/>
      <w:numFmt w:val="bullet"/>
      <w:lvlText w:val="●"/>
      <w:lvlJc w:val="left"/>
      <w:pPr>
        <w:ind w:left="6480" w:hanging="360"/>
      </w:pPr>
    </w:lvl>
  </w:abstractNum>
  <w:num w:numId="1" w16cid:durableId="697508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308"/>
    <w:rsid w:val="00324308"/>
    <w:rsid w:val="00AB6553"/>
    <w:rsid w:val="00E2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8910D"/>
  <w15:docId w15:val="{EAA254F3-9500-4BD5-968A-67B43F41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Ziwen Yang</cp:lastModifiedBy>
  <cp:revision>2</cp:revision>
  <dcterms:created xsi:type="dcterms:W3CDTF">2026-10-08T17:18:00Z</dcterms:created>
  <dcterms:modified xsi:type="dcterms:W3CDTF">2026-10-08T17:20:00Z</dcterms:modified>
</cp:coreProperties>
</file>