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C32A" w14:textId="7D14EE11" w:rsidR="00E54B2A" w:rsidRPr="00B1695C" w:rsidRDefault="00965288" w:rsidP="00E54B2A">
      <w:pPr>
        <w:ind w:left="720" w:hanging="360"/>
        <w:rPr>
          <w:rFonts w:ascii="Arial" w:hAnsi="Arial" w:cs="Arial"/>
          <w:sz w:val="24"/>
          <w:szCs w:val="24"/>
        </w:rPr>
      </w:pPr>
      <w:r w:rsidRPr="00B1695C">
        <w:rPr>
          <w:rFonts w:ascii="Arial" w:hAnsi="Arial" w:cs="Arial"/>
          <w:sz w:val="24"/>
          <w:szCs w:val="24"/>
        </w:rPr>
        <w:t>Key words</w:t>
      </w:r>
      <w:r w:rsidR="00E54B2A" w:rsidRPr="00B1695C">
        <w:rPr>
          <w:rFonts w:ascii="Arial" w:hAnsi="Arial" w:cs="Arial"/>
          <w:sz w:val="24"/>
          <w:szCs w:val="24"/>
        </w:rPr>
        <w:t>:</w:t>
      </w:r>
    </w:p>
    <w:p w14:paraId="0E4EBB40" w14:textId="5682A514" w:rsidR="00965288" w:rsidRPr="00B1695C" w:rsidRDefault="00965288" w:rsidP="00965288">
      <w:pPr>
        <w:ind w:left="720" w:hanging="360"/>
        <w:rPr>
          <w:rFonts w:ascii="Arial" w:hAnsi="Arial" w:cs="Arial"/>
          <w:sz w:val="24"/>
          <w:szCs w:val="24"/>
        </w:rPr>
      </w:pPr>
      <w:r w:rsidRPr="00B1695C">
        <w:rPr>
          <w:rFonts w:ascii="Arial" w:hAnsi="Arial" w:cs="Arial"/>
          <w:sz w:val="24"/>
          <w:szCs w:val="24"/>
        </w:rPr>
        <w:t>commitments to the CRP</w:t>
      </w:r>
      <w:r w:rsidRPr="00B1695C">
        <w:rPr>
          <w:rFonts w:ascii="Arial" w:hAnsi="Arial" w:cs="Arial"/>
          <w:sz w:val="24"/>
          <w:szCs w:val="24"/>
        </w:rPr>
        <w:t xml:space="preserve">D, </w:t>
      </w:r>
      <w:r w:rsidRPr="00B1695C">
        <w:rPr>
          <w:rFonts w:ascii="Arial" w:hAnsi="Arial" w:cs="Arial"/>
          <w:sz w:val="24"/>
          <w:szCs w:val="24"/>
        </w:rPr>
        <w:t>quality of life</w:t>
      </w:r>
      <w:r w:rsidR="000D66C2" w:rsidRPr="00B1695C">
        <w:rPr>
          <w:rFonts w:ascii="Arial" w:hAnsi="Arial" w:cs="Arial"/>
          <w:sz w:val="24"/>
          <w:szCs w:val="24"/>
        </w:rPr>
        <w:t xml:space="preserve"> of </w:t>
      </w:r>
      <w:r w:rsidR="000D66C2" w:rsidRPr="00B1695C">
        <w:rPr>
          <w:rFonts w:ascii="Arial" w:hAnsi="Arial" w:cs="Arial"/>
          <w:sz w:val="24"/>
          <w:szCs w:val="24"/>
        </w:rPr>
        <w:t>citizens with disabilities</w:t>
      </w:r>
      <w:r w:rsidRPr="00B1695C">
        <w:rPr>
          <w:rFonts w:ascii="Arial" w:hAnsi="Arial" w:cs="Arial"/>
          <w:sz w:val="24"/>
          <w:szCs w:val="24"/>
        </w:rPr>
        <w:t>, relationship</w:t>
      </w:r>
      <w:r w:rsidR="00C62FA0" w:rsidRPr="00B1695C">
        <w:rPr>
          <w:rFonts w:ascii="Arial" w:hAnsi="Arial" w:cs="Arial"/>
          <w:sz w:val="24"/>
          <w:szCs w:val="24"/>
        </w:rPr>
        <w:t xml:space="preserve">, general </w:t>
      </w:r>
      <w:r w:rsidR="00C62FA0" w:rsidRPr="00B1695C">
        <w:rPr>
          <w:rFonts w:ascii="Arial" w:hAnsi="Arial" w:cs="Arial"/>
          <w:sz w:val="24"/>
          <w:szCs w:val="24"/>
        </w:rPr>
        <w:t>QOL indicator</w:t>
      </w:r>
      <w:r w:rsidR="00C62FA0" w:rsidRPr="00B1695C">
        <w:rPr>
          <w:rFonts w:ascii="Arial" w:hAnsi="Arial" w:cs="Arial"/>
          <w:sz w:val="24"/>
          <w:szCs w:val="24"/>
        </w:rPr>
        <w:t xml:space="preserve">s, </w:t>
      </w:r>
      <w:r w:rsidR="00C62FA0" w:rsidRPr="00B1695C">
        <w:rPr>
          <w:rFonts w:ascii="Arial" w:hAnsi="Arial" w:cs="Arial"/>
          <w:sz w:val="24"/>
          <w:szCs w:val="24"/>
        </w:rPr>
        <w:t>disability specific QOL indicator</w:t>
      </w:r>
      <w:r w:rsidR="00C62FA0" w:rsidRPr="00B1695C">
        <w:rPr>
          <w:rFonts w:ascii="Arial" w:hAnsi="Arial" w:cs="Arial"/>
          <w:sz w:val="24"/>
          <w:szCs w:val="24"/>
        </w:rPr>
        <w:t xml:space="preserve">, correlation, </w:t>
      </w:r>
    </w:p>
    <w:p w14:paraId="145A8B32" w14:textId="77777777" w:rsidR="00E54B2A" w:rsidRPr="00B1695C" w:rsidRDefault="00E54B2A" w:rsidP="00965288">
      <w:pPr>
        <w:ind w:left="720" w:hanging="360"/>
        <w:rPr>
          <w:rFonts w:ascii="Arial" w:hAnsi="Arial" w:cs="Arial"/>
          <w:sz w:val="24"/>
          <w:szCs w:val="24"/>
        </w:rPr>
      </w:pPr>
    </w:p>
    <w:p w14:paraId="79DED097" w14:textId="19E9BCEC" w:rsidR="00E54B2A" w:rsidRPr="00B1695C" w:rsidRDefault="00E54B2A" w:rsidP="00965288">
      <w:pPr>
        <w:ind w:left="720" w:hanging="360"/>
        <w:rPr>
          <w:rFonts w:ascii="Arial" w:hAnsi="Arial" w:cs="Arial"/>
          <w:sz w:val="24"/>
          <w:szCs w:val="24"/>
        </w:rPr>
      </w:pPr>
      <w:r w:rsidRPr="00B1695C">
        <w:rPr>
          <w:rFonts w:ascii="Arial" w:hAnsi="Arial" w:cs="Arial"/>
          <w:sz w:val="24"/>
          <w:szCs w:val="24"/>
        </w:rPr>
        <w:t>Key paragraphs:</w:t>
      </w:r>
    </w:p>
    <w:p w14:paraId="4884338A" w14:textId="63103343" w:rsidR="00E54B2A" w:rsidRPr="00B1695C" w:rsidRDefault="00E54B2A" w:rsidP="00E54B2A">
      <w:pPr>
        <w:rPr>
          <w:rFonts w:ascii="Arial" w:hAnsi="Arial" w:cs="Arial"/>
          <w:sz w:val="24"/>
          <w:szCs w:val="24"/>
        </w:rPr>
      </w:pPr>
      <w:r w:rsidRPr="00B1695C">
        <w:rPr>
          <w:rFonts w:ascii="Arial" w:hAnsi="Arial" w:cs="Arial"/>
          <w:sz w:val="24"/>
          <w:szCs w:val="24"/>
        </w:rPr>
        <w:t xml:space="preserve"> </w:t>
      </w:r>
      <w:r w:rsidRPr="00B1695C">
        <w:rPr>
          <w:rFonts w:ascii="Arial" w:hAnsi="Arial" w:cs="Arial"/>
          <w:sz w:val="24"/>
          <w:szCs w:val="24"/>
        </w:rPr>
        <w:t>individuals with disabilities from countries who have made a weaker commitment to the CRPD (i.e., signed convention) should predictably have a lower quality of life than individuals with disabilities from countries that have made stronger or the strongest commitment to the CRPD (i.e., ratified convention &amp; protocol).</w:t>
      </w:r>
    </w:p>
    <w:p w14:paraId="3E2F696F" w14:textId="77777777" w:rsidR="00E54B2A" w:rsidRPr="00B1695C" w:rsidRDefault="00E54B2A" w:rsidP="00E54B2A">
      <w:pPr>
        <w:rPr>
          <w:rFonts w:ascii="Arial" w:hAnsi="Arial" w:cs="Arial"/>
          <w:sz w:val="24"/>
          <w:szCs w:val="24"/>
        </w:rPr>
      </w:pPr>
      <w:r w:rsidRPr="00B1695C">
        <w:rPr>
          <w:rFonts w:ascii="Arial" w:hAnsi="Arial" w:cs="Arial"/>
          <w:sz w:val="24"/>
          <w:szCs w:val="24"/>
        </w:rPr>
        <w:t>To see whether their relative quality of life reflects their country’s level of commitment to the CRPD, their scores for each QOL indicator would be compared to their country’s level of commitment to the CRPD to observe alignment.</w:t>
      </w:r>
    </w:p>
    <w:p w14:paraId="75EF7C8C" w14:textId="7F89F59A" w:rsidR="00AE0625" w:rsidRPr="00B1695C" w:rsidRDefault="00AE0625" w:rsidP="00E54B2A">
      <w:pPr>
        <w:rPr>
          <w:rFonts w:ascii="Arial" w:hAnsi="Arial" w:cs="Arial"/>
          <w:sz w:val="24"/>
          <w:szCs w:val="24"/>
        </w:rPr>
      </w:pPr>
      <w:r w:rsidRPr="00B1695C">
        <w:rPr>
          <w:rFonts w:ascii="Arial" w:hAnsi="Arial" w:cs="Arial"/>
          <w:sz w:val="24"/>
          <w:szCs w:val="24"/>
        </w:rPr>
        <w:t>Then, each QOL indicator would be inputted into a multiple linear regression model to confirm of the existence of a statistically significant relationship with the CRPD which would help with deciding whether this convention is truly meaningful.</w:t>
      </w:r>
    </w:p>
    <w:p w14:paraId="7CE5EFB3" w14:textId="3500A938" w:rsidR="00C62FA0" w:rsidRPr="00B1695C" w:rsidRDefault="00C62FA0" w:rsidP="00E54B2A">
      <w:pPr>
        <w:rPr>
          <w:rFonts w:ascii="Arial" w:hAnsi="Arial" w:cs="Arial"/>
          <w:sz w:val="24"/>
          <w:szCs w:val="24"/>
        </w:rPr>
      </w:pPr>
      <w:r w:rsidRPr="00B1695C">
        <w:rPr>
          <w:rFonts w:ascii="Arial" w:hAnsi="Arial" w:cs="Arial"/>
          <w:sz w:val="24"/>
          <w:szCs w:val="24"/>
        </w:rPr>
        <w:t>Thus, to ensure that a larger sample that is inclusive of individuals with disabilities from both OECD and non-OECD countries was available for use, general QOL indicator data was included in this paper as replacement</w:t>
      </w:r>
      <w:r w:rsidRPr="00B1695C">
        <w:rPr>
          <w:rFonts w:ascii="Arial" w:hAnsi="Arial" w:cs="Arial"/>
          <w:sz w:val="24"/>
          <w:szCs w:val="24"/>
        </w:rPr>
        <w:t xml:space="preserve">. </w:t>
      </w:r>
    </w:p>
    <w:p w14:paraId="324F0DE1" w14:textId="62A02A8C" w:rsidR="00C62FA0" w:rsidRPr="00B1695C" w:rsidRDefault="00C62FA0" w:rsidP="00E54B2A">
      <w:pPr>
        <w:rPr>
          <w:rFonts w:ascii="Arial" w:hAnsi="Arial" w:cs="Arial"/>
          <w:sz w:val="24"/>
          <w:szCs w:val="24"/>
        </w:rPr>
      </w:pPr>
      <w:r w:rsidRPr="00B1695C">
        <w:rPr>
          <w:rFonts w:ascii="Arial" w:hAnsi="Arial" w:cs="Arial"/>
          <w:sz w:val="24"/>
          <w:szCs w:val="24"/>
        </w:rPr>
        <w:t>Great efforts were put into collecting disability specific QOL indicator data, but just for a few individual countries rather than all countries endorsing the CRPD. These few countries were those whose majority of general QOL indicator scores appeared to align with/be reflective of their CRPD commitment level</w:t>
      </w:r>
      <w:r w:rsidR="004E6D02" w:rsidRPr="00B1695C">
        <w:rPr>
          <w:rFonts w:ascii="Arial" w:hAnsi="Arial" w:cs="Arial"/>
          <w:sz w:val="24"/>
          <w:szCs w:val="24"/>
        </w:rPr>
        <w:t>.</w:t>
      </w:r>
    </w:p>
    <w:p w14:paraId="02C90A64" w14:textId="788A12F7" w:rsidR="004E6D02" w:rsidRPr="00B1695C" w:rsidRDefault="004E6D02" w:rsidP="00E54B2A">
      <w:pPr>
        <w:rPr>
          <w:rFonts w:ascii="Arial" w:hAnsi="Arial" w:cs="Arial"/>
          <w:sz w:val="24"/>
          <w:szCs w:val="24"/>
        </w:rPr>
      </w:pPr>
      <w:r w:rsidRPr="00B1695C">
        <w:rPr>
          <w:rFonts w:ascii="Arial" w:hAnsi="Arial" w:cs="Arial"/>
          <w:sz w:val="24"/>
          <w:szCs w:val="24"/>
        </w:rPr>
        <w:t>An example of such a country is one that made the highest level of commitment (ratified the convention and optional protocol) and had the best scores for majority of general QOL indicators. Measures/scores for disability specific QOL indicators would then be searched for this country to see if they align with their measures/scores for the general QOL indicators</w:t>
      </w:r>
      <w:r w:rsidRPr="00B1695C">
        <w:rPr>
          <w:rFonts w:ascii="Arial" w:hAnsi="Arial" w:cs="Arial"/>
          <w:sz w:val="24"/>
          <w:szCs w:val="24"/>
        </w:rPr>
        <w:t>.</w:t>
      </w:r>
    </w:p>
    <w:p w14:paraId="0AF1AAA9" w14:textId="4CF41EA3" w:rsidR="004E6D02" w:rsidRPr="00B1695C" w:rsidRDefault="004E6D02" w:rsidP="00E54B2A">
      <w:pPr>
        <w:rPr>
          <w:rFonts w:ascii="Arial" w:hAnsi="Arial" w:cs="Arial"/>
          <w:sz w:val="24"/>
          <w:szCs w:val="24"/>
        </w:rPr>
      </w:pPr>
      <w:r w:rsidRPr="00B1695C">
        <w:rPr>
          <w:rFonts w:ascii="Arial" w:hAnsi="Arial" w:cs="Arial"/>
          <w:color w:val="FF0000"/>
          <w:sz w:val="24"/>
          <w:szCs w:val="24"/>
        </w:rPr>
        <w:t>histograms</w:t>
      </w:r>
      <w:r w:rsidRPr="00B1695C">
        <w:rPr>
          <w:rFonts w:ascii="Arial" w:hAnsi="Arial" w:cs="Arial"/>
          <w:sz w:val="24"/>
          <w:szCs w:val="24"/>
        </w:rPr>
        <w:t xml:space="preserve"> all </w:t>
      </w:r>
      <w:r w:rsidRPr="00B1695C">
        <w:rPr>
          <w:rFonts w:ascii="Arial" w:hAnsi="Arial" w:cs="Arial"/>
          <w:color w:val="FF0000"/>
          <w:sz w:val="24"/>
          <w:szCs w:val="24"/>
        </w:rPr>
        <w:t xml:space="preserve">general QOL indicator </w:t>
      </w:r>
      <w:r w:rsidRPr="00B1695C">
        <w:rPr>
          <w:rFonts w:ascii="Arial" w:hAnsi="Arial" w:cs="Arial"/>
          <w:sz w:val="24"/>
          <w:szCs w:val="24"/>
        </w:rPr>
        <w:t xml:space="preserve">data that was collected for </w:t>
      </w:r>
      <w:r w:rsidRPr="00B1695C">
        <w:rPr>
          <w:rFonts w:ascii="Arial" w:hAnsi="Arial" w:cs="Arial"/>
          <w:color w:val="FF0000"/>
          <w:sz w:val="24"/>
          <w:szCs w:val="24"/>
        </w:rPr>
        <w:t>our sample of countries</w:t>
      </w:r>
      <w:r w:rsidR="00F30D68" w:rsidRPr="00B1695C">
        <w:rPr>
          <w:rFonts w:ascii="Arial" w:hAnsi="Arial" w:cs="Arial"/>
          <w:sz w:val="24"/>
          <w:szCs w:val="24"/>
        </w:rPr>
        <w:t xml:space="preserve">. </w:t>
      </w:r>
      <w:r w:rsidR="00F30D68" w:rsidRPr="00B1695C">
        <w:rPr>
          <w:rFonts w:ascii="Arial" w:hAnsi="Arial" w:cs="Arial"/>
          <w:sz w:val="24"/>
          <w:szCs w:val="24"/>
        </w:rPr>
        <w:t>The data of each general QOL indicator will be discussed in the context of whether it reflects the level of commitment these countries made to the CRPD</w:t>
      </w:r>
      <w:r w:rsidR="00F30D68" w:rsidRPr="00B1695C">
        <w:rPr>
          <w:rFonts w:ascii="Arial" w:hAnsi="Arial" w:cs="Arial"/>
          <w:sz w:val="24"/>
          <w:szCs w:val="24"/>
        </w:rPr>
        <w:t>.</w:t>
      </w:r>
    </w:p>
    <w:p w14:paraId="09D26E4B" w14:textId="68DDECB7" w:rsidR="00F30D68" w:rsidRPr="00B1695C" w:rsidRDefault="00F30D68" w:rsidP="00E54B2A">
      <w:pPr>
        <w:rPr>
          <w:rFonts w:ascii="Arial" w:hAnsi="Arial" w:cs="Arial"/>
          <w:sz w:val="24"/>
          <w:szCs w:val="24"/>
        </w:rPr>
      </w:pPr>
      <w:r w:rsidRPr="00B1695C">
        <w:rPr>
          <w:rFonts w:ascii="Arial" w:hAnsi="Arial" w:cs="Arial"/>
          <w:sz w:val="24"/>
          <w:szCs w:val="24"/>
        </w:rPr>
        <w:t xml:space="preserve">Our </w:t>
      </w:r>
      <w:r w:rsidRPr="00B1695C">
        <w:rPr>
          <w:rFonts w:ascii="Arial" w:hAnsi="Arial" w:cs="Arial"/>
          <w:color w:val="FF0000"/>
          <w:sz w:val="24"/>
          <w:szCs w:val="24"/>
        </w:rPr>
        <w:t>sample</w:t>
      </w:r>
      <w:r w:rsidRPr="00B1695C">
        <w:rPr>
          <w:rFonts w:ascii="Arial" w:hAnsi="Arial" w:cs="Arial"/>
          <w:sz w:val="24"/>
          <w:szCs w:val="24"/>
        </w:rPr>
        <w:t xml:space="preserve"> consists of </w:t>
      </w:r>
      <w:r w:rsidRPr="00B1695C">
        <w:rPr>
          <w:rFonts w:ascii="Arial" w:hAnsi="Arial" w:cs="Arial"/>
          <w:color w:val="FF0000"/>
          <w:sz w:val="24"/>
          <w:szCs w:val="24"/>
        </w:rPr>
        <w:t xml:space="preserve">sixty-two </w:t>
      </w:r>
      <w:r w:rsidRPr="00B1695C">
        <w:rPr>
          <w:rFonts w:ascii="Arial" w:hAnsi="Arial" w:cs="Arial"/>
          <w:sz w:val="24"/>
          <w:szCs w:val="24"/>
        </w:rPr>
        <w:t xml:space="preserve">CRPD endorsing countries (inclusive of both OECD and non-OECD countries). They were randomly selected from the United Nations’ (n.d.) </w:t>
      </w:r>
      <w:r w:rsidRPr="00B1695C">
        <w:rPr>
          <w:rFonts w:ascii="Arial" w:hAnsi="Arial" w:cs="Arial"/>
          <w:color w:val="FF0000"/>
          <w:sz w:val="24"/>
          <w:szCs w:val="24"/>
        </w:rPr>
        <w:t xml:space="preserve">CRPD ratification/signature list </w:t>
      </w:r>
      <w:r w:rsidRPr="00B1695C">
        <w:rPr>
          <w:rFonts w:ascii="Arial" w:hAnsi="Arial" w:cs="Arial"/>
          <w:sz w:val="24"/>
          <w:szCs w:val="24"/>
        </w:rPr>
        <w:t>available online.</w:t>
      </w:r>
    </w:p>
    <w:p w14:paraId="77C76724" w14:textId="77777777" w:rsidR="00E87856" w:rsidRPr="00B1695C" w:rsidRDefault="00E87856" w:rsidP="00E54B2A">
      <w:pPr>
        <w:rPr>
          <w:rFonts w:ascii="Arial" w:hAnsi="Arial" w:cs="Arial"/>
          <w:sz w:val="24"/>
          <w:szCs w:val="24"/>
        </w:rPr>
      </w:pPr>
    </w:p>
    <w:p w14:paraId="44E1089D" w14:textId="0814498D" w:rsidR="00E87856" w:rsidRPr="00B1695C" w:rsidRDefault="00E87856" w:rsidP="00E54B2A">
      <w:pPr>
        <w:rPr>
          <w:rFonts w:ascii="Arial" w:hAnsi="Arial" w:cs="Arial"/>
          <w:sz w:val="24"/>
          <w:szCs w:val="24"/>
        </w:rPr>
      </w:pPr>
      <w:r w:rsidRPr="00B1695C">
        <w:rPr>
          <w:rFonts w:ascii="Arial" w:hAnsi="Arial" w:cs="Arial"/>
          <w:sz w:val="24"/>
          <w:szCs w:val="24"/>
        </w:rPr>
        <w:lastRenderedPageBreak/>
        <w:t>In other words, since the CRPD distribution is heavily positively skewed towards the highest levels of commitment, it is being seen whether the general QOL indicator distributions are also skewed towards the best/highest scores.</w:t>
      </w:r>
    </w:p>
    <w:p w14:paraId="56DC5B22" w14:textId="77777777" w:rsidR="00B1695C" w:rsidRPr="00B1695C" w:rsidRDefault="00B1695C" w:rsidP="00B1695C">
      <w:pPr>
        <w:rPr>
          <w:rFonts w:ascii="Arial" w:hAnsi="Arial" w:cs="Arial"/>
          <w:sz w:val="24"/>
          <w:szCs w:val="24"/>
        </w:rPr>
      </w:pPr>
      <w:r w:rsidRPr="00B1695C">
        <w:rPr>
          <w:rFonts w:ascii="Arial" w:hAnsi="Arial" w:cs="Arial"/>
          <w:sz w:val="24"/>
          <w:szCs w:val="24"/>
        </w:rPr>
        <w:t xml:space="preserve">  It must be clarified before continuing that viewing alignment via comparing distributions is not considered as evidence of the CRPD being meaningful to the quality of life of individuals with disabilities. It is rather considered as only being weakly suggestive of the possibility of the CRPD being meaningful. </w:t>
      </w:r>
    </w:p>
    <w:p w14:paraId="2AFD6A1B" w14:textId="77777777" w:rsidR="00B1695C" w:rsidRPr="00B1695C" w:rsidRDefault="00B1695C" w:rsidP="00E54B2A">
      <w:pPr>
        <w:rPr>
          <w:rFonts w:ascii="Arial" w:hAnsi="Arial" w:cs="Arial"/>
          <w:sz w:val="24"/>
          <w:szCs w:val="24"/>
        </w:rPr>
      </w:pPr>
    </w:p>
    <w:p w14:paraId="2D86F321" w14:textId="77777777" w:rsidR="00877226" w:rsidRPr="00B1695C" w:rsidRDefault="00877226" w:rsidP="00E54B2A">
      <w:pPr>
        <w:rPr>
          <w:rFonts w:ascii="Arial" w:hAnsi="Arial" w:cs="Arial"/>
          <w:sz w:val="24"/>
          <w:szCs w:val="24"/>
        </w:rPr>
      </w:pPr>
    </w:p>
    <w:p w14:paraId="418027EE" w14:textId="77777777" w:rsidR="00877226" w:rsidRPr="00B1695C" w:rsidRDefault="00877226" w:rsidP="00E54B2A">
      <w:pPr>
        <w:rPr>
          <w:rFonts w:ascii="Arial" w:hAnsi="Arial" w:cs="Arial"/>
          <w:sz w:val="24"/>
          <w:szCs w:val="24"/>
        </w:rPr>
      </w:pPr>
    </w:p>
    <w:p w14:paraId="52BFAE63" w14:textId="77777777" w:rsidR="00877226" w:rsidRPr="00B1695C" w:rsidRDefault="00877226" w:rsidP="00E54B2A">
      <w:pPr>
        <w:rPr>
          <w:rFonts w:ascii="Arial" w:hAnsi="Arial" w:cs="Arial"/>
          <w:sz w:val="24"/>
          <w:szCs w:val="24"/>
        </w:rPr>
      </w:pPr>
    </w:p>
    <w:p w14:paraId="5CDC7082" w14:textId="1CED9671" w:rsidR="00877226" w:rsidRPr="00B1695C" w:rsidRDefault="00877226" w:rsidP="00877226">
      <w:pPr>
        <w:spacing w:line="240" w:lineRule="auto"/>
        <w:rPr>
          <w:rFonts w:ascii="Arial" w:hAnsi="Arial" w:cs="Arial"/>
          <w:i/>
          <w:iCs/>
          <w:sz w:val="24"/>
          <w:szCs w:val="24"/>
        </w:rPr>
      </w:pPr>
      <w:r w:rsidRPr="00B1695C">
        <w:rPr>
          <w:rFonts w:ascii="Arial" w:hAnsi="Arial" w:cs="Arial"/>
          <w:i/>
          <w:iCs/>
          <w:sz w:val="24"/>
          <w:szCs w:val="24"/>
        </w:rPr>
        <w:t>CRPD Levels of Commitment</w:t>
      </w:r>
    </w:p>
    <w:p w14:paraId="0F24581F" w14:textId="3DF6A7FE" w:rsidR="00877226" w:rsidRPr="00B1695C" w:rsidRDefault="00877226" w:rsidP="00E54B2A">
      <w:pPr>
        <w:rPr>
          <w:rFonts w:ascii="Arial" w:hAnsi="Arial" w:cs="Arial"/>
          <w:sz w:val="24"/>
          <w:szCs w:val="24"/>
        </w:rPr>
      </w:pPr>
      <w:r w:rsidRPr="00B1695C">
        <w:rPr>
          <w:rFonts w:ascii="Arial" w:hAnsi="Arial" w:cs="Arial"/>
          <w:noProof/>
          <w:sz w:val="24"/>
          <w:szCs w:val="24"/>
        </w:rPr>
        <mc:AlternateContent>
          <mc:Choice Requires="cx1">
            <w:drawing>
              <wp:inline distT="0" distB="0" distL="0" distR="0" wp14:anchorId="3A978647" wp14:editId="620724D0">
                <wp:extent cx="5156970" cy="2540000"/>
                <wp:effectExtent l="0" t="0" r="5715" b="12700"/>
                <wp:docPr id="1" name="Chart 1">
                  <a:extLst xmlns:a="http://schemas.openxmlformats.org/drawingml/2006/main">
                    <a:ext uri="{FF2B5EF4-FFF2-40B4-BE49-F238E27FC236}">
                      <a16:creationId xmlns:a16="http://schemas.microsoft.com/office/drawing/2014/main" id="{B1539213-B88A-4B40-B07C-B1B2BF05BCE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3A978647" wp14:editId="620724D0">
                <wp:extent cx="5156970" cy="2540000"/>
                <wp:effectExtent l="0" t="0" r="5715" b="12700"/>
                <wp:docPr id="1" name="Chart 1">
                  <a:extLst xmlns:a="http://schemas.openxmlformats.org/drawingml/2006/main">
                    <a:ext uri="{FF2B5EF4-FFF2-40B4-BE49-F238E27FC236}">
                      <a16:creationId xmlns:a16="http://schemas.microsoft.com/office/drawing/2014/main" id="{B1539213-B88A-4B40-B07C-B1B2BF05BCE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B1539213-B88A-4B40-B07C-B1B2BF05BCE6}"/>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156835" cy="2540000"/>
                        </a:xfrm>
                        <a:prstGeom prst="rect">
                          <a:avLst/>
                        </a:prstGeom>
                      </pic:spPr>
                    </pic:pic>
                  </a:graphicData>
                </a:graphic>
              </wp:inline>
            </w:drawing>
          </mc:Fallback>
        </mc:AlternateContent>
      </w:r>
    </w:p>
    <w:p w14:paraId="5FF090EA" w14:textId="2AF44A95" w:rsidR="009355D4" w:rsidRPr="00B1695C" w:rsidRDefault="009355D4" w:rsidP="00E54B2A">
      <w:pPr>
        <w:rPr>
          <w:rFonts w:ascii="Arial" w:hAnsi="Arial" w:cs="Arial"/>
          <w:color w:val="4472C4" w:themeColor="accent1"/>
          <w:sz w:val="24"/>
          <w:szCs w:val="24"/>
        </w:rPr>
      </w:pPr>
      <w:r w:rsidRPr="00B1695C">
        <w:rPr>
          <w:rFonts w:ascii="Arial" w:hAnsi="Arial" w:cs="Arial"/>
          <w:color w:val="4472C4" w:themeColor="accent1"/>
          <w:sz w:val="24"/>
          <w:szCs w:val="24"/>
        </w:rPr>
        <w:t>This means that almost every single country in this sample chose to ratify the convention (category 4) or ratify it alongside its optional protocol (category 5). If the CRPD truly holds meaning for QOL, then based on this histogram, the QOL of people with disabilities in most countries should be exceptionally good. In other words, it should be seen that the general QOL indicator scores reflects/aligns with this positively skewed distribution of the CRPD levels of commitment data. Reflection/alignment will be determined in this next section after the disability specific QOL indicators have been described and explained.</w:t>
      </w:r>
    </w:p>
    <w:p w14:paraId="6398CA08" w14:textId="77777777" w:rsidR="00B1695C" w:rsidRDefault="00B1695C" w:rsidP="00E54B2A">
      <w:pPr>
        <w:rPr>
          <w:rFonts w:ascii="Arial" w:hAnsi="Arial" w:cs="Arial"/>
          <w:sz w:val="24"/>
          <w:szCs w:val="24"/>
        </w:rPr>
      </w:pPr>
    </w:p>
    <w:p w14:paraId="4003EEEE" w14:textId="71F20862" w:rsidR="00B1695C" w:rsidRDefault="00B1695C" w:rsidP="00E54B2A">
      <w:pPr>
        <w:rPr>
          <w:rFonts w:ascii="Arial" w:hAnsi="Arial" w:cs="Arial"/>
          <w:sz w:val="24"/>
          <w:szCs w:val="24"/>
        </w:rPr>
      </w:pPr>
      <w:r>
        <w:rPr>
          <w:noProof/>
        </w:rPr>
        <w:lastRenderedPageBreak/>
        <mc:AlternateContent>
          <mc:Choice Requires="cx1">
            <w:drawing>
              <wp:inline distT="0" distB="0" distL="0" distR="0" wp14:anchorId="6D389554" wp14:editId="2EC5AFED">
                <wp:extent cx="5080000" cy="2082800"/>
                <wp:effectExtent l="0" t="0" r="6350" b="12700"/>
                <wp:docPr id="28" name="Chart 28">
                  <a:extLst xmlns:a="http://schemas.openxmlformats.org/drawingml/2006/main">
                    <a:ext uri="{FF2B5EF4-FFF2-40B4-BE49-F238E27FC236}">
                      <a16:creationId xmlns:a16="http://schemas.microsoft.com/office/drawing/2014/main" id="{C914F6FB-76F0-4924-B69D-895A4E0DF54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D389554" wp14:editId="2EC5AFED">
                <wp:extent cx="5080000" cy="2082800"/>
                <wp:effectExtent l="0" t="0" r="6350" b="12700"/>
                <wp:docPr id="28" name="Chart 28">
                  <a:extLst xmlns:a="http://schemas.openxmlformats.org/drawingml/2006/main">
                    <a:ext uri="{FF2B5EF4-FFF2-40B4-BE49-F238E27FC236}">
                      <a16:creationId xmlns:a16="http://schemas.microsoft.com/office/drawing/2014/main" id="{C914F6FB-76F0-4924-B69D-895A4E0DF54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C914F6FB-76F0-4924-B69D-895A4E0DF54B}"/>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080000" cy="2082800"/>
                        </a:xfrm>
                        <a:prstGeom prst="rect">
                          <a:avLst/>
                        </a:prstGeom>
                      </pic:spPr>
                    </pic:pic>
                  </a:graphicData>
                </a:graphic>
              </wp:inline>
            </w:drawing>
          </mc:Fallback>
        </mc:AlternateContent>
      </w:r>
    </w:p>
    <w:p w14:paraId="0B97F843" w14:textId="16693EAE" w:rsidR="00B1695C" w:rsidRPr="00396A53" w:rsidRDefault="00B1695C" w:rsidP="00E54B2A">
      <w:pPr>
        <w:rPr>
          <w:rFonts w:ascii="Arial" w:hAnsi="Arial" w:cs="Arial"/>
          <w:color w:val="FFC000"/>
          <w:sz w:val="24"/>
          <w:szCs w:val="24"/>
        </w:rPr>
      </w:pPr>
      <w:r w:rsidRPr="00396A53">
        <w:rPr>
          <w:rFonts w:ascii="Arial" w:hAnsi="Arial" w:cs="Arial"/>
          <w:color w:val="FFC000"/>
          <w:sz w:val="24"/>
          <w:szCs w:val="24"/>
        </w:rPr>
        <w:t>This is as the distribution of the safety data is not at all skewed towards the best/highest scores (as is the CRPD distribution) that indicates high quality of life. Thus, the scores for this general QOL indicator are not reflective of the distribution of the CRPD commitment level data.</w:t>
      </w:r>
    </w:p>
    <w:p w14:paraId="4A5307B7" w14:textId="6B45DC94" w:rsidR="00B1695C" w:rsidRDefault="00B1695C" w:rsidP="00E54B2A">
      <w:pPr>
        <w:rPr>
          <w:rFonts w:ascii="Arial" w:hAnsi="Arial" w:cs="Arial"/>
          <w:color w:val="4472C4" w:themeColor="accent1"/>
          <w:sz w:val="24"/>
          <w:szCs w:val="24"/>
        </w:rPr>
      </w:pPr>
      <w:r>
        <w:rPr>
          <w:rFonts w:ascii="Arial" w:hAnsi="Arial" w:cs="Arial"/>
          <w:color w:val="4472C4" w:themeColor="accent1"/>
          <w:sz w:val="24"/>
          <w:szCs w:val="24"/>
        </w:rPr>
        <w:t>…</w:t>
      </w:r>
    </w:p>
    <w:p w14:paraId="1D6C3931" w14:textId="6B4C79B1" w:rsidR="00B1695C" w:rsidRDefault="00B1695C" w:rsidP="00E54B2A">
      <w:pPr>
        <w:rPr>
          <w:rFonts w:ascii="Times New Roman" w:hAnsi="Times New Roman" w:cs="Times New Roman"/>
          <w:color w:val="4472C4" w:themeColor="accent1"/>
          <w:sz w:val="24"/>
          <w:szCs w:val="24"/>
        </w:rPr>
      </w:pPr>
      <w:r w:rsidRPr="00B1695C">
        <w:rPr>
          <w:rFonts w:ascii="Times New Roman" w:hAnsi="Times New Roman" w:cs="Times New Roman"/>
          <w:color w:val="4472C4" w:themeColor="accent1"/>
          <w:sz w:val="24"/>
          <w:szCs w:val="24"/>
        </w:rPr>
        <w:t>According to the analysis that was just performed in the previous sub-section, majority of the data distributions of the general QOL indicators (besides life expectancy and unemployment rate) did not at all align with/seem to reflect the distribution of the CRPD commitment level data</w:t>
      </w:r>
      <w:r w:rsidR="00B63CB4">
        <w:rPr>
          <w:rFonts w:ascii="Times New Roman" w:hAnsi="Times New Roman" w:cs="Times New Roman"/>
          <w:color w:val="4472C4" w:themeColor="accent1"/>
          <w:sz w:val="24"/>
          <w:szCs w:val="24"/>
        </w:rPr>
        <w:t>.</w:t>
      </w:r>
    </w:p>
    <w:p w14:paraId="4D89E608" w14:textId="1F1EDBB1" w:rsidR="00B63CB4" w:rsidRDefault="00B63CB4" w:rsidP="00E54B2A">
      <w:pPr>
        <w:rPr>
          <w:rFonts w:ascii="Arial" w:hAnsi="Arial" w:cs="Arial"/>
          <w:color w:val="4472C4" w:themeColor="accent1"/>
          <w:sz w:val="24"/>
          <w:szCs w:val="24"/>
        </w:rPr>
      </w:pPr>
      <w:r w:rsidRPr="00B63CB4">
        <w:rPr>
          <w:rFonts w:ascii="Arial" w:hAnsi="Arial" w:cs="Arial"/>
          <w:color w:val="4472C4" w:themeColor="accent1"/>
          <w:sz w:val="24"/>
          <w:szCs w:val="24"/>
        </w:rPr>
        <w:t xml:space="preserve">Nonetheless, to definitely confirm that there lacks a relationship between the CRPD and the general QOL indicators, </w:t>
      </w:r>
      <w:r w:rsidRPr="00396A53">
        <w:rPr>
          <w:rFonts w:ascii="Arial" w:hAnsi="Arial" w:cs="Arial"/>
          <w:color w:val="C00000"/>
          <w:sz w:val="24"/>
          <w:szCs w:val="24"/>
        </w:rPr>
        <w:t>a multiple linear regression was performed</w:t>
      </w:r>
      <w:r>
        <w:rPr>
          <w:rFonts w:ascii="Arial" w:hAnsi="Arial" w:cs="Arial"/>
          <w:color w:val="4472C4" w:themeColor="accent1"/>
          <w:sz w:val="24"/>
          <w:szCs w:val="24"/>
        </w:rPr>
        <w:t>.</w:t>
      </w:r>
    </w:p>
    <w:p w14:paraId="0D3C8D2B" w14:textId="25874140" w:rsidR="00B63CB4" w:rsidRDefault="00B63CB4" w:rsidP="00E54B2A">
      <w:pPr>
        <w:rPr>
          <w:rFonts w:ascii="Arial" w:hAnsi="Arial" w:cs="Arial"/>
          <w:color w:val="4472C4" w:themeColor="accent1"/>
          <w:sz w:val="24"/>
          <w:szCs w:val="24"/>
        </w:rPr>
      </w:pPr>
      <w:r w:rsidRPr="00B63CB4">
        <w:rPr>
          <w:rFonts w:ascii="Arial" w:hAnsi="Arial" w:cs="Arial"/>
          <w:color w:val="4472C4" w:themeColor="accent1"/>
          <w:sz w:val="24"/>
          <w:szCs w:val="24"/>
        </w:rPr>
        <w:t xml:space="preserve">Eight countries (all non-OECD) were removed from the sample before running this test due to them missing data for a couple of indicators. The multiple regression revealed that </w:t>
      </w:r>
      <w:r w:rsidRPr="00396A53">
        <w:rPr>
          <w:rFonts w:ascii="Arial" w:hAnsi="Arial" w:cs="Arial"/>
          <w:color w:val="C00000"/>
          <w:sz w:val="24"/>
          <w:szCs w:val="24"/>
        </w:rPr>
        <w:t xml:space="preserve">a small fraction </w:t>
      </w:r>
      <w:r w:rsidRPr="00B63CB4">
        <w:rPr>
          <w:rFonts w:ascii="Arial" w:hAnsi="Arial" w:cs="Arial"/>
          <w:color w:val="4472C4" w:themeColor="accent1"/>
          <w:sz w:val="24"/>
          <w:szCs w:val="24"/>
        </w:rPr>
        <w:t>of the variance in CRPD commitment levels can be explained by the general QOL indicators, adjusted R² = .</w:t>
      </w:r>
      <w:r w:rsidRPr="00396A53">
        <w:rPr>
          <w:rFonts w:ascii="Arial" w:hAnsi="Arial" w:cs="Arial"/>
          <w:color w:val="C00000"/>
          <w:sz w:val="24"/>
          <w:szCs w:val="24"/>
        </w:rPr>
        <w:t>29</w:t>
      </w:r>
      <w:r w:rsidRPr="00B63CB4">
        <w:rPr>
          <w:rFonts w:ascii="Arial" w:hAnsi="Arial" w:cs="Arial"/>
          <w:color w:val="4472C4" w:themeColor="accent1"/>
          <w:sz w:val="24"/>
          <w:szCs w:val="24"/>
        </w:rPr>
        <w:t>, F (10, 43) = 1.78</w:t>
      </w:r>
      <w:r>
        <w:rPr>
          <w:rFonts w:ascii="Arial" w:hAnsi="Arial" w:cs="Arial"/>
          <w:color w:val="4472C4" w:themeColor="accent1"/>
          <w:sz w:val="24"/>
          <w:szCs w:val="24"/>
        </w:rPr>
        <w:t>, p = 0.09</w:t>
      </w:r>
    </w:p>
    <w:p w14:paraId="7FB631CB" w14:textId="77777777" w:rsidR="0045466E" w:rsidRDefault="0045466E" w:rsidP="0045466E">
      <w:pPr>
        <w:spacing w:line="360" w:lineRule="auto"/>
        <w:jc w:val="center"/>
        <w:rPr>
          <w:rFonts w:ascii="Times New Roman" w:hAnsi="Times New Roman" w:cs="Times New Roman"/>
          <w:b/>
          <w:bCs/>
          <w:sz w:val="24"/>
          <w:szCs w:val="24"/>
        </w:rPr>
      </w:pPr>
      <w:r w:rsidRPr="001D1A2B">
        <w:rPr>
          <w:rFonts w:ascii="Times New Roman" w:hAnsi="Times New Roman" w:cs="Times New Roman"/>
          <w:b/>
          <w:bCs/>
          <w:sz w:val="24"/>
          <w:szCs w:val="24"/>
        </w:rPr>
        <w:t>Do They Align: Comparing the Disability Specific QOL Indicator Data with General QOL Indicator Data for Specific Countries</w:t>
      </w:r>
    </w:p>
    <w:p w14:paraId="22B47340" w14:textId="77777777" w:rsidR="0045466E" w:rsidRPr="00B1695C" w:rsidRDefault="0045466E" w:rsidP="00E54B2A">
      <w:pPr>
        <w:rPr>
          <w:rFonts w:ascii="Arial" w:hAnsi="Arial" w:cs="Arial"/>
          <w:color w:val="4472C4" w:themeColor="accent1"/>
          <w:sz w:val="24"/>
          <w:szCs w:val="24"/>
        </w:rPr>
      </w:pPr>
    </w:p>
    <w:p w14:paraId="0A376E1D" w14:textId="1CFBDD8C" w:rsidR="00877226" w:rsidRPr="00B1695C" w:rsidRDefault="00877226" w:rsidP="00E54B2A">
      <w:pPr>
        <w:rPr>
          <w:rFonts w:ascii="Arial" w:hAnsi="Arial" w:cs="Arial"/>
          <w:color w:val="4472C4" w:themeColor="accent1"/>
          <w:sz w:val="24"/>
          <w:szCs w:val="24"/>
        </w:rPr>
      </w:pPr>
    </w:p>
    <w:p w14:paraId="4B674685" w14:textId="77777777" w:rsidR="00E54B2A" w:rsidRPr="00B1695C" w:rsidRDefault="00E54B2A" w:rsidP="00AE0625">
      <w:pPr>
        <w:rPr>
          <w:rFonts w:ascii="Arial" w:hAnsi="Arial" w:cs="Arial"/>
          <w:sz w:val="24"/>
          <w:szCs w:val="24"/>
        </w:rPr>
      </w:pPr>
    </w:p>
    <w:p w14:paraId="0EA51D26" w14:textId="3C1B1C6E" w:rsidR="00C917DF" w:rsidRDefault="00965288" w:rsidP="00965288">
      <w:pPr>
        <w:pStyle w:val="ListParagraph"/>
        <w:numPr>
          <w:ilvl w:val="0"/>
          <w:numId w:val="1"/>
        </w:numPr>
        <w:rPr>
          <w:rFonts w:ascii="Arial" w:hAnsi="Arial" w:cs="Arial"/>
          <w:sz w:val="24"/>
          <w:szCs w:val="24"/>
          <w:lang w:val="en-US"/>
        </w:rPr>
      </w:pPr>
      <w:r w:rsidRPr="00B1695C">
        <w:rPr>
          <w:rFonts w:ascii="Arial" w:hAnsi="Arial" w:cs="Arial"/>
          <w:sz w:val="24"/>
          <w:szCs w:val="24"/>
          <w:lang w:val="en-US"/>
        </w:rPr>
        <w:t>CRPD category</w:t>
      </w:r>
    </w:p>
    <w:p w14:paraId="7A3C5F6B" w14:textId="6CAB9B47" w:rsidR="00A90740" w:rsidRPr="00B1695C" w:rsidRDefault="00A90740" w:rsidP="00965288">
      <w:pPr>
        <w:pStyle w:val="ListParagraph"/>
        <w:numPr>
          <w:ilvl w:val="0"/>
          <w:numId w:val="1"/>
        </w:numPr>
        <w:rPr>
          <w:rFonts w:ascii="Arial" w:hAnsi="Arial" w:cs="Arial"/>
          <w:sz w:val="24"/>
          <w:szCs w:val="24"/>
          <w:lang w:val="en-US"/>
        </w:rPr>
      </w:pPr>
      <w:r>
        <w:rPr>
          <w:rFonts w:ascii="Arial" w:hAnsi="Arial" w:cs="Arial"/>
          <w:sz w:val="24"/>
          <w:szCs w:val="24"/>
          <w:lang w:val="en-US"/>
        </w:rPr>
        <w:t>Masculinity index</w:t>
      </w:r>
    </w:p>
    <w:p w14:paraId="29498864" w14:textId="1E68B64E" w:rsidR="00FF4A18" w:rsidRPr="00B1695C" w:rsidRDefault="00FF4A18" w:rsidP="00FF4A18">
      <w:pPr>
        <w:pStyle w:val="ListParagraph"/>
        <w:numPr>
          <w:ilvl w:val="0"/>
          <w:numId w:val="1"/>
        </w:numPr>
        <w:rPr>
          <w:rFonts w:ascii="Arial" w:hAnsi="Arial" w:cs="Arial"/>
          <w:sz w:val="24"/>
          <w:szCs w:val="24"/>
          <w:lang w:val="en-US"/>
        </w:rPr>
      </w:pPr>
      <w:r w:rsidRPr="00B1695C">
        <w:rPr>
          <w:rFonts w:ascii="Arial" w:hAnsi="Arial" w:cs="Arial"/>
          <w:sz w:val="24"/>
          <w:szCs w:val="24"/>
          <w:lang w:val="en-US"/>
        </w:rPr>
        <w:t>The country list is from the CRPD website, meaning that it’s a list of countr</w:t>
      </w:r>
      <w:r w:rsidR="00314A7F" w:rsidRPr="00B1695C">
        <w:rPr>
          <w:rFonts w:ascii="Arial" w:hAnsi="Arial" w:cs="Arial"/>
          <w:sz w:val="24"/>
          <w:szCs w:val="24"/>
          <w:lang w:val="en-US"/>
        </w:rPr>
        <w:t>ies</w:t>
      </w:r>
      <w:r w:rsidRPr="00B1695C">
        <w:rPr>
          <w:rFonts w:ascii="Arial" w:hAnsi="Arial" w:cs="Arial"/>
          <w:sz w:val="24"/>
          <w:szCs w:val="24"/>
          <w:lang w:val="en-US"/>
        </w:rPr>
        <w:t xml:space="preserve"> with CRPD </w:t>
      </w:r>
      <w:r w:rsidR="005E67C9" w:rsidRPr="00B1695C">
        <w:rPr>
          <w:rFonts w:ascii="Arial" w:hAnsi="Arial" w:cs="Arial"/>
          <w:sz w:val="24"/>
          <w:szCs w:val="24"/>
          <w:lang w:val="en-US"/>
        </w:rPr>
        <w:t>endorsement</w:t>
      </w:r>
      <w:r w:rsidRPr="00B1695C">
        <w:rPr>
          <w:rFonts w:ascii="Arial" w:hAnsi="Arial" w:cs="Arial"/>
          <w:sz w:val="24"/>
          <w:szCs w:val="24"/>
          <w:lang w:val="en-US"/>
        </w:rPr>
        <w:t>.</w:t>
      </w:r>
      <w:r w:rsidR="00314A7F" w:rsidRPr="00B1695C">
        <w:rPr>
          <w:rFonts w:ascii="Arial" w:hAnsi="Arial" w:cs="Arial"/>
          <w:sz w:val="24"/>
          <w:szCs w:val="24"/>
          <w:lang w:val="en-US"/>
        </w:rPr>
        <w:t xml:space="preserve"> CRPD index: 2-5</w:t>
      </w:r>
    </w:p>
    <w:p w14:paraId="40307037" w14:textId="77777777" w:rsidR="00423C52" w:rsidRPr="00B1695C" w:rsidRDefault="002035FF" w:rsidP="00FF4A18">
      <w:pPr>
        <w:pStyle w:val="ListParagraph"/>
        <w:numPr>
          <w:ilvl w:val="0"/>
          <w:numId w:val="1"/>
        </w:numPr>
        <w:rPr>
          <w:rFonts w:ascii="Arial" w:hAnsi="Arial" w:cs="Arial"/>
          <w:sz w:val="24"/>
          <w:szCs w:val="24"/>
          <w:lang w:val="en-US"/>
        </w:rPr>
      </w:pPr>
      <w:r w:rsidRPr="00B1695C">
        <w:rPr>
          <w:rFonts w:ascii="Arial" w:hAnsi="Arial" w:cs="Arial"/>
          <w:sz w:val="24"/>
          <w:szCs w:val="24"/>
          <w:lang w:val="en-US"/>
        </w:rPr>
        <w:t xml:space="preserve">Disability Specific Indicators of Quality of </w:t>
      </w:r>
      <w:r w:rsidRPr="00B1695C">
        <w:rPr>
          <w:rFonts w:ascii="Arial" w:hAnsi="Arial" w:cs="Arial"/>
          <w:sz w:val="24"/>
          <w:szCs w:val="24"/>
          <w:lang w:val="en-US"/>
        </w:rPr>
        <w:t xml:space="preserve">Life: </w:t>
      </w:r>
    </w:p>
    <w:p w14:paraId="4AE6813F" w14:textId="77777777" w:rsidR="00423C52" w:rsidRPr="00B1695C" w:rsidRDefault="002035FF" w:rsidP="00423C52">
      <w:pPr>
        <w:pStyle w:val="ListParagraph"/>
        <w:rPr>
          <w:rFonts w:ascii="Arial" w:hAnsi="Arial" w:cs="Arial"/>
          <w:b/>
          <w:bCs/>
          <w:i/>
          <w:iCs/>
          <w:sz w:val="24"/>
          <w:szCs w:val="24"/>
          <w:lang w:val="en-US"/>
        </w:rPr>
      </w:pPr>
      <w:r w:rsidRPr="00B1695C">
        <w:rPr>
          <w:rFonts w:ascii="Arial" w:hAnsi="Arial" w:cs="Arial"/>
          <w:b/>
          <w:bCs/>
          <w:i/>
          <w:iCs/>
          <w:sz w:val="24"/>
          <w:szCs w:val="24"/>
          <w:lang w:val="en-US"/>
        </w:rPr>
        <w:t>Employment Rate</w:t>
      </w:r>
      <w:r w:rsidRPr="00B1695C">
        <w:rPr>
          <w:rFonts w:ascii="Arial" w:hAnsi="Arial" w:cs="Arial"/>
          <w:b/>
          <w:bCs/>
          <w:i/>
          <w:iCs/>
          <w:sz w:val="24"/>
          <w:szCs w:val="24"/>
          <w:lang w:val="en-US"/>
        </w:rPr>
        <w:t xml:space="preserve">, </w:t>
      </w:r>
    </w:p>
    <w:p w14:paraId="7D926F6F" w14:textId="77777777" w:rsidR="00423C52" w:rsidRPr="00B1695C" w:rsidRDefault="002035FF" w:rsidP="00423C52">
      <w:pPr>
        <w:pStyle w:val="ListParagraph"/>
        <w:rPr>
          <w:rFonts w:ascii="Arial" w:hAnsi="Arial" w:cs="Arial"/>
          <w:b/>
          <w:bCs/>
          <w:i/>
          <w:iCs/>
          <w:sz w:val="24"/>
          <w:szCs w:val="24"/>
          <w:lang w:val="en-US"/>
        </w:rPr>
      </w:pPr>
      <w:r w:rsidRPr="00B1695C">
        <w:rPr>
          <w:rFonts w:ascii="Arial" w:hAnsi="Arial" w:cs="Arial"/>
          <w:b/>
          <w:bCs/>
          <w:i/>
          <w:iCs/>
          <w:sz w:val="24"/>
          <w:szCs w:val="24"/>
          <w:lang w:val="en-US"/>
        </w:rPr>
        <w:t>Minimum Educational</w:t>
      </w:r>
      <w:r w:rsidRPr="00B1695C">
        <w:rPr>
          <w:rFonts w:ascii="Arial" w:hAnsi="Arial" w:cs="Arial"/>
          <w:b/>
          <w:bCs/>
          <w:i/>
          <w:iCs/>
          <w:sz w:val="24"/>
          <w:szCs w:val="24"/>
          <w:lang w:val="en-US"/>
        </w:rPr>
        <w:t>,</w:t>
      </w:r>
    </w:p>
    <w:p w14:paraId="362CDD28" w14:textId="77777777" w:rsidR="00423C52" w:rsidRPr="00B1695C" w:rsidRDefault="002035FF" w:rsidP="00423C52">
      <w:pPr>
        <w:pStyle w:val="ListParagraph"/>
        <w:rPr>
          <w:rFonts w:ascii="Arial" w:hAnsi="Arial" w:cs="Arial"/>
          <w:b/>
          <w:bCs/>
          <w:i/>
          <w:iCs/>
          <w:sz w:val="24"/>
          <w:szCs w:val="24"/>
          <w:lang w:val="en-US"/>
        </w:rPr>
      </w:pPr>
      <w:r w:rsidRPr="00B1695C">
        <w:rPr>
          <w:rFonts w:ascii="Arial" w:hAnsi="Arial" w:cs="Arial"/>
          <w:b/>
          <w:bCs/>
          <w:i/>
          <w:iCs/>
          <w:sz w:val="24"/>
          <w:szCs w:val="24"/>
          <w:lang w:val="en-US"/>
        </w:rPr>
        <w:lastRenderedPageBreak/>
        <w:t>Attainment</w:t>
      </w:r>
      <w:r w:rsidRPr="00B1695C">
        <w:rPr>
          <w:rFonts w:ascii="Arial" w:hAnsi="Arial" w:cs="Arial"/>
          <w:b/>
          <w:bCs/>
          <w:i/>
          <w:iCs/>
          <w:sz w:val="24"/>
          <w:szCs w:val="24"/>
          <w:lang w:val="en-US"/>
        </w:rPr>
        <w:t xml:space="preserve">, </w:t>
      </w:r>
    </w:p>
    <w:p w14:paraId="67CCFE70" w14:textId="61E5564E" w:rsidR="00FF4A18" w:rsidRPr="00B1695C" w:rsidRDefault="002035FF" w:rsidP="00423C52">
      <w:pPr>
        <w:pStyle w:val="ListParagraph"/>
        <w:rPr>
          <w:rFonts w:ascii="Arial" w:hAnsi="Arial" w:cs="Arial"/>
          <w:b/>
          <w:bCs/>
          <w:i/>
          <w:iCs/>
          <w:sz w:val="24"/>
          <w:szCs w:val="24"/>
          <w:lang w:val="en-US"/>
        </w:rPr>
      </w:pPr>
      <w:r w:rsidRPr="00B1695C">
        <w:rPr>
          <w:rFonts w:ascii="Arial" w:hAnsi="Arial" w:cs="Arial"/>
          <w:b/>
          <w:bCs/>
          <w:i/>
          <w:iCs/>
          <w:sz w:val="24"/>
          <w:szCs w:val="24"/>
          <w:lang w:val="en-US"/>
        </w:rPr>
        <w:t>Anti-Discrimination Disability Legislation</w:t>
      </w:r>
    </w:p>
    <w:p w14:paraId="678B1770" w14:textId="77777777" w:rsidR="00423C52" w:rsidRPr="00B1695C" w:rsidRDefault="00335BF5" w:rsidP="00E54B2A">
      <w:pPr>
        <w:pStyle w:val="ListParagraph"/>
        <w:numPr>
          <w:ilvl w:val="0"/>
          <w:numId w:val="1"/>
        </w:numPr>
        <w:rPr>
          <w:rFonts w:ascii="Arial" w:hAnsi="Arial" w:cs="Arial"/>
          <w:sz w:val="24"/>
          <w:szCs w:val="24"/>
        </w:rPr>
      </w:pPr>
      <w:r w:rsidRPr="00B1695C">
        <w:rPr>
          <w:rFonts w:ascii="Arial" w:hAnsi="Arial" w:cs="Arial"/>
          <w:sz w:val="24"/>
          <w:szCs w:val="24"/>
        </w:rPr>
        <w:t>General Indicators of Quality of Life</w:t>
      </w:r>
      <w:r w:rsidRPr="00B1695C">
        <w:rPr>
          <w:rFonts w:ascii="Arial" w:hAnsi="Arial" w:cs="Arial"/>
          <w:sz w:val="24"/>
          <w:szCs w:val="24"/>
        </w:rPr>
        <w:t xml:space="preserve">: </w:t>
      </w:r>
    </w:p>
    <w:p w14:paraId="02659B98" w14:textId="77777777"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 xml:space="preserve">safety, </w:t>
      </w:r>
    </w:p>
    <w:p w14:paraId="4705F033" w14:textId="77777777"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 xml:space="preserve">life expectancy, </w:t>
      </w:r>
    </w:p>
    <w:p w14:paraId="30511262" w14:textId="77777777"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 xml:space="preserve">gross domestic product (GDP) per capita, </w:t>
      </w:r>
    </w:p>
    <w:p w14:paraId="42CA4332" w14:textId="77777777"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 xml:space="preserve">unemployment rate, democracy, </w:t>
      </w:r>
    </w:p>
    <w:p w14:paraId="3916DBE8" w14:textId="77777777"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 xml:space="preserve">corruption, </w:t>
      </w:r>
    </w:p>
    <w:p w14:paraId="211D1658" w14:textId="77777777"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 xml:space="preserve">global freedom, </w:t>
      </w:r>
    </w:p>
    <w:p w14:paraId="336D48FC" w14:textId="460AB722"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power distance</w:t>
      </w:r>
      <w:r w:rsidR="003508AB" w:rsidRPr="00B1695C">
        <w:rPr>
          <w:rFonts w:ascii="Arial" w:hAnsi="Arial" w:cs="Arial"/>
          <w:b/>
          <w:bCs/>
          <w:i/>
          <w:iCs/>
          <w:sz w:val="24"/>
          <w:szCs w:val="24"/>
        </w:rPr>
        <w:t>,</w:t>
      </w:r>
    </w:p>
    <w:p w14:paraId="462CBF5D" w14:textId="77777777" w:rsidR="00423C52"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 xml:space="preserve">long term orientation, </w:t>
      </w:r>
    </w:p>
    <w:p w14:paraId="1B503068" w14:textId="085611D0" w:rsidR="00E54B2A" w:rsidRPr="00B1695C" w:rsidRDefault="00423C52" w:rsidP="00423C52">
      <w:pPr>
        <w:pStyle w:val="ListParagraph"/>
        <w:rPr>
          <w:rFonts w:ascii="Arial" w:hAnsi="Arial" w:cs="Arial"/>
          <w:b/>
          <w:bCs/>
          <w:i/>
          <w:iCs/>
          <w:sz w:val="24"/>
          <w:szCs w:val="24"/>
        </w:rPr>
      </w:pPr>
      <w:r w:rsidRPr="00B1695C">
        <w:rPr>
          <w:rFonts w:ascii="Arial" w:hAnsi="Arial" w:cs="Arial"/>
          <w:b/>
          <w:bCs/>
          <w:i/>
          <w:iCs/>
          <w:sz w:val="24"/>
          <w:szCs w:val="24"/>
        </w:rPr>
        <w:t>masculinity</w:t>
      </w:r>
      <w:r w:rsidRPr="00B1695C">
        <w:rPr>
          <w:rFonts w:ascii="Arial" w:hAnsi="Arial" w:cs="Arial"/>
          <w:b/>
          <w:bCs/>
          <w:i/>
          <w:iCs/>
          <w:sz w:val="24"/>
          <w:szCs w:val="24"/>
        </w:rPr>
        <w:t>.</w:t>
      </w:r>
    </w:p>
    <w:p w14:paraId="0DEF611C" w14:textId="77777777" w:rsidR="003508AB" w:rsidRPr="00B1695C" w:rsidRDefault="003508AB" w:rsidP="003508AB">
      <w:pPr>
        <w:rPr>
          <w:rFonts w:ascii="Arial" w:hAnsi="Arial" w:cs="Arial"/>
          <w:sz w:val="24"/>
          <w:szCs w:val="24"/>
        </w:rPr>
      </w:pPr>
    </w:p>
    <w:p w14:paraId="1A48E466" w14:textId="77777777" w:rsidR="00E54B2A" w:rsidRPr="00B1695C" w:rsidRDefault="00E54B2A" w:rsidP="00E54B2A">
      <w:pPr>
        <w:ind w:left="360"/>
        <w:rPr>
          <w:rFonts w:ascii="Arial" w:hAnsi="Arial" w:cs="Arial"/>
          <w:sz w:val="24"/>
          <w:szCs w:val="24"/>
          <w:lang w:val="en-US"/>
        </w:rPr>
      </w:pPr>
    </w:p>
    <w:sectPr w:rsidR="00E54B2A" w:rsidRPr="00B169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A6AE8"/>
    <w:multiLevelType w:val="hybridMultilevel"/>
    <w:tmpl w:val="73BC7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1010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03"/>
    <w:rsid w:val="000D66C2"/>
    <w:rsid w:val="001054FA"/>
    <w:rsid w:val="001B0A09"/>
    <w:rsid w:val="002035FF"/>
    <w:rsid w:val="00314A7F"/>
    <w:rsid w:val="00335BF5"/>
    <w:rsid w:val="003508AB"/>
    <w:rsid w:val="00396A53"/>
    <w:rsid w:val="00423C52"/>
    <w:rsid w:val="0045466E"/>
    <w:rsid w:val="004E6D02"/>
    <w:rsid w:val="005B3803"/>
    <w:rsid w:val="005E67C9"/>
    <w:rsid w:val="00664C98"/>
    <w:rsid w:val="00877226"/>
    <w:rsid w:val="009355D4"/>
    <w:rsid w:val="00965288"/>
    <w:rsid w:val="00A90740"/>
    <w:rsid w:val="00AE0625"/>
    <w:rsid w:val="00B1695C"/>
    <w:rsid w:val="00B63CB4"/>
    <w:rsid w:val="00C62FA0"/>
    <w:rsid w:val="00C917DF"/>
    <w:rsid w:val="00DD0EFC"/>
    <w:rsid w:val="00E54B2A"/>
    <w:rsid w:val="00E87856"/>
    <w:rsid w:val="00F30D68"/>
    <w:rsid w:val="00FF4A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F464"/>
  <w15:chartTrackingRefBased/>
  <w15:docId w15:val="{9765F5EB-95B4-48C6-9C5F-E9E64782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utoronto-my.sharepoint.com/personal/zannatul_chowdhury_mail_utoronto_ca/Documents/IRP%20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utoronto-my.sharepoint.com/personal/zannatul_chowdhury_mail_utoronto_ca/Documents/IRP%20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data'!$C$2:$C$63</cx:f>
        <cx:lvl ptCount="62" formatCode="General">
          <cx:pt idx="0">1</cx:pt>
          <cx:pt idx="1">2</cx:pt>
          <cx:pt idx="2">2</cx:pt>
          <cx:pt idx="3">2</cx:pt>
          <cx:pt idx="4">2</cx:pt>
          <cx:pt idx="5">3</cx:pt>
          <cx:pt idx="6">3</cx:pt>
          <cx:pt idx="7">4</cx:pt>
          <cx:pt idx="8">4</cx:pt>
          <cx:pt idx="9">4</cx:pt>
          <cx:pt idx="10">4</cx:pt>
          <cx:pt idx="11">4</cx:pt>
          <cx:pt idx="12">4</cx:pt>
          <cx:pt idx="13">4</cx:pt>
          <cx:pt idx="14">4</cx:pt>
          <cx:pt idx="15">4</cx:pt>
          <cx:pt idx="16">4</cx:pt>
          <cx:pt idx="17">4</cx:pt>
          <cx:pt idx="18">4</cx:pt>
          <cx:pt idx="19">4</cx:pt>
          <cx:pt idx="20">4</cx:pt>
          <cx:pt idx="21">4</cx:pt>
          <cx:pt idx="22">4</cx:pt>
          <cx:pt idx="23">4</cx:pt>
          <cx:pt idx="24">4</cx:pt>
          <cx:pt idx="25">4</cx:pt>
          <cx:pt idx="26">4</cx:pt>
          <cx:pt idx="27">4</cx:pt>
          <cx:pt idx="28">4</cx:pt>
          <cx:pt idx="29">5</cx:pt>
          <cx:pt idx="30">5</cx:pt>
          <cx:pt idx="31">5</cx:pt>
          <cx:pt idx="32">5</cx:pt>
          <cx:pt idx="33">5</cx:pt>
          <cx:pt idx="34">5</cx:pt>
          <cx:pt idx="35">5</cx:pt>
          <cx:pt idx="36">5</cx:pt>
          <cx:pt idx="37">5</cx:pt>
          <cx:pt idx="38">5</cx:pt>
          <cx:pt idx="39">5</cx:pt>
          <cx:pt idx="40">5</cx:pt>
          <cx:pt idx="41">5</cx:pt>
          <cx:pt idx="42">5</cx:pt>
          <cx:pt idx="43">5</cx:pt>
          <cx:pt idx="44">5</cx:pt>
          <cx:pt idx="45">5</cx:pt>
          <cx:pt idx="46">5</cx:pt>
          <cx:pt idx="47">5</cx:pt>
          <cx:pt idx="48">5</cx:pt>
          <cx:pt idx="49">5</cx:pt>
          <cx:pt idx="50">5</cx:pt>
          <cx:pt idx="51">5</cx:pt>
          <cx:pt idx="52">5</cx:pt>
          <cx:pt idx="53">5</cx:pt>
          <cx:pt idx="54">5</cx:pt>
          <cx:pt idx="55">5</cx:pt>
          <cx:pt idx="56">5</cx:pt>
          <cx:pt idx="57">5</cx:pt>
          <cx:pt idx="58">5</cx:pt>
          <cx:pt idx="59">5</cx:pt>
          <cx:pt idx="60">5</cx:pt>
          <cx:pt idx="61">5</cx:pt>
        </cx:lvl>
      </cx:numDim>
    </cx:data>
  </cx:chartData>
  <cx:chart>
    <cx:plotArea>
      <cx:plotAreaRegion>
        <cx:series layoutId="clusteredColumn" uniqueId="{0D5B6CBC-9100-4234-87EB-C5101A019D90}">
          <cx:tx>
            <cx:txData>
              <cx:f>'Main data'!$C$1</cx:f>
              <cx:v>CRPD Category Value</cx:v>
            </cx:txData>
          </cx:tx>
          <cx:dataId val="0"/>
          <cx:layoutPr>
            <cx:binning intervalClosed="r">
              <cx:binCount val="5"/>
            </cx:binning>
          </cx:layoutPr>
        </cx:series>
      </cx:plotAreaRegion>
      <cx:axis id="0">
        <cx:catScaling gapWidth="0"/>
        <cx:title>
          <cx:tx>
            <cx:txData>
              <cx:v>Category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Category</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'Main data'!$H$3:$H$63</cx:f>
        <cx:lvl ptCount="61" formatCode="General">
          <cx:pt idx="0">51.590000000000003</cx:pt>
          <cx:pt idx="1">54.130000000000003</cx:pt>
          <cx:pt idx="4">75.700000000000003</cx:pt>
          <cx:pt idx="6">56.369999999999997</cx:pt>
          <cx:pt idx="7">69.939999999999998</cx:pt>
          <cx:pt idx="8">41.289999999999999</cx:pt>
          <cx:pt idx="9">66.489999999999995</cx:pt>
          <cx:pt idx="10">67.819999999999993</cx:pt>
          <cx:pt idx="11">77.760000000000005</cx:pt>
          <cx:pt idx="12">73.870000000000005</cx:pt>
          <cx:pt idx="13">67.870000000000005</cx:pt>
          <cx:pt idx="14">77.879999999999995</cx:pt>
          <cx:pt idx="15">72.430000000000007</cx:pt>
          <cx:pt idx="16">55.43</cx:pt>
          <cx:pt idx="17">59.030000000000001</cx:pt>
          <cx:pt idx="18">58.439999999999998</cx:pt>
          <cx:pt idx="19">50.25</cx:pt>
          <cx:pt idx="20">85.129999999999995</cx:pt>
          <cx:pt idx="21">58.990000000000002</cx:pt>
          <cx:pt idx="22">45.630000000000003</cx:pt>
          <cx:pt idx="23">53.939999999999998</cx:pt>
          <cx:pt idx="24">71.180000000000007</cx:pt>
          <cx:pt idx="25">60.68</cx:pt>
          <cx:pt idx="26">72.780000000000001</cx:pt>
          <cx:pt idx="28">55.170000000000002</cx:pt>
          <cx:pt idx="29">53.289999999999999</cx:pt>
          <cx:pt idx="30">73.180000000000007</cx:pt>
          <cx:pt idx="31">43.490000000000002</cx:pt>
          <cx:pt idx="32">46.100000000000001</cx:pt>
          <cx:pt idx="33">60.109999999999999</cx:pt>
          <cx:pt idx="34">76.829999999999998</cx:pt>
          <cx:pt idx="35">52.030000000000001</cx:pt>
          <cx:pt idx="36">46.140000000000001</cx:pt>
          <cx:pt idx="37">73.659999999999997</cx:pt>
          <cx:pt idx="38">75.859999999999999</cx:pt>
          <cx:pt idx="39">73.159999999999997</cx:pt>
          <cx:pt idx="40">45.609999999999999</cx:pt>
          <cx:pt idx="41">62.990000000000002</cx:pt>
          <cx:pt idx="42">66.090000000000003</cx:pt>
          <cx:pt idx="43">53.759999999999998</cx:pt>
          <cx:pt idx="44">61.509999999999998</cx:pt>
          <cx:pt idx="45">67.450000000000003</cx:pt>
          <cx:pt idx="46">64.420000000000002</cx:pt>
          <cx:pt idx="47">55.390000000000001</cx:pt>
          <cx:pt idx="48">76.829999999999998</cx:pt>
          <cx:pt idx="49">65.030000000000001</cx:pt>
          <cx:pt idx="50">51.229999999999997</cx:pt>
          <cx:pt idx="51">53.380000000000003</cx:pt>
          <cx:pt idx="52">68.469999999999999</cx:pt>
          <cx:pt idx="53">36.939999999999998</cx:pt>
          <cx:pt idx="54">75.379999999999995</cx:pt>
          <cx:pt idx="55">33.210000000000001</cx:pt>
          <cx:pt idx="56">24.629999999999999</cx:pt>
          <cx:pt idx="57">21.780000000000001</cx:pt>
          <cx:pt idx="58">52.630000000000003</cx:pt>
          <cx:pt idx="59">53.43</cx:pt>
        </cx:lvl>
      </cx:numDim>
    </cx:data>
  </cx:chartData>
  <cx:chart>
    <cx:plotArea>
      <cx:plotAreaRegion>
        <cx:series layoutId="clusteredColumn" uniqueId="{7528F725-14DF-4C34-8363-F46EB9F60494}">
          <cx:tx>
            <cx:txData>
              <cx:f>'Main data'!$H$2</cx:f>
              <cx:v/>
            </cx:txData>
          </cx:tx>
          <cx:dataId val="0"/>
          <cx:layoutPr>
            <cx:binning intervalClosed="r"/>
          </cx:layoutPr>
        </cx:series>
      </cx:plotAreaRegion>
      <cx:axis id="0">
        <cx:catScaling gapWidth="0"/>
        <cx:title>
          <cx:tx>
            <cx:txData>
              <cx:v>Safety Rating</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Safety Rating</a:t>
              </a:r>
            </a:p>
          </cx:txPr>
        </cx:title>
        <cx:tickLabels/>
      </cx:axis>
      <cx:axis id="1">
        <cx:valScaling/>
        <cx:title>
          <cx:tx>
            <cx:txData>
              <cx:v>Number of Countries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Countries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74D3D-937C-434F-B489-15344D06F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 Chen</dc:creator>
  <cp:keywords/>
  <dc:description/>
  <cp:lastModifiedBy>Wenqi Chen</cp:lastModifiedBy>
  <cp:revision>26</cp:revision>
  <dcterms:created xsi:type="dcterms:W3CDTF">2024-01-06T16:56:00Z</dcterms:created>
  <dcterms:modified xsi:type="dcterms:W3CDTF">2024-01-07T16:27:00Z</dcterms:modified>
</cp:coreProperties>
</file>