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0F2744"/>
          <w:sz w:val="44"/>
        </w:rPr>
        <w:t>User Guide</w:t>
      </w:r>
    </w:p>
    <w:p>
      <w:pPr>
        <w:jc w:val="center"/>
      </w:pPr>
      <w:r>
        <w:rPr>
          <w:rFonts w:ascii="Aptos" w:hAnsi="Aptos"/>
          <w:b/>
          <w:i w:val="0"/>
          <w:color w:val="127C86"/>
          <w:sz w:val="30"/>
        </w:rPr>
        <w:t>COFINFAD Fintech Customer Intelligence Dashboard</w:t>
      </w:r>
    </w:p>
    <w:p>
      <w:pPr>
        <w:jc w:val="center"/>
      </w:pPr>
      <w:r>
        <w:rPr>
          <w:rFonts w:ascii="Aptos" w:hAnsi="Aptos"/>
          <w:b w:val="0"/>
          <w:i w:val="0"/>
          <w:color w:val="4F6B8A"/>
          <w:sz w:val="21"/>
        </w:rPr>
        <w:t>Prepared from the application structure defined in app.R</w:t>
      </w:r>
    </w:p>
    <w:tbl>
      <w:tblPr>
        <w:tblW w:type="auto" w:w="0"/>
        <w:jc w:val="center"/>
        <w:tblLayout w:type="fixed"/>
        <w:tblLook w:firstColumn="1" w:firstRow="1" w:lastColumn="0" w:lastRow="0" w:noHBand="0" w:noVBand="1" w:val="04A0"/>
      </w:tblPr>
      <w:tblGrid>
        <w:gridCol w:w="3249"/>
        <w:gridCol w:w="3249"/>
        <w:gridCol w:w="3249"/>
      </w:tblGrid>
      <w:tr>
        <w:tc>
          <w:tcPr>
            <w:tcW w:type="dxa" w:w="2948"/>
            <w:tcMar>
              <w:top w:w="110" w:type="dxa"/>
              <w:start w:w="140" w:type="dxa"/>
              <w:bottom w:w="110" w:type="dxa"/>
              <w:end w:w="140" w:type="dxa"/>
            </w:tcMar>
            <w:vAlign w:val="center"/>
            <w:shd w:fill="103C67"/>
          </w:tcPr>
          <w:p>
            <w:pPr>
              <w:jc w:val="center"/>
            </w:pPr>
            <w:r>
              <w:rPr>
                <w:rFonts w:ascii="Aptos" w:hAnsi="Aptos"/>
                <w:b/>
                <w:i w:val="0"/>
                <w:color w:val="FFFFFF"/>
                <w:sz w:val="21"/>
              </w:rPr>
              <w:t>Application Focus</w:t>
            </w:r>
          </w:p>
        </w:tc>
        <w:tc>
          <w:tcPr>
            <w:tcW w:type="dxa" w:w="2948"/>
            <w:tcMar>
              <w:top w:w="110" w:type="dxa"/>
              <w:start w:w="140" w:type="dxa"/>
              <w:bottom w:w="110" w:type="dxa"/>
              <w:end w:w="140" w:type="dxa"/>
            </w:tcMar>
            <w:vAlign w:val="center"/>
            <w:shd w:fill="103C67"/>
          </w:tcPr>
          <w:p>
            <w:pPr>
              <w:jc w:val="center"/>
            </w:pPr>
            <w:r>
              <w:rPr>
                <w:rFonts w:ascii="Aptos" w:hAnsi="Aptos"/>
                <w:b/>
                <w:i w:val="0"/>
                <w:color w:val="FFFFFF"/>
                <w:sz w:val="21"/>
              </w:rPr>
              <w:t>Primary Analyses</w:t>
            </w:r>
          </w:p>
        </w:tc>
        <w:tc>
          <w:tcPr>
            <w:tcW w:type="dxa" w:w="2948"/>
            <w:tcMar>
              <w:top w:w="110" w:type="dxa"/>
              <w:start w:w="140" w:type="dxa"/>
              <w:bottom w:w="110" w:type="dxa"/>
              <w:end w:w="140" w:type="dxa"/>
            </w:tcMar>
            <w:vAlign w:val="center"/>
            <w:shd w:fill="103C67"/>
          </w:tcPr>
          <w:p>
            <w:pPr>
              <w:jc w:val="center"/>
            </w:pPr>
            <w:r>
              <w:rPr>
                <w:rFonts w:ascii="Aptos" w:hAnsi="Aptos"/>
                <w:b/>
                <w:i w:val="0"/>
                <w:color w:val="FFFFFF"/>
                <w:sz w:val="21"/>
              </w:rPr>
              <w:t>Main Data Source</w:t>
            </w:r>
          </w:p>
        </w:tc>
      </w:tr>
      <w:tr>
        <w:tc>
          <w:tcPr>
            <w:tcW w:type="dxa" w:w="2948"/>
            <w:tcMar>
              <w:top w:w="110" w:type="dxa"/>
              <w:start w:w="140" w:type="dxa"/>
              <w:bottom w:w="110" w:type="dxa"/>
              <w:end w:w="140" w:type="dxa"/>
            </w:tcMar>
            <w:vAlign w:val="center"/>
            <w:shd w:fill="EEF4F8"/>
          </w:tcPr>
          <w:p>
            <w:pPr>
              <w:jc w:val="center"/>
            </w:pPr>
            <w:r>
              <w:rPr>
                <w:rFonts w:ascii="Aptos" w:hAnsi="Aptos"/>
                <w:b w:val="0"/>
                <w:i w:val="0"/>
                <w:color w:val="10233C"/>
                <w:sz w:val="21"/>
              </w:rPr>
              <w:t>Interactive customer intelligence dashboard</w:t>
            </w:r>
          </w:p>
        </w:tc>
        <w:tc>
          <w:tcPr>
            <w:tcW w:type="dxa" w:w="2948"/>
            <w:tcMar>
              <w:top w:w="110" w:type="dxa"/>
              <w:start w:w="140" w:type="dxa"/>
              <w:bottom w:w="110" w:type="dxa"/>
              <w:end w:w="140" w:type="dxa"/>
            </w:tcMar>
            <w:vAlign w:val="center"/>
            <w:shd w:fill="EEF4F8"/>
          </w:tcPr>
          <w:p>
            <w:pPr>
              <w:jc w:val="center"/>
            </w:pPr>
            <w:r>
              <w:rPr>
                <w:rFonts w:ascii="Aptos" w:hAnsi="Aptos"/>
                <w:b w:val="0"/>
                <w:i w:val="0"/>
                <w:color w:val="10233C"/>
                <w:sz w:val="21"/>
              </w:rPr>
              <w:t>EDA, clustering, decision tree, business insights</w:t>
            </w:r>
          </w:p>
        </w:tc>
        <w:tc>
          <w:tcPr>
            <w:tcW w:type="dxa" w:w="2948"/>
            <w:tcMar>
              <w:top w:w="110" w:type="dxa"/>
              <w:start w:w="140" w:type="dxa"/>
              <w:bottom w:w="110" w:type="dxa"/>
              <w:end w:w="140" w:type="dxa"/>
            </w:tcMar>
            <w:vAlign w:val="center"/>
            <w:shd w:fill="EEF4F8"/>
          </w:tcPr>
          <w:p>
            <w:pPr>
              <w:jc w:val="center"/>
            </w:pPr>
            <w:r>
              <w:rPr>
                <w:rFonts w:ascii="Aptos" w:hAnsi="Aptos"/>
                <w:b w:val="0"/>
                <w:i w:val="0"/>
                <w:color w:val="10233C"/>
                <w:sz w:val="21"/>
              </w:rPr>
              <w:t>Prepared objects loaded from app_data.rds</w:t>
            </w:r>
          </w:p>
        </w:tc>
      </w:tr>
    </w:tbl>
    <w:p/>
    <w:p>
      <w:pPr>
        <w:pStyle w:val="Heading1"/>
      </w:pPr>
      <w:r>
        <w:rPr>
          <w:rFonts w:ascii="Aptos" w:hAnsi="Aptos"/>
          <w:b/>
          <w:i w:val="0"/>
          <w:color w:val="0F2744"/>
          <w:sz w:val="28"/>
        </w:rPr>
        <w:t>1. Purpose of this Guide</w:t>
      </w:r>
    </w:p>
    <w:p>
      <w:pPr>
        <w:spacing w:after="160"/>
      </w:pPr>
      <w:r>
        <w:rPr>
          <w:rFonts w:ascii="Aptos" w:hAnsi="Aptos"/>
          <w:b w:val="0"/>
          <w:i w:val="0"/>
          <w:sz w:val="22"/>
        </w:rPr>
        <w:t>This guide explains how to use the COFINFAD Fintech Customer Intelligence Dashboard, including the dashboard layout, available controls, analytical modules, expected outputs, downloads, and practical operating notes. The guide is based on the current Shiny application logic in app.R.</w:t>
      </w:r>
    </w:p>
    <w:p>
      <w:pPr>
        <w:pStyle w:val="Heading1"/>
      </w:pPr>
      <w:r>
        <w:rPr>
          <w:rFonts w:ascii="Aptos" w:hAnsi="Aptos"/>
          <w:b/>
          <w:i w:val="0"/>
          <w:color w:val="0F2744"/>
          <w:sz w:val="28"/>
        </w:rPr>
        <w:t>2. Before You Start</w:t>
      </w:r>
    </w:p>
    <w:p>
      <w:pPr>
        <w:pStyle w:val="ListBullet"/>
        <w:spacing w:after="60"/>
      </w:pPr>
      <w:r>
        <w:rPr>
          <w:rFonts w:ascii="Aptos" w:hAnsi="Aptos"/>
          <w:b w:val="0"/>
          <w:i w:val="0"/>
          <w:sz w:val="22"/>
        </w:rPr>
        <w:t>The application is a Shiny dashboard written in R and uses app_data.rds as its prepared data source.</w:t>
      </w:r>
    </w:p>
    <w:p>
      <w:pPr>
        <w:pStyle w:val="ListBullet"/>
        <w:spacing w:after="60"/>
      </w:pPr>
      <w:r>
        <w:rPr>
          <w:rFonts w:ascii="Aptos" w:hAnsi="Aptos"/>
          <w:b w:val="0"/>
          <w:i w:val="0"/>
          <w:sz w:val="22"/>
        </w:rPr>
        <w:t>The app requires the packages referenced in app.R, including shiny, shinydashboard, dplyr, ggplot2, DT, rpart, and related libraries.</w:t>
      </w:r>
    </w:p>
    <w:p>
      <w:pPr>
        <w:pStyle w:val="ListBullet"/>
        <w:spacing w:after="60"/>
      </w:pPr>
      <w:r>
        <w:rPr>
          <w:rFonts w:ascii="Aptos" w:hAnsi="Aptos"/>
          <w:b w:val="0"/>
          <w:i w:val="0"/>
          <w:sz w:val="22"/>
        </w:rPr>
        <w:t>For deployment, app.R and app_data.rds should be kept in the same application directory.</w:t>
      </w:r>
    </w:p>
    <w:p>
      <w:pPr>
        <w:pStyle w:val="Heading1"/>
      </w:pPr>
      <w:r>
        <w:rPr>
          <w:rFonts w:ascii="Aptos" w:hAnsi="Aptos"/>
          <w:b/>
          <w:i w:val="0"/>
          <w:color w:val="0F2744"/>
          <w:sz w:val="28"/>
        </w:rPr>
        <w:t>3. Interface Overview</w:t>
      </w:r>
    </w:p>
    <w:p>
      <w:r>
        <w:rPr>
          <w:rFonts w:ascii="Aptos" w:hAnsi="Aptos"/>
          <w:b w:val="0"/>
          <w:i w:val="0"/>
          <w:sz w:val="22"/>
        </w:rPr>
        <w:t>The application uses a left sidebar for navigation and global filtering, and a main content area for charts, tables, model outputs, and explanatory panels.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shd w:fill="0E7078"/>
            <w:tcMar>
              <w:top w:w="90" w:type="dxa"/>
              <w:start w:w="120" w:type="dxa"/>
              <w:bottom w:w="90" w:type="dxa"/>
              <w:end w:w="120" w:type="dxa"/>
            </w:tcMar>
            <w:vAlign w:val="center"/>
          </w:tcPr>
          <w:p>
            <w:pPr>
              <w:jc w:val="center"/>
            </w:pPr>
            <w:r>
              <w:rPr>
                <w:rFonts w:ascii="Aptos" w:hAnsi="Aptos"/>
                <w:b/>
                <w:i w:val="0"/>
                <w:color w:val="FFFFFF"/>
                <w:sz w:val="21"/>
              </w:rPr>
              <w:t>Area</w:t>
            </w:r>
          </w:p>
        </w:tc>
        <w:tc>
          <w:tcPr>
            <w:tcW w:type="dxa" w:w="2721"/>
            <w:shd w:fill="0E7078"/>
            <w:tcMar>
              <w:top w:w="90" w:type="dxa"/>
              <w:start w:w="120" w:type="dxa"/>
              <w:bottom w:w="90" w:type="dxa"/>
              <w:end w:w="120" w:type="dxa"/>
            </w:tcMar>
            <w:vAlign w:val="center"/>
          </w:tcPr>
          <w:p>
            <w:pPr>
              <w:jc w:val="center"/>
            </w:pPr>
            <w:r>
              <w:rPr>
                <w:rFonts w:ascii="Aptos" w:hAnsi="Aptos"/>
                <w:b/>
                <w:i w:val="0"/>
                <w:color w:val="FFFFFF"/>
                <w:sz w:val="21"/>
              </w:rPr>
              <w:t>Location</w:t>
            </w:r>
          </w:p>
        </w:tc>
        <w:tc>
          <w:tcPr>
            <w:tcW w:type="dxa" w:w="3969"/>
            <w:shd w:fill="0E7078"/>
            <w:tcMar>
              <w:top w:w="90" w:type="dxa"/>
              <w:start w:w="120" w:type="dxa"/>
              <w:bottom w:w="90" w:type="dxa"/>
              <w:end w:w="120" w:type="dxa"/>
            </w:tcMar>
            <w:vAlign w:val="center"/>
          </w:tcPr>
          <w:p>
            <w:pPr>
              <w:jc w:val="center"/>
            </w:pPr>
            <w:r>
              <w:rPr>
                <w:rFonts w:ascii="Aptos" w:hAnsi="Aptos"/>
                <w:b/>
                <w:i w:val="0"/>
                <w:color w:val="FFFFFF"/>
                <w:sz w:val="21"/>
              </w:rPr>
              <w:t>What it does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1"/>
              </w:rPr>
              <w:t>Header</w:t>
            </w:r>
          </w:p>
        </w:tc>
        <w:tc>
          <w:tcPr>
            <w:tcW w:type="dxa" w:w="2721"/>
            <w:tcMar>
              <w:top w:w="90" w:type="dxa"/>
              <w:start w:w="120" w:type="dxa"/>
              <w:bottom w:w="90" w:type="dxa"/>
              <w:end w:w="120" w:type="dxa"/>
            </w:tcMar>
            <w:vAlign w:val="center"/>
          </w:tcPr>
          <w:p>
            <w:pPr>
              <w:jc w:val="center"/>
            </w:pPr>
            <w:r>
              <w:rPr>
                <w:rFonts w:ascii="Aptos" w:hAnsi="Aptos"/>
                <w:b w:val="0"/>
                <w:i w:val="0"/>
                <w:sz w:val="21"/>
              </w:rPr>
              <w:t>Top of page</w:t>
            </w:r>
          </w:p>
        </w:tc>
        <w:tc>
          <w:tcPr>
            <w:tcW w:type="dxa" w:w="3969"/>
            <w:tcMar>
              <w:top w:w="90" w:type="dxa"/>
              <w:start w:w="120" w:type="dxa"/>
              <w:bottom w:w="90" w:type="dxa"/>
              <w:end w:w="120" w:type="dxa"/>
            </w:tcMar>
            <w:vAlign w:val="center"/>
          </w:tcPr>
          <w:p>
            <w:pPr>
              <w:jc w:val="left"/>
            </w:pPr>
            <w:r>
              <w:rPr>
                <w:rFonts w:ascii="Aptos" w:hAnsi="Aptos"/>
                <w:b w:val="0"/>
                <w:i w:val="0"/>
                <w:sz w:val="21"/>
              </w:rPr>
              <w:t>Shows the dashboard title and fintech branding.</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1"/>
              </w:rPr>
              <w:t>Sidebar</w:t>
            </w:r>
          </w:p>
        </w:tc>
        <w:tc>
          <w:tcPr>
            <w:tcW w:type="dxa" w:w="2721"/>
            <w:tcMar>
              <w:top w:w="90" w:type="dxa"/>
              <w:start w:w="120" w:type="dxa"/>
              <w:bottom w:w="90" w:type="dxa"/>
              <w:end w:w="120" w:type="dxa"/>
            </w:tcMar>
            <w:vAlign w:val="center"/>
          </w:tcPr>
          <w:p>
            <w:pPr>
              <w:jc w:val="center"/>
            </w:pPr>
            <w:r>
              <w:rPr>
                <w:rFonts w:ascii="Aptos" w:hAnsi="Aptos"/>
                <w:b w:val="0"/>
                <w:i w:val="0"/>
                <w:sz w:val="21"/>
              </w:rPr>
              <w:t>Left panel</w:t>
            </w:r>
          </w:p>
        </w:tc>
        <w:tc>
          <w:tcPr>
            <w:tcW w:type="dxa" w:w="3969"/>
            <w:tcMar>
              <w:top w:w="90" w:type="dxa"/>
              <w:start w:w="120" w:type="dxa"/>
              <w:bottom w:w="90" w:type="dxa"/>
              <w:end w:w="120" w:type="dxa"/>
            </w:tcMar>
            <w:vAlign w:val="center"/>
          </w:tcPr>
          <w:p>
            <w:pPr>
              <w:jc w:val="left"/>
            </w:pPr>
            <w:r>
              <w:rPr>
                <w:rFonts w:ascii="Aptos" w:hAnsi="Aptos"/>
                <w:b w:val="0"/>
                <w:i w:val="0"/>
                <w:sz w:val="21"/>
              </w:rPr>
              <w:t>Contains navigation tabs and global reactive filters.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1"/>
              </w:rPr>
              <w:t>Main body</w:t>
            </w:r>
          </w:p>
        </w:tc>
        <w:tc>
          <w:tcPr>
            <w:tcW w:type="dxa" w:w="2721"/>
            <w:tcMar>
              <w:top w:w="90" w:type="dxa"/>
              <w:start w:w="120" w:type="dxa"/>
              <w:bottom w:w="90" w:type="dxa"/>
              <w:end w:w="120" w:type="dxa"/>
            </w:tcMar>
            <w:vAlign w:val="center"/>
          </w:tcPr>
          <w:p>
            <w:pPr>
              <w:jc w:val="center"/>
            </w:pPr>
            <w:r>
              <w:rPr>
                <w:rFonts w:ascii="Aptos" w:hAnsi="Aptos"/>
                <w:b w:val="0"/>
                <w:i w:val="0"/>
                <w:sz w:val="21"/>
              </w:rPr>
              <w:t>Center/right panel</w:t>
            </w:r>
          </w:p>
        </w:tc>
        <w:tc>
          <w:tcPr>
            <w:tcW w:type="dxa" w:w="3969"/>
            <w:tcMar>
              <w:top w:w="90" w:type="dxa"/>
              <w:start w:w="120" w:type="dxa"/>
              <w:bottom w:w="90" w:type="dxa"/>
              <w:end w:w="120" w:type="dxa"/>
            </w:tcMar>
            <w:vAlign w:val="center"/>
          </w:tcPr>
          <w:p>
            <w:pPr>
              <w:jc w:val="left"/>
            </w:pPr>
            <w:r>
              <w:rPr>
                <w:rFonts w:ascii="Aptos" w:hAnsi="Aptos"/>
                <w:b w:val="0"/>
                <w:i w:val="0"/>
                <w:sz w:val="21"/>
              </w:rPr>
              <w:t>Displays KPI cards, charts, tables, model outputs, and insight text.</w:t>
            </w:r>
          </w:p>
        </w:tc>
      </w:tr>
    </w:tbl>
    <w:p/>
    <w:p>
      <w:pPr>
        <w:pStyle w:val="Heading1"/>
      </w:pPr>
      <w:r>
        <w:rPr>
          <w:rFonts w:ascii="Aptos" w:hAnsi="Aptos"/>
          <w:b/>
          <w:i w:val="0"/>
          <w:color w:val="0F2744"/>
          <w:sz w:val="28"/>
        </w:rPr>
        <w:t>4. Global Reactive Filters</w:t>
      </w:r>
    </w:p>
    <w:p>
      <w:r>
        <w:rPr>
          <w:rFonts w:ascii="Aptos" w:hAnsi="Aptos"/>
          <w:b w:val="0"/>
          <w:i w:val="0"/>
          <w:sz w:val="22"/>
        </w:rPr>
        <w:t>The sidebar includes a collapsible filter panel labelled Global Reactive Filters. These controls affect nearly all downstream plots, tables, and models.</w:t>
      </w:r>
    </w:p>
    <w:tbl>
      <w:tblPr>
        <w:tblW w:type="auto" w:w="0"/>
        <w:jc w:val="center"/>
        <w:tblLayout w:type="fixed"/>
        <w:tblLook w:firstColumn="1" w:firstRow="1" w:lastColumn="0" w:lastRow="0" w:noHBand="0" w:noVBand="1" w:val="04A0"/>
      </w:tblPr>
      <w:tblGrid>
        <w:gridCol w:w="4873"/>
        <w:gridCol w:w="4873"/>
      </w:tblGrid>
      <w:tr>
        <w:tc>
          <w:tcPr>
            <w:tcW w:type="dxa" w:w="2835"/>
            <w:shd w:fill="103C67"/>
            <w:tcMar>
              <w:top w:w="90" w:type="dxa"/>
              <w:start w:w="120" w:type="dxa"/>
              <w:bottom w:w="90" w:type="dxa"/>
              <w:end w:w="120" w:type="dxa"/>
            </w:tcMar>
          </w:tcPr>
          <w:p>
            <w:pPr>
              <w:jc w:val="center"/>
            </w:pPr>
            <w:r>
              <w:rPr>
                <w:rFonts w:ascii="Aptos" w:hAnsi="Aptos"/>
                <w:b/>
                <w:i w:val="0"/>
                <w:color w:val="FFFFFF"/>
                <w:sz w:val="21"/>
              </w:rPr>
              <w:t>Filter</w:t>
            </w:r>
          </w:p>
        </w:tc>
        <w:tc>
          <w:tcPr>
            <w:tcW w:type="dxa" w:w="6236"/>
            <w:shd w:fill="103C67"/>
            <w:tcMar>
              <w:top w:w="90" w:type="dxa"/>
              <w:start w:w="120" w:type="dxa"/>
              <w:bottom w:w="90" w:type="dxa"/>
              <w:end w:w="120" w:type="dxa"/>
            </w:tcMar>
          </w:tcPr>
          <w:p>
            <w:pPr>
              <w:jc w:val="center"/>
            </w:pPr>
            <w:r>
              <w:rPr>
                <w:rFonts w:ascii="Aptos" w:hAnsi="Aptos"/>
                <w:b/>
                <w:i w:val="0"/>
                <w:color w:val="FFFFFF"/>
                <w:sz w:val="21"/>
              </w:rPr>
              <w:t>Description</w:t>
            </w:r>
          </w:p>
        </w:tc>
      </w:tr>
      <w:tr>
        <w:tc>
          <w:tcPr>
            <w:tcW w:type="dxa" w:w="2835"/>
            <w:tcMar>
              <w:top w:w="90" w:type="dxa"/>
              <w:start w:w="120" w:type="dxa"/>
              <w:bottom w:w="90" w:type="dxa"/>
              <w:end w:w="120" w:type="dxa"/>
            </w:tcMar>
            <w:vAlign w:val="center"/>
            <w:shd w:fill="F3F7FA"/>
          </w:tcPr>
          <w:p>
            <w:r>
              <w:rPr>
                <w:rFonts w:ascii="Aptos" w:hAnsi="Aptos"/>
                <w:b w:val="0"/>
                <w:i w:val="0"/>
                <w:sz w:val="21"/>
              </w:rPr>
              <w:t>Gender</w:t>
            </w:r>
          </w:p>
        </w:tc>
        <w:tc>
          <w:tcPr>
            <w:tcW w:type="dxa" w:w="6236"/>
            <w:tcMar>
              <w:top w:w="90" w:type="dxa"/>
              <w:start w:w="120" w:type="dxa"/>
              <w:bottom w:w="90" w:type="dxa"/>
              <w:end w:w="120" w:type="dxa"/>
            </w:tcMar>
            <w:vAlign w:val="center"/>
          </w:tcPr>
          <w:p>
            <w:r>
              <w:rPr>
                <w:rFonts w:ascii="Aptos" w:hAnsi="Aptos"/>
                <w:b w:val="0"/>
                <w:i w:val="0"/>
                <w:sz w:val="21"/>
              </w:rPr>
              <w:t>Choose All or a specific gender.</w:t>
            </w:r>
          </w:p>
        </w:tc>
      </w:tr>
      <w:tr>
        <w:tc>
          <w:tcPr>
            <w:tcW w:type="dxa" w:w="2835"/>
            <w:tcMar>
              <w:top w:w="90" w:type="dxa"/>
              <w:start w:w="120" w:type="dxa"/>
              <w:bottom w:w="90" w:type="dxa"/>
              <w:end w:w="120" w:type="dxa"/>
            </w:tcMar>
            <w:vAlign w:val="center"/>
            <w:shd w:fill="F3F7FA"/>
          </w:tcPr>
          <w:p>
            <w:r>
              <w:rPr>
                <w:rFonts w:ascii="Aptos" w:hAnsi="Aptos"/>
                <w:b w:val="0"/>
                <w:i w:val="0"/>
                <w:sz w:val="21"/>
              </w:rPr>
              <w:t>Income Bracket</w:t>
            </w:r>
          </w:p>
        </w:tc>
        <w:tc>
          <w:tcPr>
            <w:tcW w:type="dxa" w:w="6236"/>
            <w:tcMar>
              <w:top w:w="90" w:type="dxa"/>
              <w:start w:w="120" w:type="dxa"/>
              <w:bottom w:w="90" w:type="dxa"/>
              <w:end w:w="120" w:type="dxa"/>
            </w:tcMar>
            <w:vAlign w:val="center"/>
          </w:tcPr>
          <w:p>
            <w:r>
              <w:rPr>
                <w:rFonts w:ascii="Aptos" w:hAnsi="Aptos"/>
                <w:b w:val="0"/>
                <w:i w:val="0"/>
                <w:sz w:val="21"/>
              </w:rPr>
              <w:t>Select one or more income groups.</w:t>
            </w:r>
          </w:p>
        </w:tc>
      </w:tr>
      <w:tr>
        <w:tc>
          <w:tcPr>
            <w:tcW w:type="dxa" w:w="2835"/>
            <w:tcMar>
              <w:top w:w="90" w:type="dxa"/>
              <w:start w:w="120" w:type="dxa"/>
              <w:bottom w:w="90" w:type="dxa"/>
              <w:end w:w="120" w:type="dxa"/>
            </w:tcMar>
            <w:vAlign w:val="center"/>
            <w:shd w:fill="F3F7FA"/>
          </w:tcPr>
          <w:p>
            <w:r>
              <w:rPr>
                <w:rFonts w:ascii="Aptos" w:hAnsi="Aptos"/>
                <w:b w:val="0"/>
                <w:i w:val="0"/>
                <w:sz w:val="21"/>
              </w:rPr>
              <w:t>Customer Segment</w:t>
            </w:r>
          </w:p>
        </w:tc>
        <w:tc>
          <w:tcPr>
            <w:tcW w:type="dxa" w:w="6236"/>
            <w:tcMar>
              <w:top w:w="90" w:type="dxa"/>
              <w:start w:w="120" w:type="dxa"/>
              <w:bottom w:w="90" w:type="dxa"/>
              <w:end w:w="120" w:type="dxa"/>
            </w:tcMar>
            <w:vAlign w:val="center"/>
          </w:tcPr>
          <w:p>
            <w:r>
              <w:rPr>
                <w:rFonts w:ascii="Aptos" w:hAnsi="Aptos"/>
                <w:b w:val="0"/>
                <w:i w:val="0"/>
                <w:sz w:val="21"/>
              </w:rPr>
              <w:t>Filter customers by segment membership.</w:t>
            </w:r>
          </w:p>
        </w:tc>
      </w:tr>
      <w:tr>
        <w:tc>
          <w:tcPr>
            <w:tcW w:type="dxa" w:w="2835"/>
            <w:tcMar>
              <w:top w:w="90" w:type="dxa"/>
              <w:start w:w="120" w:type="dxa"/>
              <w:bottom w:w="90" w:type="dxa"/>
              <w:end w:w="120" w:type="dxa"/>
            </w:tcMar>
            <w:vAlign w:val="center"/>
            <w:shd w:fill="F3F7FA"/>
          </w:tcPr>
          <w:p>
            <w:r>
              <w:rPr>
                <w:rFonts w:ascii="Aptos" w:hAnsi="Aptos"/>
                <w:b w:val="0"/>
                <w:i w:val="0"/>
                <w:sz w:val="21"/>
              </w:rPr>
              <w:t>CLV Segment</w:t>
            </w:r>
          </w:p>
        </w:tc>
        <w:tc>
          <w:tcPr>
            <w:tcW w:type="dxa" w:w="6236"/>
            <w:tcMar>
              <w:top w:w="90" w:type="dxa"/>
              <w:start w:w="120" w:type="dxa"/>
              <w:bottom w:w="90" w:type="dxa"/>
              <w:end w:w="120" w:type="dxa"/>
            </w:tcMar>
            <w:vAlign w:val="center"/>
          </w:tcPr>
          <w:p>
            <w:r>
              <w:rPr>
                <w:rFonts w:ascii="Aptos" w:hAnsi="Aptos"/>
                <w:b w:val="0"/>
                <w:i w:val="0"/>
                <w:sz w:val="21"/>
              </w:rPr>
              <w:t>Filter by Bronze, Silver, Gold, or Platinum where applicable.</w:t>
            </w:r>
          </w:p>
        </w:tc>
      </w:tr>
      <w:tr>
        <w:tc>
          <w:tcPr>
            <w:tcW w:type="dxa" w:w="2835"/>
            <w:tcMar>
              <w:top w:w="90" w:type="dxa"/>
              <w:start w:w="120" w:type="dxa"/>
              <w:bottom w:w="90" w:type="dxa"/>
              <w:end w:w="120" w:type="dxa"/>
            </w:tcMar>
            <w:vAlign w:val="center"/>
            <w:shd w:fill="F3F7FA"/>
          </w:tcPr>
          <w:p>
            <w:r>
              <w:rPr>
                <w:rFonts w:ascii="Aptos" w:hAnsi="Aptos"/>
                <w:b w:val="0"/>
                <w:i w:val="0"/>
                <w:sz w:val="21"/>
              </w:rPr>
              <w:t>Location</w:t>
            </w:r>
          </w:p>
        </w:tc>
        <w:tc>
          <w:tcPr>
            <w:tcW w:type="dxa" w:w="6236"/>
            <w:tcMar>
              <w:top w:w="90" w:type="dxa"/>
              <w:start w:w="120" w:type="dxa"/>
              <w:bottom w:w="90" w:type="dxa"/>
              <w:end w:w="120" w:type="dxa"/>
            </w:tcMar>
            <w:vAlign w:val="center"/>
          </w:tcPr>
          <w:p>
            <w:r>
              <w:rPr>
                <w:rFonts w:ascii="Aptos" w:hAnsi="Aptos"/>
                <w:b w:val="0"/>
                <w:i w:val="0"/>
                <w:sz w:val="21"/>
              </w:rPr>
              <w:t>Restrict the analysis to selected locations.</w:t>
            </w:r>
          </w:p>
        </w:tc>
      </w:tr>
      <w:tr>
        <w:tc>
          <w:tcPr>
            <w:tcW w:type="dxa" w:w="2835"/>
            <w:tcMar>
              <w:top w:w="90" w:type="dxa"/>
              <w:start w:w="120" w:type="dxa"/>
              <w:bottom w:w="90" w:type="dxa"/>
              <w:end w:w="120" w:type="dxa"/>
            </w:tcMar>
            <w:vAlign w:val="center"/>
            <w:shd w:fill="F3F7FA"/>
          </w:tcPr>
          <w:p>
            <w:r>
              <w:rPr>
                <w:rFonts w:ascii="Aptos" w:hAnsi="Aptos"/>
                <w:b w:val="0"/>
                <w:i w:val="0"/>
                <w:sz w:val="21"/>
              </w:rPr>
              <w:t>Transaction Types</w:t>
            </w:r>
          </w:p>
        </w:tc>
        <w:tc>
          <w:tcPr>
            <w:tcW w:type="dxa" w:w="6236"/>
            <w:tcMar>
              <w:top w:w="90" w:type="dxa"/>
              <w:start w:w="120" w:type="dxa"/>
              <w:bottom w:w="90" w:type="dxa"/>
              <w:end w:w="120" w:type="dxa"/>
            </w:tcMar>
            <w:vAlign w:val="center"/>
          </w:tcPr>
          <w:p>
            <w:r>
              <w:rPr>
                <w:rFonts w:ascii="Aptos" w:hAnsi="Aptos"/>
                <w:b w:val="0"/>
                <w:i w:val="0"/>
                <w:sz w:val="21"/>
              </w:rPr>
              <w:t>Include or exclude transaction categories.</w:t>
            </w:r>
          </w:p>
        </w:tc>
      </w:tr>
      <w:tr>
        <w:tc>
          <w:tcPr>
            <w:tcW w:type="dxa" w:w="2835"/>
            <w:tcMar>
              <w:top w:w="90" w:type="dxa"/>
              <w:start w:w="120" w:type="dxa"/>
              <w:bottom w:w="90" w:type="dxa"/>
              <w:end w:w="120" w:type="dxa"/>
            </w:tcMar>
            <w:vAlign w:val="center"/>
            <w:shd w:fill="F3F7FA"/>
          </w:tcPr>
          <w:p>
            <w:r>
              <w:rPr>
                <w:rFonts w:ascii="Aptos" w:hAnsi="Aptos"/>
                <w:b w:val="0"/>
                <w:i w:val="0"/>
                <w:sz w:val="21"/>
              </w:rPr>
              <w:t>Transaction Date Range</w:t>
            </w:r>
          </w:p>
        </w:tc>
        <w:tc>
          <w:tcPr>
            <w:tcW w:type="dxa" w:w="6236"/>
            <w:tcMar>
              <w:top w:w="90" w:type="dxa"/>
              <w:start w:w="120" w:type="dxa"/>
              <w:bottom w:w="90" w:type="dxa"/>
              <w:end w:w="120" w:type="dxa"/>
            </w:tcMar>
            <w:vAlign w:val="center"/>
          </w:tcPr>
          <w:p>
            <w:r>
              <w:rPr>
                <w:rFonts w:ascii="Aptos" w:hAnsi="Aptos"/>
                <w:b w:val="0"/>
                <w:i w:val="0"/>
                <w:sz w:val="21"/>
              </w:rPr>
              <w:t>Control the analysis period used by transaction-based outputs.</w:t>
            </w:r>
          </w:p>
        </w:tc>
      </w:tr>
      <w:tr>
        <w:tc>
          <w:tcPr>
            <w:tcW w:type="dxa" w:w="2835"/>
            <w:tcMar>
              <w:top w:w="90" w:type="dxa"/>
              <w:start w:w="120" w:type="dxa"/>
              <w:bottom w:w="90" w:type="dxa"/>
              <w:end w:w="120" w:type="dxa"/>
            </w:tcMar>
            <w:vAlign w:val="center"/>
            <w:shd w:fill="F3F7FA"/>
          </w:tcPr>
          <w:p>
            <w:r>
              <w:rPr>
                <w:rFonts w:ascii="Aptos" w:hAnsi="Aptos"/>
                <w:b w:val="0"/>
                <w:i w:val="0"/>
                <w:sz w:val="21"/>
              </w:rPr>
              <w:t>Reset Filters</w:t>
            </w:r>
          </w:p>
        </w:tc>
        <w:tc>
          <w:tcPr>
            <w:tcW w:type="dxa" w:w="6236"/>
            <w:tcMar>
              <w:top w:w="90" w:type="dxa"/>
              <w:start w:w="120" w:type="dxa"/>
              <w:bottom w:w="90" w:type="dxa"/>
              <w:end w:w="120" w:type="dxa"/>
            </w:tcMar>
            <w:vAlign w:val="center"/>
          </w:tcPr>
          <w:p>
            <w:r>
              <w:rPr>
                <w:rFonts w:ascii="Aptos" w:hAnsi="Aptos"/>
                <w:b w:val="0"/>
                <w:i w:val="0"/>
                <w:sz w:val="21"/>
              </w:rPr>
              <w:t>Returns all filters to their default values.</w:t>
            </w:r>
          </w:p>
        </w:tc>
      </w:tr>
    </w:tbl>
    <w:p/>
    <w:p>
      <w:pPr>
        <w:pStyle w:val="Heading1"/>
      </w:pPr>
      <w:r>
        <w:rPr>
          <w:rFonts w:ascii="Aptos" w:hAnsi="Aptos"/>
          <w:b/>
          <w:i w:val="0"/>
          <w:color w:val="0F2744"/>
          <w:sz w:val="28"/>
        </w:rPr>
        <w:t>5. Navigation Modules</w:t>
      </w:r>
    </w:p>
    <w:p>
      <w:r>
        <w:rPr>
          <w:rFonts w:ascii="Aptos" w:hAnsi="Aptos"/>
          <w:b w:val="0"/>
          <w:i w:val="0"/>
          <w:sz w:val="22"/>
        </w:rPr>
        <w:t>The sidebar menu is organised into major analytical modules. Each module contains one or more sub-pages.</w:t>
      </w:r>
    </w:p>
    <w:tbl>
      <w:tblPr>
        <w:tblW w:type="auto" w:w="0"/>
        <w:jc w:val="center"/>
        <w:tblLayout w:type="fixed"/>
        <w:tblLook w:firstColumn="1" w:firstRow="1" w:lastColumn="0" w:lastRow="0" w:noHBand="0" w:noVBand="1" w:val="04A0"/>
      </w:tblPr>
      <w:tblGrid>
        <w:gridCol w:w="3249"/>
        <w:gridCol w:w="3249"/>
        <w:gridCol w:w="3249"/>
      </w:tblGrid>
      <w:tr>
        <w:tc>
          <w:tcPr>
            <w:tcW w:type="dxa" w:w="2268"/>
            <w:shd w:fill="0E7078"/>
            <w:tcMar>
              <w:top w:w="90" w:type="dxa"/>
              <w:start w:w="120" w:type="dxa"/>
              <w:bottom w:w="90" w:type="dxa"/>
              <w:end w:w="120" w:type="dxa"/>
            </w:tcMar>
          </w:tcPr>
          <w:p>
            <w:pPr>
              <w:jc w:val="center"/>
            </w:pPr>
            <w:r>
              <w:rPr>
                <w:rFonts w:ascii="Aptos" w:hAnsi="Aptos"/>
                <w:b/>
                <w:i w:val="0"/>
                <w:color w:val="FFFFFF"/>
                <w:sz w:val="21"/>
              </w:rPr>
              <w:t>Module</w:t>
            </w:r>
          </w:p>
        </w:tc>
        <w:tc>
          <w:tcPr>
            <w:tcW w:type="dxa" w:w="3402"/>
            <w:shd w:fill="0E7078"/>
            <w:tcMar>
              <w:top w:w="90" w:type="dxa"/>
              <w:start w:w="120" w:type="dxa"/>
              <w:bottom w:w="90" w:type="dxa"/>
              <w:end w:w="120" w:type="dxa"/>
            </w:tcMar>
          </w:tcPr>
          <w:p>
            <w:pPr>
              <w:jc w:val="center"/>
            </w:pPr>
            <w:r>
              <w:rPr>
                <w:rFonts w:ascii="Aptos" w:hAnsi="Aptos"/>
                <w:b/>
                <w:i w:val="0"/>
                <w:color w:val="FFFFFF"/>
                <w:sz w:val="21"/>
              </w:rPr>
              <w:t>Sub-pages</w:t>
            </w:r>
          </w:p>
        </w:tc>
        <w:tc>
          <w:tcPr>
            <w:tcW w:type="dxa" w:w="3402"/>
            <w:shd w:fill="0E7078"/>
            <w:tcMar>
              <w:top w:w="90" w:type="dxa"/>
              <w:start w:w="120" w:type="dxa"/>
              <w:bottom w:w="90" w:type="dxa"/>
              <w:end w:w="120" w:type="dxa"/>
            </w:tcMar>
          </w:tcPr>
          <w:p>
            <w:pPr>
              <w:jc w:val="center"/>
            </w:pPr>
            <w:r>
              <w:rPr>
                <w:rFonts w:ascii="Aptos" w:hAnsi="Aptos"/>
                <w:b/>
                <w:i w:val="0"/>
                <w:color w:val="FFFFFF"/>
                <w:sz w:val="21"/>
              </w:rPr>
              <w:t>Main use</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Dashboard</w:t>
            </w:r>
          </w:p>
        </w:tc>
        <w:tc>
          <w:tcPr>
            <w:tcW w:type="dxa" w:w="3402"/>
            <w:tcMar>
              <w:top w:w="90" w:type="dxa"/>
              <w:start w:w="120" w:type="dxa"/>
              <w:bottom w:w="90" w:type="dxa"/>
              <w:end w:w="120" w:type="dxa"/>
            </w:tcMar>
            <w:vAlign w:val="center"/>
          </w:tcPr>
          <w:p>
            <w:pPr>
              <w:jc w:val="left"/>
            </w:pPr>
            <w:r>
              <w:rPr>
                <w:rFonts w:ascii="Aptos" w:hAnsi="Aptos"/>
                <w:b w:val="0"/>
                <w:i w:val="0"/>
                <w:sz w:val="20"/>
              </w:rPr>
              <w:t>KPI Cards, Customer Snapshot, Segment Snapshot</w:t>
            </w:r>
          </w:p>
        </w:tc>
        <w:tc>
          <w:tcPr>
            <w:tcW w:type="dxa" w:w="3402"/>
            <w:tcMar>
              <w:top w:w="90" w:type="dxa"/>
              <w:start w:w="120" w:type="dxa"/>
              <w:bottom w:w="90" w:type="dxa"/>
              <w:end w:w="120" w:type="dxa"/>
            </w:tcMar>
            <w:vAlign w:val="center"/>
          </w:tcPr>
          <w:p>
            <w:pPr>
              <w:jc w:val="left"/>
            </w:pPr>
            <w:r>
              <w:rPr>
                <w:rFonts w:ascii="Aptos" w:hAnsi="Aptos"/>
                <w:b w:val="0"/>
                <w:i w:val="0"/>
                <w:sz w:val="20"/>
              </w:rPr>
              <w:t>Quick monitoring view for customer counts, CLV, churn, transaction summaries, and headline distributions.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Data Analysis</w:t>
            </w:r>
          </w:p>
        </w:tc>
        <w:tc>
          <w:tcPr>
            <w:tcW w:type="dxa" w:w="3402"/>
            <w:tcMar>
              <w:top w:w="90" w:type="dxa"/>
              <w:start w:w="120" w:type="dxa"/>
              <w:bottom w:w="90" w:type="dxa"/>
              <w:end w:w="120" w:type="dxa"/>
            </w:tcMar>
            <w:vAlign w:val="center"/>
          </w:tcPr>
          <w:p>
            <w:pPr>
              <w:jc w:val="left"/>
            </w:pPr>
            <w:r>
              <w:rPr>
                <w:rFonts w:ascii="Aptos" w:hAnsi="Aptos"/>
                <w:b w:val="0"/>
                <w:i w:val="0"/>
                <w:sz w:val="20"/>
              </w:rPr>
              <w:t>Customer Profile, Transaction Behavior, CLV / Churn Analysis</w:t>
            </w:r>
          </w:p>
        </w:tc>
        <w:tc>
          <w:tcPr>
            <w:tcW w:type="dxa" w:w="3402"/>
            <w:tcMar>
              <w:top w:w="90" w:type="dxa"/>
              <w:start w:w="120" w:type="dxa"/>
              <w:bottom w:w="90" w:type="dxa"/>
              <w:end w:w="120" w:type="dxa"/>
            </w:tcMar>
            <w:vAlign w:val="center"/>
          </w:tcPr>
          <w:p>
            <w:pPr>
              <w:jc w:val="left"/>
            </w:pPr>
            <w:r>
              <w:rPr>
                <w:rFonts w:ascii="Aptos" w:hAnsi="Aptos"/>
                <w:b w:val="0"/>
                <w:i w:val="0"/>
                <w:sz w:val="20"/>
              </w:rPr>
              <w:t>Exploratory analysis of demographics, acquisition channels, transaction patterns, and key relationships.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Clustering</w:t>
            </w:r>
          </w:p>
        </w:tc>
        <w:tc>
          <w:tcPr>
            <w:tcW w:type="dxa" w:w="3402"/>
            <w:tcMar>
              <w:top w:w="90" w:type="dxa"/>
              <w:start w:w="120" w:type="dxa"/>
              <w:bottom w:w="90" w:type="dxa"/>
              <w:end w:w="120" w:type="dxa"/>
            </w:tcMar>
            <w:vAlign w:val="center"/>
          </w:tcPr>
          <w:p>
            <w:pPr>
              <w:jc w:val="left"/>
            </w:pPr>
            <w:r>
              <w:rPr>
                <w:rFonts w:ascii="Aptos" w:hAnsi="Aptos"/>
                <w:b w:val="0"/>
                <w:i w:val="0"/>
                <w:sz w:val="20"/>
              </w:rPr>
              <w:t>Cluster Overview, Segment Profiles, Cluster Comparison</w:t>
            </w:r>
          </w:p>
        </w:tc>
        <w:tc>
          <w:tcPr>
            <w:tcW w:type="dxa" w:w="3402"/>
            <w:tcMar>
              <w:top w:w="90" w:type="dxa"/>
              <w:start w:w="120" w:type="dxa"/>
              <w:bottom w:w="90" w:type="dxa"/>
              <w:end w:w="120" w:type="dxa"/>
            </w:tcMar>
            <w:vAlign w:val="center"/>
          </w:tcPr>
          <w:p>
            <w:pPr>
              <w:jc w:val="left"/>
            </w:pPr>
            <w:r>
              <w:rPr>
                <w:rFonts w:ascii="Aptos" w:hAnsi="Aptos"/>
                <w:b w:val="0"/>
                <w:i w:val="0"/>
                <w:sz w:val="20"/>
              </w:rPr>
              <w:t>Runs K-means clustering on selected customer-level features and compares resulting cluster behaviour.</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CLV Decision Tree</w:t>
            </w:r>
          </w:p>
        </w:tc>
        <w:tc>
          <w:tcPr>
            <w:tcW w:type="dxa" w:w="3402"/>
            <w:tcMar>
              <w:top w:w="90" w:type="dxa"/>
              <w:start w:w="120" w:type="dxa"/>
              <w:bottom w:w="90" w:type="dxa"/>
              <w:end w:w="120" w:type="dxa"/>
            </w:tcMar>
            <w:vAlign w:val="center"/>
          </w:tcPr>
          <w:p>
            <w:pPr>
              <w:jc w:val="left"/>
            </w:pPr>
            <w:r>
              <w:rPr>
                <w:rFonts w:ascii="Aptos" w:hAnsi="Aptos"/>
                <w:b w:val="0"/>
                <w:i w:val="0"/>
                <w:sz w:val="20"/>
              </w:rPr>
              <w:t>Model Setup, Tree Plot, Performance, Rules / Terminal Nodes</w:t>
            </w:r>
          </w:p>
        </w:tc>
        <w:tc>
          <w:tcPr>
            <w:tcW w:type="dxa" w:w="3402"/>
            <w:tcMar>
              <w:top w:w="90" w:type="dxa"/>
              <w:start w:w="120" w:type="dxa"/>
              <w:bottom w:w="90" w:type="dxa"/>
              <w:end w:w="120" w:type="dxa"/>
            </w:tcMar>
            <w:vAlign w:val="center"/>
          </w:tcPr>
          <w:p>
            <w:pPr>
              <w:jc w:val="left"/>
            </w:pPr>
            <w:r>
              <w:rPr>
                <w:rFonts w:ascii="Aptos" w:hAnsi="Aptos"/>
                <w:b w:val="0"/>
                <w:i w:val="0"/>
                <w:sz w:val="20"/>
              </w:rPr>
              <w:t>Builds a classification tree for clv_segment using configurable controls.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Business Insights</w:t>
            </w:r>
          </w:p>
        </w:tc>
        <w:tc>
          <w:tcPr>
            <w:tcW w:type="dxa" w:w="3402"/>
            <w:tcMar>
              <w:top w:w="90" w:type="dxa"/>
              <w:start w:w="120" w:type="dxa"/>
              <w:bottom w:w="90" w:type="dxa"/>
              <w:end w:w="120" w:type="dxa"/>
            </w:tcMar>
            <w:vAlign w:val="center"/>
          </w:tcPr>
          <w:p>
            <w:pPr>
              <w:jc w:val="left"/>
            </w:pPr>
            <w:r>
              <w:rPr>
                <w:rFonts w:ascii="Aptos" w:hAnsi="Aptos"/>
                <w:b w:val="0"/>
                <w:i w:val="0"/>
                <w:sz w:val="20"/>
              </w:rPr>
              <w:t>Key Findings, Segment Actions, CLV Driver Summary</w:t>
            </w:r>
          </w:p>
        </w:tc>
        <w:tc>
          <w:tcPr>
            <w:tcW w:type="dxa" w:w="3402"/>
            <w:tcMar>
              <w:top w:w="90" w:type="dxa"/>
              <w:start w:w="120" w:type="dxa"/>
              <w:bottom w:w="90" w:type="dxa"/>
              <w:end w:w="120" w:type="dxa"/>
            </w:tcMar>
            <w:vAlign w:val="center"/>
          </w:tcPr>
          <w:p>
            <w:pPr>
              <w:jc w:val="left"/>
            </w:pPr>
            <w:r>
              <w:rPr>
                <w:rFonts w:ascii="Aptos" w:hAnsi="Aptos"/>
                <w:b w:val="0"/>
                <w:i w:val="0"/>
                <w:sz w:val="20"/>
              </w:rPr>
              <w:t>Translates analytical output into executive-level observations and recommended actions.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Shared Data Backbone</w:t>
            </w:r>
          </w:p>
        </w:tc>
        <w:tc>
          <w:tcPr>
            <w:tcW w:type="dxa" w:w="3402"/>
            <w:tcMar>
              <w:top w:w="90" w:type="dxa"/>
              <w:start w:w="120" w:type="dxa"/>
              <w:bottom w:w="90" w:type="dxa"/>
              <w:end w:w="120" w:type="dxa"/>
            </w:tcMar>
            <w:vAlign w:val="center"/>
          </w:tcPr>
          <w:p>
            <w:pPr>
              <w:jc w:val="left"/>
            </w:pPr>
            <w:r>
              <w:rPr>
                <w:rFonts w:ascii="Aptos" w:hAnsi="Aptos"/>
                <w:b w:val="0"/>
                <w:i w:val="0"/>
                <w:sz w:val="20"/>
              </w:rPr>
              <w:t>Customer Data, Transaction Data, Master Dataset, Reactive Filters</w:t>
            </w:r>
          </w:p>
        </w:tc>
        <w:tc>
          <w:tcPr>
            <w:tcW w:type="dxa" w:w="3402"/>
            <w:tcMar>
              <w:top w:w="90" w:type="dxa"/>
              <w:start w:w="120" w:type="dxa"/>
              <w:bottom w:w="90" w:type="dxa"/>
              <w:end w:w="120" w:type="dxa"/>
            </w:tcMar>
            <w:vAlign w:val="center"/>
          </w:tcPr>
          <w:p>
            <w:pPr>
              <w:jc w:val="left"/>
            </w:pPr>
            <w:r>
              <w:rPr>
                <w:rFonts w:ascii="Aptos" w:hAnsi="Aptos"/>
                <w:b w:val="0"/>
                <w:i w:val="0"/>
                <w:sz w:val="20"/>
              </w:rPr>
              <w:t>Shows filtered tables and allows exports of customer and master datasets.</w:t>
            </w:r>
          </w:p>
        </w:tc>
      </w:tr>
      <w:tr>
        <w:tc>
          <w:tcPr>
            <w:tcW w:type="dxa" w:w="2268"/>
            <w:tcMar>
              <w:top w:w="90" w:type="dxa"/>
              <w:start w:w="120" w:type="dxa"/>
              <w:bottom w:w="90" w:type="dxa"/>
              <w:end w:w="120" w:type="dxa"/>
            </w:tcMar>
            <w:vAlign w:val="center"/>
            <w:shd w:fill="F3F7FA"/>
          </w:tcPr>
          <w:p>
            <w:pPr>
              <w:jc w:val="left"/>
            </w:pPr>
            <w:r>
              <w:rPr>
                <w:rFonts w:ascii="Aptos" w:hAnsi="Aptos"/>
                <w:b w:val="0"/>
                <w:i w:val="0"/>
                <w:sz w:val="20"/>
              </w:rPr>
              <w:t>About</w:t>
            </w:r>
          </w:p>
        </w:tc>
        <w:tc>
          <w:tcPr>
            <w:tcW w:type="dxa" w:w="3402"/>
            <w:tcMar>
              <w:top w:w="90" w:type="dxa"/>
              <w:start w:w="120" w:type="dxa"/>
              <w:bottom w:w="90" w:type="dxa"/>
              <w:end w:w="120" w:type="dxa"/>
            </w:tcMar>
            <w:vAlign w:val="center"/>
          </w:tcPr>
          <w:p>
            <w:pPr>
              <w:jc w:val="left"/>
            </w:pPr>
            <w:r>
              <w:rPr>
                <w:rFonts w:ascii="Aptos" w:hAnsi="Aptos"/>
                <w:b w:val="0"/>
                <w:i w:val="0"/>
                <w:sz w:val="20"/>
              </w:rPr>
              <w:t>Single page</w:t>
            </w:r>
          </w:p>
        </w:tc>
        <w:tc>
          <w:tcPr>
            <w:tcW w:type="dxa" w:w="3402"/>
            <w:tcMar>
              <w:top w:w="90" w:type="dxa"/>
              <w:start w:w="120" w:type="dxa"/>
              <w:bottom w:w="90" w:type="dxa"/>
              <w:end w:w="120" w:type="dxa"/>
            </w:tcMar>
            <w:vAlign w:val="center"/>
          </w:tcPr>
          <w:p>
            <w:pPr>
              <w:jc w:val="left"/>
            </w:pPr>
            <w:r>
              <w:rPr>
                <w:rFonts w:ascii="Aptos" w:hAnsi="Aptos"/>
                <w:b w:val="0"/>
                <w:i w:val="0"/>
                <w:sz w:val="20"/>
              </w:rPr>
              <w:t>Summarises the app purpose, scope, and design intent.</w:t>
            </w:r>
          </w:p>
        </w:tc>
      </w:tr>
    </w:tbl>
    <w:p/>
    <w:p>
      <w:pPr>
        <w:pStyle w:val="Heading1"/>
      </w:pPr>
      <w:r>
        <w:rPr>
          <w:rFonts w:ascii="Aptos" w:hAnsi="Aptos"/>
          <w:b/>
          <w:i w:val="0"/>
          <w:color w:val="0F2744"/>
          <w:sz w:val="28"/>
        </w:rPr>
        <w:t>6. How to Use the Dashboard</w:t>
      </w:r>
    </w:p>
    <w:p>
      <w:pPr>
        <w:pStyle w:val="ListNumber"/>
        <w:spacing w:after="60"/>
      </w:pPr>
      <w:r>
        <w:rPr>
          <w:rFonts w:ascii="Aptos" w:hAnsi="Aptos"/>
          <w:b w:val="0"/>
          <w:i w:val="0"/>
          <w:sz w:val="22"/>
        </w:rPr>
        <w:t>Open the application and confirm that the default dashboard page loads successfully.</w:t>
      </w:r>
    </w:p>
    <w:p>
      <w:pPr>
        <w:pStyle w:val="ListNumber"/>
        <w:spacing w:after="60"/>
      </w:pPr>
      <w:r>
        <w:rPr>
          <w:rFonts w:ascii="Aptos" w:hAnsi="Aptos"/>
          <w:b w:val="0"/>
          <w:i w:val="0"/>
          <w:sz w:val="22"/>
        </w:rPr>
        <w:t>Review the Global Reactive Filters and set the target cohort, period, and transaction types.</w:t>
      </w:r>
    </w:p>
    <w:p>
      <w:pPr>
        <w:pStyle w:val="ListNumber"/>
        <w:spacing w:after="60"/>
      </w:pPr>
      <w:r>
        <w:rPr>
          <w:rFonts w:ascii="Aptos" w:hAnsi="Aptos"/>
          <w:b w:val="0"/>
          <w:i w:val="0"/>
          <w:sz w:val="22"/>
        </w:rPr>
        <w:t>Start with Dashboard pages to understand high-level KPIs and the current filtered population.</w:t>
      </w:r>
    </w:p>
    <w:p>
      <w:pPr>
        <w:pStyle w:val="ListNumber"/>
        <w:spacing w:after="60"/>
      </w:pPr>
      <w:r>
        <w:rPr>
          <w:rFonts w:ascii="Aptos" w:hAnsi="Aptos"/>
          <w:b w:val="0"/>
          <w:i w:val="0"/>
          <w:sz w:val="22"/>
        </w:rPr>
        <w:t>Move to Data Analysis for deeper descriptive exploration of demographics, behaviour, and CLV/churn relationships.</w:t>
      </w:r>
    </w:p>
    <w:p>
      <w:pPr>
        <w:pStyle w:val="ListNumber"/>
        <w:spacing w:after="60"/>
      </w:pPr>
      <w:r>
        <w:rPr>
          <w:rFonts w:ascii="Aptos" w:hAnsi="Aptos"/>
          <w:b w:val="0"/>
          <w:i w:val="0"/>
          <w:sz w:val="22"/>
        </w:rPr>
        <w:t>Use the Clustering module to select clustering variables, choose the number of clusters, and run K-means.</w:t>
      </w:r>
    </w:p>
    <w:p>
      <w:pPr>
        <w:pStyle w:val="ListNumber"/>
        <w:spacing w:after="60"/>
      </w:pPr>
      <w:r>
        <w:rPr>
          <w:rFonts w:ascii="Aptos" w:hAnsi="Aptos"/>
          <w:b w:val="0"/>
          <w:i w:val="0"/>
          <w:sz w:val="22"/>
        </w:rPr>
        <w:t>Use the CLV Decision Tree module to choose the predictor group, adjust model parameters, and train the tree.</w:t>
      </w:r>
    </w:p>
    <w:p>
      <w:pPr>
        <w:pStyle w:val="ListNumber"/>
        <w:spacing w:after="60"/>
      </w:pPr>
      <w:r>
        <w:rPr>
          <w:rFonts w:ascii="Aptos" w:hAnsi="Aptos"/>
          <w:b w:val="0"/>
          <w:i w:val="0"/>
          <w:sz w:val="22"/>
        </w:rPr>
        <w:t>Review Business Insights to translate the output into recommended segment actions and driver summaries.</w:t>
      </w:r>
    </w:p>
    <w:p>
      <w:pPr>
        <w:pStyle w:val="ListNumber"/>
        <w:spacing w:after="60"/>
      </w:pPr>
      <w:r>
        <w:rPr>
          <w:rFonts w:ascii="Aptos" w:hAnsi="Aptos"/>
          <w:b w:val="0"/>
          <w:i w:val="0"/>
          <w:sz w:val="22"/>
        </w:rPr>
        <w:t>Download filtered customer or master datasets when you need to continue analysis outside the app.</w:t>
      </w:r>
    </w:p>
    <w:p>
      <w:pPr>
        <w:pStyle w:val="Heading2"/>
      </w:pPr>
      <w:r>
        <w:rPr>
          <w:rFonts w:ascii="Aptos" w:hAnsi="Aptos"/>
          <w:b/>
          <w:i w:val="0"/>
          <w:color w:val="127C86"/>
          <w:sz w:val="24"/>
        </w:rPr>
        <w:t>6.1 Dashboard module</w:t>
      </w:r>
    </w:p>
    <w:p>
      <w:r>
        <w:rPr>
          <w:rFonts w:ascii="Aptos" w:hAnsi="Aptos"/>
          <w:b w:val="0"/>
          <w:i w:val="0"/>
          <w:sz w:val="22"/>
        </w:rPr>
        <w:t>This module contains the KPI cards, monthly transaction amount, transaction type mix, and filter snapshot. It is intended for quick orientation before deeper analysis.</w:t>
      </w:r>
    </w:p>
    <w:p>
      <w:pPr>
        <w:pStyle w:val="Heading2"/>
      </w:pPr>
      <w:r>
        <w:rPr>
          <w:rFonts w:ascii="Aptos" w:hAnsi="Aptos"/>
          <w:b/>
          <w:i w:val="0"/>
          <w:color w:val="127C86"/>
          <w:sz w:val="24"/>
        </w:rPr>
        <w:t>6.2 Data Analysis module</w:t>
      </w:r>
    </w:p>
    <w:p>
      <w:r>
        <w:rPr>
          <w:rFonts w:ascii="Aptos" w:hAnsi="Aptos"/>
          <w:b w:val="0"/>
          <w:i w:val="0"/>
          <w:sz w:val="22"/>
        </w:rPr>
        <w:t>This module presents demographic distributions, acquisition-channel comparisons, satisfaction and tenure boxplots, transaction trend charts, and a CLV versus churn scatter plot. The driver correlation table supports quick identification of potentially important features.</w:t>
      </w:r>
    </w:p>
    <w:p>
      <w:pPr>
        <w:pStyle w:val="Heading2"/>
      </w:pPr>
      <w:r>
        <w:rPr>
          <w:rFonts w:ascii="Aptos" w:hAnsi="Aptos"/>
          <w:b/>
          <w:i w:val="0"/>
          <w:color w:val="127C86"/>
          <w:sz w:val="24"/>
        </w:rPr>
        <w:t>6.3 Clustering module</w:t>
      </w:r>
    </w:p>
    <w:p>
      <w:r>
        <w:rPr>
          <w:rFonts w:ascii="Aptos" w:hAnsi="Aptos"/>
          <w:b w:val="0"/>
          <w:i w:val="0"/>
          <w:sz w:val="22"/>
        </w:rPr>
        <w:t>Users choose clustering variables, the number of clusters, and the sample size used for K-means. The app then produces a PCA-based cluster scatter plot, a cluster size table, a standardised profile heatmap, and comparison plots.</w:t>
      </w:r>
    </w:p>
    <w:p>
      <w:pPr>
        <w:pStyle w:val="Heading2"/>
      </w:pPr>
      <w:r>
        <w:rPr>
          <w:rFonts w:ascii="Aptos" w:hAnsi="Aptos"/>
          <w:b/>
          <w:i w:val="0"/>
          <w:color w:val="127C86"/>
          <w:sz w:val="24"/>
        </w:rPr>
        <w:t>6.4 CLV Decision Tree module</w:t>
      </w:r>
    </w:p>
    <w:p>
      <w:r>
        <w:rPr>
          <w:rFonts w:ascii="Aptos" w:hAnsi="Aptos"/>
          <w:b w:val="0"/>
          <w:i w:val="0"/>
          <w:sz w:val="22"/>
        </w:rPr>
        <w:t>Users choose a predictor group and set max depth, minimum split size, complexity parameter, train/test split, and random seed. The model predicts clv_segment and displays the tree, accuracy, recall table, variable importance, rules, and terminal nodes.</w:t>
      </w:r>
    </w:p>
    <w:p>
      <w:pPr>
        <w:pStyle w:val="Heading2"/>
      </w:pPr>
      <w:r>
        <w:rPr>
          <w:rFonts w:ascii="Aptos" w:hAnsi="Aptos"/>
          <w:b/>
          <w:i w:val="0"/>
          <w:color w:val="127C86"/>
          <w:sz w:val="24"/>
        </w:rPr>
        <w:t>6.5 Business Insights module</w:t>
      </w:r>
    </w:p>
    <w:p>
      <w:r>
        <w:rPr>
          <w:rFonts w:ascii="Aptos" w:hAnsi="Aptos"/>
          <w:b w:val="0"/>
          <w:i w:val="0"/>
          <w:sz w:val="22"/>
        </w:rPr>
        <w:t>This module converts analytical output into management-friendly findings, segment actions, and CLV driver interpretation. It is useful for presentations and executive summaries.</w:t>
      </w:r>
    </w:p>
    <w:p>
      <w:pPr>
        <w:pStyle w:val="Heading2"/>
      </w:pPr>
      <w:r>
        <w:rPr>
          <w:rFonts w:ascii="Aptos" w:hAnsi="Aptos"/>
          <w:b/>
          <w:i w:val="0"/>
          <w:color w:val="127C86"/>
          <w:sz w:val="24"/>
        </w:rPr>
        <w:t>6.6 Shared Data Backbone module</w:t>
      </w:r>
    </w:p>
    <w:p>
      <w:r>
        <w:rPr>
          <w:rFonts w:ascii="Aptos" w:hAnsi="Aptos"/>
          <w:b w:val="0"/>
          <w:i w:val="0"/>
          <w:sz w:val="22"/>
        </w:rPr>
        <w:t>This area provides filtered customer data, transaction samples, enriched master data, and CSV download buttons.</w:t>
      </w:r>
    </w:p>
    <w:p>
      <w:pPr>
        <w:pStyle w:val="Heading1"/>
      </w:pPr>
      <w:r>
        <w:rPr>
          <w:rFonts w:ascii="Aptos" w:hAnsi="Aptos"/>
          <w:b/>
          <w:i w:val="0"/>
          <w:color w:val="0F2744"/>
          <w:sz w:val="28"/>
        </w:rPr>
        <w:t>7. Key Inputs and Outputs</w:t>
      </w:r>
    </w:p>
    <w:tbl>
      <w:tblPr>
        <w:tblW w:type="auto" w:w="0"/>
        <w:jc w:val="center"/>
        <w:tblLayout w:type="fixed"/>
        <w:tblLook w:firstColumn="1" w:firstRow="1" w:lastColumn="0" w:lastRow="0" w:noHBand="0" w:noVBand="1" w:val="04A0"/>
      </w:tblPr>
      <w:tblGrid>
        <w:gridCol w:w="3249"/>
        <w:gridCol w:w="3249"/>
        <w:gridCol w:w="3249"/>
      </w:tblGrid>
      <w:tr>
        <w:tc>
          <w:tcPr>
            <w:tcW w:type="dxa" w:w="2381"/>
            <w:shd w:fill="103C67"/>
            <w:tcMar>
              <w:top w:w="90" w:type="dxa"/>
              <w:start w:w="120" w:type="dxa"/>
              <w:bottom w:w="90" w:type="dxa"/>
              <w:end w:w="120" w:type="dxa"/>
            </w:tcMar>
          </w:tcPr>
          <w:p>
            <w:pPr>
              <w:jc w:val="center"/>
            </w:pPr>
            <w:r>
              <w:rPr>
                <w:rFonts w:ascii="Aptos" w:hAnsi="Aptos"/>
                <w:b/>
                <w:i w:val="0"/>
                <w:color w:val="FFFFFF"/>
                <w:sz w:val="21"/>
              </w:rPr>
              <w:t>Feature type</w:t>
            </w:r>
          </w:p>
        </w:tc>
        <w:tc>
          <w:tcPr>
            <w:tcW w:type="dxa" w:w="3061"/>
            <w:shd w:fill="103C67"/>
            <w:tcMar>
              <w:top w:w="90" w:type="dxa"/>
              <w:start w:w="120" w:type="dxa"/>
              <w:bottom w:w="90" w:type="dxa"/>
              <w:end w:w="120" w:type="dxa"/>
            </w:tcMar>
          </w:tcPr>
          <w:p>
            <w:pPr>
              <w:jc w:val="center"/>
            </w:pPr>
            <w:r>
              <w:rPr>
                <w:rFonts w:ascii="Aptos" w:hAnsi="Aptos"/>
                <w:b/>
                <w:i w:val="0"/>
                <w:color w:val="FFFFFF"/>
                <w:sz w:val="21"/>
              </w:rPr>
              <w:t>Examples in app</w:t>
            </w:r>
          </w:p>
        </w:tc>
        <w:tc>
          <w:tcPr>
            <w:tcW w:type="dxa" w:w="3628"/>
            <w:shd w:fill="103C67"/>
            <w:tcMar>
              <w:top w:w="90" w:type="dxa"/>
              <w:start w:w="120" w:type="dxa"/>
              <w:bottom w:w="90" w:type="dxa"/>
              <w:end w:w="120" w:type="dxa"/>
            </w:tcMar>
          </w:tcPr>
          <w:p>
            <w:pPr>
              <w:jc w:val="center"/>
            </w:pPr>
            <w:r>
              <w:rPr>
                <w:rFonts w:ascii="Aptos" w:hAnsi="Aptos"/>
                <w:b/>
                <w:i w:val="0"/>
                <w:color w:val="FFFFFF"/>
                <w:sz w:val="21"/>
              </w:rPr>
              <w:t>Typical output</w:t>
            </w:r>
          </w:p>
        </w:tc>
      </w:tr>
      <w:tr>
        <w:tc>
          <w:tcPr>
            <w:tcW w:type="dxa" w:w="2381"/>
            <w:tcMar>
              <w:top w:w="90" w:type="dxa"/>
              <w:start w:w="120" w:type="dxa"/>
              <w:bottom w:w="90" w:type="dxa"/>
              <w:end w:w="120" w:type="dxa"/>
            </w:tcMar>
            <w:vAlign w:val="center"/>
            <w:shd w:fill="F3F7FA"/>
          </w:tcPr>
          <w:p>
            <w:r>
              <w:rPr>
                <w:rFonts w:ascii="Aptos" w:hAnsi="Aptos"/>
                <w:b w:val="0"/>
                <w:i w:val="0"/>
                <w:sz w:val="20"/>
              </w:rPr>
              <w:t>Filters</w:t>
            </w:r>
          </w:p>
        </w:tc>
        <w:tc>
          <w:tcPr>
            <w:tcW w:type="dxa" w:w="3061"/>
            <w:tcMar>
              <w:top w:w="90" w:type="dxa"/>
              <w:start w:w="120" w:type="dxa"/>
              <w:bottom w:w="90" w:type="dxa"/>
              <w:end w:w="120" w:type="dxa"/>
            </w:tcMar>
            <w:vAlign w:val="center"/>
          </w:tcPr>
          <w:p>
            <w:r>
              <w:rPr>
                <w:rFonts w:ascii="Aptos" w:hAnsi="Aptos"/>
                <w:b w:val="0"/>
                <w:i w:val="0"/>
                <w:sz w:val="20"/>
              </w:rPr>
              <w:t>Gender, segment, CLV, location, transaction date range</w:t>
            </w:r>
          </w:p>
        </w:tc>
        <w:tc>
          <w:tcPr>
            <w:tcW w:type="dxa" w:w="3628"/>
            <w:tcMar>
              <w:top w:w="90" w:type="dxa"/>
              <w:start w:w="120" w:type="dxa"/>
              <w:bottom w:w="90" w:type="dxa"/>
              <w:end w:w="120" w:type="dxa"/>
            </w:tcMar>
            <w:vAlign w:val="center"/>
          </w:tcPr>
          <w:p>
            <w:r>
              <w:rPr>
                <w:rFonts w:ascii="Aptos" w:hAnsi="Aptos"/>
                <w:b w:val="0"/>
                <w:i w:val="0"/>
                <w:sz w:val="20"/>
              </w:rPr>
              <w:t>All downstream pages refresh to reflect the selected cohort.</w:t>
            </w:r>
          </w:p>
        </w:tc>
      </w:tr>
      <w:tr>
        <w:tc>
          <w:tcPr>
            <w:tcW w:type="dxa" w:w="2381"/>
            <w:tcMar>
              <w:top w:w="90" w:type="dxa"/>
              <w:start w:w="120" w:type="dxa"/>
              <w:bottom w:w="90" w:type="dxa"/>
              <w:end w:w="120" w:type="dxa"/>
            </w:tcMar>
            <w:vAlign w:val="center"/>
            <w:shd w:fill="F3F7FA"/>
          </w:tcPr>
          <w:p>
            <w:r>
              <w:rPr>
                <w:rFonts w:ascii="Aptos" w:hAnsi="Aptos"/>
                <w:b w:val="0"/>
                <w:i w:val="0"/>
                <w:sz w:val="20"/>
              </w:rPr>
              <w:t>Clustering controls</w:t>
            </w:r>
          </w:p>
        </w:tc>
        <w:tc>
          <w:tcPr>
            <w:tcW w:type="dxa" w:w="3061"/>
            <w:tcMar>
              <w:top w:w="90" w:type="dxa"/>
              <w:start w:w="120" w:type="dxa"/>
              <w:bottom w:w="90" w:type="dxa"/>
              <w:end w:w="120" w:type="dxa"/>
            </w:tcMar>
            <w:vAlign w:val="center"/>
          </w:tcPr>
          <w:p>
            <w:r>
              <w:rPr>
                <w:rFonts w:ascii="Aptos" w:hAnsi="Aptos"/>
                <w:b w:val="0"/>
                <w:i w:val="0"/>
                <w:sz w:val="20"/>
              </w:rPr>
              <w:t>Cluster variables, k, sample size</w:t>
            </w:r>
          </w:p>
        </w:tc>
        <w:tc>
          <w:tcPr>
            <w:tcW w:type="dxa" w:w="3628"/>
            <w:tcMar>
              <w:top w:w="90" w:type="dxa"/>
              <w:start w:w="120" w:type="dxa"/>
              <w:bottom w:w="90" w:type="dxa"/>
              <w:end w:w="120" w:type="dxa"/>
            </w:tcMar>
            <w:vAlign w:val="center"/>
          </w:tcPr>
          <w:p>
            <w:r>
              <w:rPr>
                <w:rFonts w:ascii="Aptos" w:hAnsi="Aptos"/>
                <w:b w:val="0"/>
                <w:i w:val="0"/>
                <w:sz w:val="20"/>
              </w:rPr>
              <w:t>Cluster scatter plot, heatmap, cluster profile table.</w:t>
            </w:r>
          </w:p>
        </w:tc>
      </w:tr>
      <w:tr>
        <w:tc>
          <w:tcPr>
            <w:tcW w:type="dxa" w:w="2381"/>
            <w:tcMar>
              <w:top w:w="90" w:type="dxa"/>
              <w:start w:w="120" w:type="dxa"/>
              <w:bottom w:w="90" w:type="dxa"/>
              <w:end w:w="120" w:type="dxa"/>
            </w:tcMar>
            <w:vAlign w:val="center"/>
            <w:shd w:fill="F3F7FA"/>
          </w:tcPr>
          <w:p>
            <w:r>
              <w:rPr>
                <w:rFonts w:ascii="Aptos" w:hAnsi="Aptos"/>
                <w:b w:val="0"/>
                <w:i w:val="0"/>
                <w:sz w:val="20"/>
              </w:rPr>
              <w:t>Tree controls</w:t>
            </w:r>
          </w:p>
        </w:tc>
        <w:tc>
          <w:tcPr>
            <w:tcW w:type="dxa" w:w="3061"/>
            <w:tcMar>
              <w:top w:w="90" w:type="dxa"/>
              <w:start w:w="120" w:type="dxa"/>
              <w:bottom w:w="90" w:type="dxa"/>
              <w:end w:w="120" w:type="dxa"/>
            </w:tcMar>
            <w:vAlign w:val="center"/>
          </w:tcPr>
          <w:p>
            <w:r>
              <w:rPr>
                <w:rFonts w:ascii="Aptos" w:hAnsi="Aptos"/>
                <w:b w:val="0"/>
                <w:i w:val="0"/>
                <w:sz w:val="20"/>
              </w:rPr>
              <w:t>Predictor group, max depth, min split, cp, train ratio, seed</w:t>
            </w:r>
          </w:p>
        </w:tc>
        <w:tc>
          <w:tcPr>
            <w:tcW w:type="dxa" w:w="3628"/>
            <w:tcMar>
              <w:top w:w="90" w:type="dxa"/>
              <w:start w:w="120" w:type="dxa"/>
              <w:bottom w:w="90" w:type="dxa"/>
              <w:end w:w="120" w:type="dxa"/>
            </w:tcMar>
            <w:vAlign w:val="center"/>
          </w:tcPr>
          <w:p>
            <w:r>
              <w:rPr>
                <w:rFonts w:ascii="Aptos" w:hAnsi="Aptos"/>
                <w:b w:val="0"/>
                <w:i w:val="0"/>
                <w:sz w:val="20"/>
              </w:rPr>
              <w:t>Tree plot, confusion matrix, recall table, variable importance, rules.</w:t>
            </w:r>
          </w:p>
        </w:tc>
      </w:tr>
      <w:tr>
        <w:tc>
          <w:tcPr>
            <w:tcW w:type="dxa" w:w="2381"/>
            <w:tcMar>
              <w:top w:w="90" w:type="dxa"/>
              <w:start w:w="120" w:type="dxa"/>
              <w:bottom w:w="90" w:type="dxa"/>
              <w:end w:w="120" w:type="dxa"/>
            </w:tcMar>
            <w:vAlign w:val="center"/>
            <w:shd w:fill="F3F7FA"/>
          </w:tcPr>
          <w:p>
            <w:r>
              <w:rPr>
                <w:rFonts w:ascii="Aptos" w:hAnsi="Aptos"/>
                <w:b w:val="0"/>
                <w:i w:val="0"/>
                <w:sz w:val="20"/>
              </w:rPr>
              <w:t>Downloads</w:t>
            </w:r>
          </w:p>
        </w:tc>
        <w:tc>
          <w:tcPr>
            <w:tcW w:type="dxa" w:w="3061"/>
            <w:tcMar>
              <w:top w:w="90" w:type="dxa"/>
              <w:start w:w="120" w:type="dxa"/>
              <w:bottom w:w="90" w:type="dxa"/>
              <w:end w:w="120" w:type="dxa"/>
            </w:tcMar>
            <w:vAlign w:val="center"/>
          </w:tcPr>
          <w:p>
            <w:r>
              <w:rPr>
                <w:rFonts w:ascii="Aptos" w:hAnsi="Aptos"/>
                <w:b w:val="0"/>
                <w:i w:val="0"/>
                <w:sz w:val="20"/>
              </w:rPr>
              <w:t>Filtered customer CSV, filtered master CSV</w:t>
            </w:r>
          </w:p>
        </w:tc>
        <w:tc>
          <w:tcPr>
            <w:tcW w:type="dxa" w:w="3628"/>
            <w:tcMar>
              <w:top w:w="90" w:type="dxa"/>
              <w:start w:w="120" w:type="dxa"/>
              <w:bottom w:w="90" w:type="dxa"/>
              <w:end w:w="120" w:type="dxa"/>
            </w:tcMar>
            <w:vAlign w:val="center"/>
          </w:tcPr>
          <w:p>
            <w:r>
              <w:rPr>
                <w:rFonts w:ascii="Aptos" w:hAnsi="Aptos"/>
                <w:b w:val="0"/>
                <w:i w:val="0"/>
                <w:sz w:val="20"/>
              </w:rPr>
              <w:t>Export files for external analysis or reporting.</w:t>
            </w:r>
          </w:p>
        </w:tc>
      </w:tr>
    </w:tbl>
    <w:p/>
    <w:p>
      <w:pPr>
        <w:pStyle w:val="Heading1"/>
      </w:pPr>
      <w:r>
        <w:rPr>
          <w:rFonts w:ascii="Aptos" w:hAnsi="Aptos"/>
          <w:b/>
          <w:i w:val="0"/>
          <w:color w:val="0F2744"/>
          <w:sz w:val="28"/>
        </w:rPr>
        <w:t>8. Troubleshooting Notes</w:t>
      </w:r>
    </w:p>
    <w:p>
      <w:pPr>
        <w:pStyle w:val="ListBullet"/>
        <w:spacing w:after="60"/>
      </w:pPr>
      <w:r>
        <w:rPr>
          <w:rFonts w:ascii="Aptos" w:hAnsi="Aptos"/>
          <w:b w:val="0"/>
          <w:i w:val="0"/>
          <w:sz w:val="22"/>
        </w:rPr>
        <w:t>If the app does not start, first confirm that app.R and app_data.rds are in the same directory.</w:t>
      </w:r>
    </w:p>
    <w:p>
      <w:pPr>
        <w:pStyle w:val="ListBullet"/>
        <w:spacing w:after="60"/>
      </w:pPr>
      <w:r>
        <w:rPr>
          <w:rFonts w:ascii="Aptos" w:hAnsi="Aptos"/>
          <w:b w:val="0"/>
          <w:i w:val="0"/>
          <w:sz w:val="22"/>
        </w:rPr>
        <w:t>If deployment fails, confirm that required R packages are installed and explicitly referenced in the application script.</w:t>
      </w:r>
    </w:p>
    <w:p>
      <w:pPr>
        <w:pStyle w:val="ListBullet"/>
        <w:spacing w:after="60"/>
      </w:pPr>
      <w:r>
        <w:rPr>
          <w:rFonts w:ascii="Aptos" w:hAnsi="Aptos"/>
          <w:b w:val="0"/>
          <w:i w:val="0"/>
          <w:sz w:val="22"/>
        </w:rPr>
        <w:t>If a chart or model returns no result, review the active filters. Very restrictive filters may leave too few observations for analysis.</w:t>
      </w:r>
    </w:p>
    <w:p>
      <w:pPr>
        <w:pStyle w:val="ListBullet"/>
        <w:spacing w:after="60"/>
      </w:pPr>
      <w:r>
        <w:rPr>
          <w:rFonts w:ascii="Aptos" w:hAnsi="Aptos"/>
          <w:b w:val="0"/>
          <w:i w:val="0"/>
          <w:sz w:val="22"/>
        </w:rPr>
        <w:t>If the decision tree or clustering module cannot run, expand the cohort or adjust the selected variables and sampling settings.</w:t>
      </w:r>
    </w:p>
    <w:p>
      <w:pPr>
        <w:pStyle w:val="ListBullet"/>
        <w:spacing w:after="60"/>
      </w:pPr>
      <w:r>
        <w:rPr>
          <w:rFonts w:ascii="Aptos" w:hAnsi="Aptos"/>
          <w:b w:val="0"/>
          <w:i w:val="0"/>
          <w:sz w:val="22"/>
        </w:rPr>
        <w:t>If a filtered table is empty, verify the date range and transaction type selections.</w:t>
      </w:r>
    </w:p>
    <w:p>
      <w:pPr>
        <w:pStyle w:val="Heading1"/>
      </w:pPr>
      <w:r>
        <w:rPr>
          <w:rFonts w:ascii="Aptos" w:hAnsi="Aptos"/>
          <w:b/>
          <w:i w:val="0"/>
          <w:color w:val="0F2744"/>
          <w:sz w:val="28"/>
        </w:rPr>
        <w:t>9. Current Scope and Limitations</w:t>
      </w:r>
    </w:p>
    <w:p>
      <w:pPr>
        <w:pStyle w:val="ListBullet"/>
        <w:spacing w:after="60"/>
      </w:pPr>
      <w:r>
        <w:rPr>
          <w:rFonts w:ascii="Aptos" w:hAnsi="Aptos"/>
          <w:b w:val="0"/>
          <w:i w:val="0"/>
          <w:sz w:val="22"/>
        </w:rPr>
        <w:t>The application depends on pre-prepared objects stored in app_data.rds.</w:t>
      </w:r>
    </w:p>
    <w:p>
      <w:pPr>
        <w:pStyle w:val="ListBullet"/>
        <w:spacing w:after="60"/>
      </w:pPr>
      <w:r>
        <w:rPr>
          <w:rFonts w:ascii="Aptos" w:hAnsi="Aptos"/>
          <w:b w:val="0"/>
          <w:i w:val="0"/>
          <w:sz w:val="22"/>
        </w:rPr>
        <w:t>The dashboard logic is designed for descriptive analysis, clustering, and a configurable decision tree; it is not a general-purpose model training platform.</w:t>
      </w:r>
    </w:p>
    <w:p>
      <w:pPr>
        <w:pStyle w:val="ListBullet"/>
        <w:spacing w:after="60"/>
      </w:pPr>
      <w:r>
        <w:rPr>
          <w:rFonts w:ascii="Aptos" w:hAnsi="Aptos"/>
          <w:b w:val="0"/>
          <w:i w:val="0"/>
          <w:sz w:val="22"/>
        </w:rPr>
        <w:t>Output quality depends on the completeness and consistency of the prepared data objects.</w:t>
      </w:r>
    </w:p>
    <w:p>
      <w:pPr>
        <w:pStyle w:val="ListBullet"/>
        <w:spacing w:after="60"/>
      </w:pPr>
      <w:r>
        <w:rPr>
          <w:rFonts w:ascii="Aptos" w:hAnsi="Aptos"/>
          <w:b w:val="0"/>
          <w:i w:val="0"/>
          <w:sz w:val="22"/>
        </w:rPr>
        <w:t>Business insight text is rule-based and should be interpreted as decision support rather than final managerial judgment.</w:t>
      </w:r>
    </w:p>
    <w:p>
      <w:pPr>
        <w:pStyle w:val="Heading1"/>
      </w:pPr>
      <w:r>
        <w:rPr>
          <w:rFonts w:ascii="Aptos" w:hAnsi="Aptos"/>
          <w:b/>
          <w:i w:val="0"/>
          <w:color w:val="0F2744"/>
          <w:sz w:val="28"/>
        </w:rPr>
        <w:t>Appendix: Main Analytical Components Reflected in app.R</w:t>
      </w:r>
    </w:p>
    <w:p>
      <w:r>
        <w:rPr>
          <w:rFonts w:ascii="Aptos" w:hAnsi="Aptos"/>
          <w:b w:val="0"/>
          <w:i w:val="0"/>
          <w:sz w:val="22"/>
        </w:rPr>
        <w:t>The script includes helper functions for numeric formatting, safe means, customer and transaction preparation, missing-value treatment, master dataset construction, clustering, decision tree fitting, and segment recommendation text generation. The UI is organised into themed sections for blue (descriptive), green (clustering), red (decision tree), and gold (business insight / data backbone) analytical areas.</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F6B8A"/>
        <w:sz w:val="18"/>
      </w:rPr>
      <w:t>COFINFAD Fintech Customer Intelligence Dashboard —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