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pos="8647"/>
        </w:tabs>
        <w:spacing w:line="259" w:lineRule="auto"/>
        <w:jc w:val="both"/>
        <w:rPr>
          <w:u w:val="single"/>
        </w:rPr>
      </w:pPr>
      <w:bookmarkStart w:id="0" w:name="_GoBack"/>
      <w:bookmarkEnd w:id="0"/>
    </w:p>
    <w:p>
      <w:pPr>
        <w:pStyle w:val="2"/>
        <w:tabs>
          <w:tab w:val="right" w:pos="8647"/>
        </w:tabs>
        <w:spacing w:line="259" w:lineRule="auto"/>
        <w:jc w:val="both"/>
      </w:pPr>
      <w:r>
        <w:rPr>
          <w:u w:val="single"/>
        </w:rPr>
        <w:t xml:space="preserve">Our Ref: </w:t>
      </w:r>
      <w:r>
        <w:rPr>
          <w:rFonts w:hint="eastAsia"/>
          <w:u w:val="single"/>
        </w:rPr>
        <w:t>{ref}</w:t>
      </w:r>
      <w:r>
        <w:tab/>
      </w:r>
      <w:r>
        <w:rPr>
          <w:rFonts w:hint="eastAsia"/>
          <w:b w:val="0"/>
        </w:rPr>
        <w:t xml:space="preserve">{ref_date}    </w:t>
      </w:r>
    </w:p>
    <w:tbl>
      <w:tblPr>
        <w:tblStyle w:val="35"/>
        <w:tblW w:w="8904" w:type="dxa"/>
        <w:tblInd w:w="0" w:type="dxa"/>
        <w:tblLayout w:type="fixed"/>
        <w:tblCellMar>
          <w:top w:w="0" w:type="dxa"/>
          <w:left w:w="115" w:type="dxa"/>
          <w:bottom w:w="0" w:type="dxa"/>
          <w:right w:w="115" w:type="dxa"/>
        </w:tblCellMar>
      </w:tblPr>
      <w:tblGrid>
        <w:gridCol w:w="5415"/>
        <w:gridCol w:w="3489"/>
      </w:tblGrid>
      <w:tr>
        <w:tblPrEx>
          <w:tblCellMar>
            <w:top w:w="0" w:type="dxa"/>
            <w:left w:w="115" w:type="dxa"/>
            <w:bottom w:w="0" w:type="dxa"/>
            <w:right w:w="115" w:type="dxa"/>
          </w:tblCellMar>
        </w:tblPrEx>
        <w:tc>
          <w:tcPr>
            <w:tcW w:w="5415" w:type="dxa"/>
          </w:tcPr>
          <w:p>
            <w:pPr>
              <w:tabs>
                <w:tab w:val="left" w:pos="2295"/>
              </w:tabs>
              <w:ind w:right="26"/>
              <w:rPr>
                <w:b/>
              </w:rPr>
            </w:pPr>
          </w:p>
          <w:p>
            <w:pPr>
              <w:tabs>
                <w:tab w:val="left" w:pos="2295"/>
              </w:tabs>
              <w:ind w:right="26"/>
              <w:rPr>
                <w:rFonts w:eastAsia="宋体"/>
                <w:b/>
              </w:rPr>
            </w:pPr>
            <w:r>
              <w:rPr>
                <w:rFonts w:hint="eastAsia" w:eastAsia="宋体"/>
                <w:b/>
              </w:rPr>
              <w:t>{companyname}</w:t>
            </w:r>
            <w:r>
              <w:rPr>
                <w:rFonts w:eastAsia="宋体"/>
                <w:b/>
              </w:rPr>
              <w:t xml:space="preserve"> </w:t>
            </w:r>
          </w:p>
          <w:p>
            <w:pPr>
              <w:rPr>
                <w:rFonts w:eastAsia="宋体"/>
              </w:rPr>
            </w:pPr>
            <w:r>
              <w:rPr>
                <w:rFonts w:hint="eastAsia" w:eastAsia="宋体"/>
              </w:rPr>
              <w:t>{</w:t>
            </w:r>
            <w:r>
              <w:rPr>
                <w:rFonts w:hint="eastAsia"/>
              </w:rPr>
              <w:t>companyaddress</w:t>
            </w:r>
            <w:r>
              <w:rPr>
                <w:rFonts w:hint="eastAsia" w:eastAsia="宋体"/>
              </w:rPr>
              <w:t>}</w:t>
            </w:r>
          </w:p>
          <w:p>
            <w:pPr>
              <w:rPr>
                <w:rFonts w:eastAsia="宋体"/>
              </w:rPr>
            </w:pPr>
            <w:r>
              <w:rPr>
                <w:rFonts w:hint="eastAsia" w:eastAsia="宋体"/>
              </w:rPr>
              <w:t>{companyphone}</w:t>
            </w:r>
          </w:p>
          <w:p>
            <w:pPr>
              <w:rPr>
                <w:rFonts w:eastAsia="宋体"/>
              </w:rPr>
            </w:pPr>
            <w:r>
              <w:rPr>
                <w:rFonts w:hint="eastAsia" w:eastAsia="宋体"/>
              </w:rPr>
              <w:t>{companyfax}</w:t>
            </w:r>
          </w:p>
          <w:p/>
        </w:tc>
        <w:tc>
          <w:tcPr>
            <w:tcW w:w="3489" w:type="dxa"/>
          </w:tcPr>
          <w:p>
            <w:pPr>
              <w:jc w:val="right"/>
              <w:rPr>
                <w:u w:val="single"/>
              </w:rPr>
            </w:pPr>
          </w:p>
          <w:p>
            <w:pPr>
              <w:jc w:val="right"/>
              <w:rPr>
                <w:rFonts w:eastAsia="宋体"/>
                <w:u w:val="single"/>
              </w:rPr>
            </w:pPr>
            <w:r>
              <w:rPr>
                <w:u w:val="single"/>
              </w:rPr>
              <w:t xml:space="preserve">By </w:t>
            </w:r>
            <w:r>
              <w:rPr>
                <w:rFonts w:hint="eastAsia" w:eastAsia="宋体"/>
                <w:u w:val="single"/>
              </w:rPr>
              <w:t>{sendtype}</w:t>
            </w:r>
          </w:p>
          <w:p>
            <w:pPr>
              <w:jc w:val="right"/>
              <w:rPr>
                <w:lang w:eastAsia="zh-TW"/>
              </w:rPr>
            </w:pPr>
          </w:p>
        </w:tc>
      </w:tr>
    </w:tbl>
    <w:p>
      <w:pPr>
        <w:tabs>
          <w:tab w:val="left" w:pos="6663"/>
        </w:tabs>
        <w:spacing w:line="259" w:lineRule="auto"/>
        <w:jc w:val="both"/>
        <w:rPr>
          <w:rFonts w:eastAsia="宋体"/>
          <w:u w:val="single"/>
        </w:rPr>
      </w:pPr>
      <w:r>
        <w:rPr>
          <w:u w:val="single"/>
        </w:rPr>
        <w:t xml:space="preserve">Attn: </w:t>
      </w:r>
      <w:r>
        <w:rPr>
          <w:rFonts w:hint="eastAsia" w:eastAsia="宋体"/>
          <w:u w:val="single"/>
        </w:rPr>
        <w:t>{sexTtitle}</w:t>
      </w:r>
      <w:r>
        <w:rPr>
          <w:u w:val="single"/>
        </w:rPr>
        <w:t xml:space="preserve"> </w:t>
      </w:r>
      <w:r>
        <w:rPr>
          <w:rFonts w:hint="eastAsia" w:eastAsia="宋体"/>
          <w:u w:val="single"/>
        </w:rPr>
        <w:t>{attn}</w:t>
      </w:r>
    </w:p>
    <w:p>
      <w:pPr>
        <w:tabs>
          <w:tab w:val="left" w:pos="6663"/>
        </w:tabs>
        <w:jc w:val="both"/>
      </w:pPr>
    </w:p>
    <w:p>
      <w:pPr>
        <w:jc w:val="both"/>
      </w:pPr>
      <w:r>
        <w:t xml:space="preserve">Dear </w:t>
      </w:r>
      <w:r>
        <w:rPr>
          <w:rFonts w:hint="eastAsia" w:eastAsia="宋体"/>
        </w:rPr>
        <w:t>{sex}</w:t>
      </w:r>
      <w:r>
        <w:t>,</w:t>
      </w:r>
    </w:p>
    <w:p>
      <w:pPr>
        <w:spacing w:line="360" w:lineRule="auto"/>
        <w:jc w:val="center"/>
        <w:rPr>
          <w:b/>
          <w:u w:val="single"/>
        </w:rPr>
      </w:pPr>
    </w:p>
    <w:p>
      <w:pPr>
        <w:jc w:val="center"/>
        <w:rPr>
          <w:b/>
          <w:u w:val="single"/>
        </w:rPr>
      </w:pPr>
      <w:r>
        <w:rPr>
          <w:b/>
          <w:u w:val="single"/>
        </w:rPr>
        <w:t xml:space="preserve">Quotation of the </w:t>
      </w:r>
      <w:r>
        <w:rPr>
          <w:rFonts w:hint="eastAsia"/>
          <w:b/>
          <w:u w:val="single"/>
        </w:rPr>
        <w:t>{title}</w:t>
      </w:r>
      <w:r>
        <w:rPr>
          <w:b/>
          <w:u w:val="single"/>
        </w:rPr>
        <w:t xml:space="preserve"> for </w:t>
      </w:r>
      <w:r>
        <w:rPr>
          <w:rFonts w:hint="eastAsia"/>
          <w:b/>
          <w:u w:val="single"/>
        </w:rPr>
        <w:t>{desc}</w:t>
      </w:r>
      <w:r>
        <w:rPr>
          <w:b/>
          <w:u w:val="single"/>
        </w:rPr>
        <w:t xml:space="preserve">  ---  </w:t>
      </w:r>
      <w:r>
        <w:rPr>
          <w:rFonts w:hint="eastAsia"/>
          <w:b/>
          <w:u w:val="single"/>
        </w:rPr>
        <w:t>{todo</w:t>
      </w:r>
      <w:r>
        <w:rPr>
          <w:b/>
          <w:u w:val="single"/>
        </w:rPr>
        <w:t>1</w:t>
      </w:r>
      <w:r>
        <w:rPr>
          <w:rFonts w:hint="eastAsia"/>
          <w:b/>
          <w:u w:val="single"/>
        </w:rPr>
        <w:t>}</w:t>
      </w:r>
      <w:r>
        <w:rPr>
          <w:b/>
          <w:u w:val="single"/>
        </w:rPr>
        <w:t xml:space="preserve">, </w:t>
      </w:r>
      <w:r>
        <w:rPr>
          <w:rFonts w:hint="eastAsia"/>
          <w:b/>
          <w:u w:val="single"/>
        </w:rPr>
        <w:t>{todo</w:t>
      </w:r>
      <w:r>
        <w:rPr>
          <w:b/>
          <w:u w:val="single"/>
        </w:rPr>
        <w:t>2</w:t>
      </w:r>
      <w:r>
        <w:rPr>
          <w:rFonts w:hint="eastAsia"/>
          <w:b/>
          <w:u w:val="single"/>
        </w:rPr>
        <w:t>}</w:t>
      </w:r>
      <w:r>
        <w:rPr>
          <w:b/>
          <w:u w:val="single"/>
        </w:rPr>
        <w:t xml:space="preserve"> and </w:t>
      </w:r>
      <w:r>
        <w:rPr>
          <w:rFonts w:hint="eastAsia"/>
          <w:b/>
          <w:u w:val="single"/>
        </w:rPr>
        <w:t>{todo</w:t>
      </w:r>
      <w:r>
        <w:rPr>
          <w:b/>
          <w:u w:val="single"/>
        </w:rPr>
        <w:t>3</w:t>
      </w:r>
      <w:r>
        <w:rPr>
          <w:rFonts w:hint="eastAsia"/>
          <w:b/>
          <w:u w:val="single"/>
        </w:rPr>
        <w:t>}</w:t>
      </w:r>
    </w:p>
    <w:p>
      <w:pPr>
        <w:jc w:val="both"/>
      </w:pPr>
      <w:r>
        <w:t xml:space="preserve">    </w:t>
      </w:r>
    </w:p>
    <w:p>
      <w:pPr>
        <w:ind w:firstLine="480"/>
        <w:jc w:val="both"/>
        <w:rPr>
          <w:b/>
          <w:u w:val="single"/>
        </w:rPr>
      </w:pPr>
      <w:r>
        <w:t xml:space="preserve">We refer to your enquiry and are pleased to submit our quotation for the {todo1}, {todo2} and {todo3} ONLY of the </w:t>
      </w:r>
      <w:r>
        <w:rPr>
          <w:highlight w:val="yellow"/>
        </w:rPr>
        <w:t>Synthetec</w:t>
      </w:r>
      <w:r>
        <w:rPr>
          <w:highlight w:val="yellow"/>
          <w:vertAlign w:val="superscript"/>
        </w:rPr>
        <w:t>®</w:t>
      </w:r>
      <w:r>
        <w:rPr>
          <w:highlight w:val="yellow"/>
        </w:rPr>
        <w:t xml:space="preserve"> Stone Grating</w:t>
      </w:r>
      <w:r>
        <w:t>.</w:t>
      </w:r>
    </w:p>
    <w:p>
      <w:pPr>
        <w:jc w:val="both"/>
        <w:rPr>
          <w:color w:val="000000"/>
        </w:rPr>
      </w:pPr>
    </w:p>
    <w:p>
      <w:pPr>
        <w:tabs>
          <w:tab w:val="left" w:pos="567"/>
        </w:tabs>
        <w:jc w:val="both"/>
        <w:rPr>
          <w:b/>
        </w:rPr>
      </w:pPr>
      <w:r>
        <w:rPr>
          <w:b/>
        </w:rPr>
        <w:t>PRICE</w:t>
      </w:r>
    </w:p>
    <w:p/>
    <w:p>
      <w:r>
        <w:t>The unit price of each item is quoted as below:</w:t>
      </w:r>
    </w:p>
    <w:p/>
    <w:tbl>
      <w:tblPr>
        <w:tblStyle w:val="36"/>
        <w:tblW w:w="916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74"/>
        <w:gridCol w:w="5386"/>
        <w:gridCol w:w="630"/>
        <w:gridCol w:w="646"/>
        <w:gridCol w:w="850"/>
        <w:gridCol w:w="9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5" w:hRule="atLeast"/>
          <w:jc w:val="center"/>
        </w:trPr>
        <w:tc>
          <w:tcPr>
            <w:tcW w:w="674" w:type="dxa"/>
            <w:vAlign w:val="center"/>
          </w:tcPr>
          <w:p>
            <w:pPr>
              <w:tabs>
                <w:tab w:val="left" w:pos="567"/>
              </w:tabs>
              <w:jc w:val="center"/>
              <w:rPr>
                <w:b/>
                <w:color w:val="000000"/>
                <w:sz w:val="20"/>
                <w:szCs w:val="20"/>
              </w:rPr>
            </w:pPr>
            <w:r>
              <w:rPr>
                <w:b/>
                <w:color w:val="000000"/>
                <w:sz w:val="20"/>
                <w:szCs w:val="20"/>
              </w:rPr>
              <w:t>Item</w:t>
            </w:r>
          </w:p>
          <w:p>
            <w:pPr>
              <w:tabs>
                <w:tab w:val="left" w:pos="567"/>
              </w:tabs>
              <w:jc w:val="center"/>
              <w:rPr>
                <w:b/>
                <w:color w:val="000000"/>
                <w:sz w:val="20"/>
                <w:szCs w:val="20"/>
              </w:rPr>
            </w:pPr>
            <w:r>
              <w:rPr>
                <w:b/>
                <w:color w:val="000000"/>
                <w:sz w:val="20"/>
                <w:szCs w:val="20"/>
              </w:rPr>
              <w:t>No.</w:t>
            </w:r>
          </w:p>
        </w:tc>
        <w:tc>
          <w:tcPr>
            <w:tcW w:w="5386" w:type="dxa"/>
            <w:vAlign w:val="center"/>
          </w:tcPr>
          <w:p>
            <w:pPr>
              <w:tabs>
                <w:tab w:val="left" w:pos="567"/>
              </w:tabs>
              <w:jc w:val="center"/>
              <w:rPr>
                <w:b/>
                <w:color w:val="000000"/>
                <w:sz w:val="20"/>
                <w:szCs w:val="20"/>
              </w:rPr>
            </w:pPr>
            <w:r>
              <w:rPr>
                <w:b/>
                <w:color w:val="000000"/>
                <w:sz w:val="20"/>
                <w:szCs w:val="20"/>
              </w:rPr>
              <w:t>Works Description</w:t>
            </w:r>
          </w:p>
        </w:tc>
        <w:tc>
          <w:tcPr>
            <w:tcW w:w="630" w:type="dxa"/>
            <w:vAlign w:val="center"/>
          </w:tcPr>
          <w:p>
            <w:pPr>
              <w:tabs>
                <w:tab w:val="left" w:pos="567"/>
              </w:tabs>
              <w:jc w:val="center"/>
              <w:rPr>
                <w:b/>
                <w:color w:val="000000"/>
                <w:sz w:val="20"/>
                <w:szCs w:val="20"/>
              </w:rPr>
            </w:pPr>
            <w:r>
              <w:rPr>
                <w:b/>
                <w:color w:val="000000"/>
                <w:sz w:val="20"/>
                <w:szCs w:val="20"/>
              </w:rPr>
              <w:t>Unit</w:t>
            </w:r>
          </w:p>
        </w:tc>
        <w:tc>
          <w:tcPr>
            <w:tcW w:w="646" w:type="dxa"/>
            <w:vAlign w:val="center"/>
          </w:tcPr>
          <w:p>
            <w:pPr>
              <w:tabs>
                <w:tab w:val="left" w:pos="567"/>
              </w:tabs>
              <w:jc w:val="center"/>
              <w:rPr>
                <w:b/>
                <w:color w:val="000000"/>
                <w:sz w:val="20"/>
                <w:szCs w:val="20"/>
              </w:rPr>
            </w:pPr>
            <w:r>
              <w:rPr>
                <w:b/>
                <w:color w:val="000000"/>
                <w:sz w:val="20"/>
                <w:szCs w:val="20"/>
              </w:rPr>
              <w:t>Qty.</w:t>
            </w:r>
          </w:p>
        </w:tc>
        <w:tc>
          <w:tcPr>
            <w:tcW w:w="850" w:type="dxa"/>
            <w:vAlign w:val="center"/>
          </w:tcPr>
          <w:p>
            <w:pPr>
              <w:tabs>
                <w:tab w:val="left" w:pos="567"/>
              </w:tabs>
              <w:jc w:val="center"/>
              <w:rPr>
                <w:b/>
                <w:color w:val="000000"/>
                <w:sz w:val="20"/>
                <w:szCs w:val="20"/>
              </w:rPr>
            </w:pPr>
            <w:r>
              <w:rPr>
                <w:b/>
                <w:color w:val="000000"/>
                <w:sz w:val="20"/>
                <w:szCs w:val="20"/>
              </w:rPr>
              <w:t>Rate</w:t>
            </w:r>
          </w:p>
          <w:p>
            <w:pPr>
              <w:tabs>
                <w:tab w:val="left" w:pos="567"/>
              </w:tabs>
              <w:jc w:val="center"/>
              <w:rPr>
                <w:b/>
                <w:color w:val="000000"/>
                <w:sz w:val="20"/>
                <w:szCs w:val="20"/>
              </w:rPr>
            </w:pPr>
            <w:r>
              <w:rPr>
                <w:b/>
                <w:color w:val="000000"/>
                <w:sz w:val="20"/>
                <w:szCs w:val="20"/>
              </w:rPr>
              <w:t>(HK$)</w:t>
            </w:r>
          </w:p>
        </w:tc>
        <w:tc>
          <w:tcPr>
            <w:tcW w:w="978" w:type="dxa"/>
            <w:vAlign w:val="center"/>
          </w:tcPr>
          <w:p>
            <w:pPr>
              <w:tabs>
                <w:tab w:val="left" w:pos="567"/>
              </w:tabs>
              <w:jc w:val="center"/>
              <w:rPr>
                <w:b/>
                <w:color w:val="000000"/>
                <w:sz w:val="20"/>
                <w:szCs w:val="20"/>
              </w:rPr>
            </w:pPr>
            <w:r>
              <w:rPr>
                <w:b/>
                <w:color w:val="000000"/>
                <w:sz w:val="20"/>
                <w:szCs w:val="20"/>
              </w:rPr>
              <w:t>Amount</w:t>
            </w:r>
          </w:p>
          <w:p>
            <w:pPr>
              <w:tabs>
                <w:tab w:val="left" w:pos="567"/>
              </w:tabs>
              <w:jc w:val="center"/>
              <w:rPr>
                <w:b/>
                <w:color w:val="000000"/>
                <w:sz w:val="20"/>
                <w:szCs w:val="20"/>
              </w:rPr>
            </w:pPr>
            <w:r>
              <w:rPr>
                <w:b/>
                <w:color w:val="000000"/>
                <w:sz w:val="20"/>
                <w:szCs w:val="20"/>
              </w:rPr>
              <w:t>(HK$)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19" w:hRule="atLeast"/>
          <w:jc w:val="center"/>
        </w:trPr>
        <w:tc>
          <w:tcPr>
            <w:tcW w:w="674" w:type="dxa"/>
            <w:vAlign w:val="center"/>
          </w:tcPr>
          <w:p>
            <w:pPr>
              <w:tabs>
                <w:tab w:val="left" w:pos="567"/>
              </w:tabs>
              <w:jc w:val="center"/>
              <w:rPr>
                <w:b/>
                <w:color w:val="000000"/>
                <w:sz w:val="20"/>
                <w:szCs w:val="20"/>
                <w:u w:val="single"/>
              </w:rPr>
            </w:pPr>
          </w:p>
        </w:tc>
        <w:tc>
          <w:tcPr>
            <w:tcW w:w="8490" w:type="dxa"/>
            <w:gridSpan w:val="5"/>
            <w:vAlign w:val="center"/>
          </w:tcPr>
          <w:p>
            <w:pPr>
              <w:tabs>
                <w:tab w:val="left" w:pos="567"/>
              </w:tabs>
              <w:rPr>
                <w:b/>
                <w:color w:val="000000"/>
                <w:sz w:val="20"/>
                <w:szCs w:val="20"/>
                <w:u w:val="single"/>
              </w:rPr>
            </w:pPr>
            <w:r>
              <w:rPr>
                <w:b/>
                <w:color w:val="000000"/>
                <w:sz w:val="20"/>
                <w:szCs w:val="20"/>
                <w:u w:val="single"/>
              </w:rPr>
              <w:t>Synthetec</w:t>
            </w:r>
            <w:r>
              <w:rPr>
                <w:b/>
                <w:color w:val="000000"/>
                <w:sz w:val="20"/>
                <w:szCs w:val="20"/>
                <w:u w:val="single"/>
                <w:vertAlign w:val="superscript"/>
              </w:rPr>
              <w:t>®</w:t>
            </w:r>
            <w:r>
              <w:rPr>
                <w:b/>
                <w:color w:val="000000"/>
                <w:sz w:val="20"/>
                <w:szCs w:val="20"/>
                <w:u w:val="single"/>
              </w:rPr>
              <w:t xml:space="preserve"> Stone Grating  </w:t>
            </w:r>
            <w:r>
              <w:rPr>
                <w:b/>
                <w:bCs/>
                <w:color w:val="000000"/>
                <w:sz w:val="20"/>
                <w:szCs w:val="20"/>
                <w:u w:val="single"/>
              </w:rPr>
              <w:t>(CITF Pre-approved Code: PA20-084)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48" w:hRule="atLeast"/>
          <w:jc w:val="center"/>
        </w:trPr>
        <w:tc>
          <w:tcPr>
            <w:tcW w:w="674" w:type="dxa"/>
            <w:vAlign w:val="center"/>
          </w:tcPr>
          <w:p>
            <w:pPr>
              <w:jc w:val="center"/>
              <w:rPr>
                <w:rFonts w:eastAsia="宋体"/>
                <w:color w:val="000000"/>
                <w:sz w:val="20"/>
                <w:szCs w:val="20"/>
              </w:rPr>
            </w:pPr>
            <w:r>
              <w:rPr>
                <w:rFonts w:hint="eastAsia" w:eastAsia="宋体"/>
                <w:color w:val="000000"/>
                <w:sz w:val="20"/>
                <w:szCs w:val="20"/>
              </w:rPr>
              <w:t>{#product}{id}</w:t>
            </w:r>
          </w:p>
        </w:tc>
        <w:tc>
          <w:tcPr>
            <w:tcW w:w="5386" w:type="dxa"/>
            <w:vAlign w:val="center"/>
          </w:tcPr>
          <w:p>
            <w:pPr>
              <w:rPr>
                <w:rFonts w:eastAsia="宋体"/>
              </w:rPr>
            </w:pPr>
            <w:r>
              <w:rPr>
                <w:b/>
              </w:rPr>
              <w:t xml:space="preserve">Model no.: </w:t>
            </w:r>
            <w:r>
              <w:rPr>
                <w:rFonts w:hint="eastAsia" w:eastAsia="宋体"/>
              </w:rPr>
              <w:t>{model}</w:t>
            </w:r>
          </w:p>
          <w:p>
            <w:pPr>
              <w:numPr>
                <w:ilvl w:val="0"/>
                <w:numId w:val="1"/>
              </w:numPr>
              <w:rPr>
                <w:sz w:val="20"/>
                <w:szCs w:val="20"/>
              </w:rPr>
            </w:pPr>
            <w:r>
              <w:rPr>
                <w:sz w:val="20"/>
                <w:szCs w:val="20"/>
              </w:rPr>
              <w:t xml:space="preserve">Size: </w:t>
            </w:r>
            <w:r>
              <w:rPr>
                <w:rFonts w:hint="eastAsia"/>
                <w:sz w:val="20"/>
                <w:szCs w:val="20"/>
              </w:rPr>
              <w:t>{#opration}{</w:t>
            </w:r>
            <w:r>
              <w:rPr>
                <w:sz w:val="20"/>
                <w:szCs w:val="20"/>
              </w:rPr>
              <w:t>lenght</w:t>
            </w:r>
            <w:r>
              <w:rPr>
                <w:rFonts w:hint="eastAsia"/>
                <w:sz w:val="20"/>
                <w:szCs w:val="20"/>
              </w:rPr>
              <w:t>}</w:t>
            </w:r>
            <w:r>
              <w:rPr>
                <w:sz w:val="20"/>
                <w:szCs w:val="20"/>
              </w:rPr>
              <w:t xml:space="preserve">mm(L) x </w:t>
            </w:r>
            <w:r>
              <w:rPr>
                <w:rFonts w:hint="eastAsia"/>
                <w:sz w:val="20"/>
                <w:szCs w:val="20"/>
              </w:rPr>
              <w:t>{</w:t>
            </w:r>
            <w:r>
              <w:rPr>
                <w:sz w:val="20"/>
                <w:szCs w:val="20"/>
              </w:rPr>
              <w:t>width</w:t>
            </w:r>
            <w:r>
              <w:rPr>
                <w:rFonts w:hint="eastAsia"/>
                <w:sz w:val="20"/>
                <w:szCs w:val="20"/>
              </w:rPr>
              <w:t>}</w:t>
            </w:r>
            <w:r>
              <w:rPr>
                <w:sz w:val="20"/>
                <w:szCs w:val="20"/>
              </w:rPr>
              <w:t xml:space="preserve">mm(W) x </w:t>
            </w:r>
            <w:r>
              <w:rPr>
                <w:rFonts w:hint="eastAsia"/>
                <w:sz w:val="20"/>
                <w:szCs w:val="20"/>
              </w:rPr>
              <w:t>{</w:t>
            </w:r>
            <w:r>
              <w:rPr>
                <w:sz w:val="20"/>
                <w:szCs w:val="20"/>
              </w:rPr>
              <w:t>thinkness</w:t>
            </w:r>
            <w:r>
              <w:rPr>
                <w:rFonts w:hint="eastAsia"/>
                <w:sz w:val="20"/>
                <w:szCs w:val="20"/>
              </w:rPr>
              <w:t>}</w:t>
            </w:r>
            <w:r>
              <w:rPr>
                <w:sz w:val="20"/>
                <w:szCs w:val="20"/>
              </w:rPr>
              <w:t>mm(T)</w:t>
            </w:r>
          </w:p>
          <w:p>
            <w:pPr>
              <w:numPr>
                <w:ilvl w:val="0"/>
                <w:numId w:val="1"/>
              </w:numPr>
              <w:rPr>
                <w:sz w:val="20"/>
                <w:szCs w:val="20"/>
              </w:rPr>
            </w:pPr>
            <w:r>
              <w:rPr>
                <w:sz w:val="20"/>
                <w:szCs w:val="20"/>
              </w:rPr>
              <w:t xml:space="preserve">Color: </w:t>
            </w:r>
            <w:r>
              <w:rPr>
                <w:rFonts w:hint="eastAsia"/>
                <w:sz w:val="20"/>
                <w:szCs w:val="20"/>
              </w:rPr>
              <w:t>{</w:t>
            </w:r>
            <w:r>
              <w:rPr>
                <w:sz w:val="20"/>
                <w:szCs w:val="20"/>
              </w:rPr>
              <w:t>color</w:t>
            </w:r>
            <w:r>
              <w:rPr>
                <w:rFonts w:hint="eastAsia"/>
                <w:sz w:val="20"/>
                <w:szCs w:val="20"/>
              </w:rPr>
              <w:t>}</w:t>
            </w:r>
            <w:r>
              <w:rPr>
                <w:sz w:val="20"/>
                <w:szCs w:val="20"/>
              </w:rPr>
              <w:t xml:space="preserve"> color for all qty.</w:t>
            </w:r>
          </w:p>
          <w:p>
            <w:pPr>
              <w:numPr>
                <w:ilvl w:val="0"/>
                <w:numId w:val="1"/>
              </w:numPr>
              <w:rPr>
                <w:sz w:val="20"/>
                <w:szCs w:val="20"/>
              </w:rPr>
            </w:pPr>
            <w:r>
              <w:rPr>
                <w:sz w:val="20"/>
                <w:szCs w:val="20"/>
              </w:rPr>
              <w:t>Hole: 1 type for all qty.</w:t>
            </w:r>
          </w:p>
          <w:p>
            <w:pPr>
              <w:numPr>
                <w:ilvl w:val="0"/>
                <w:numId w:val="1"/>
              </w:numPr>
              <w:rPr>
                <w:sz w:val="20"/>
                <w:szCs w:val="20"/>
              </w:rPr>
            </w:pPr>
            <w:r>
              <w:rPr>
                <w:sz w:val="20"/>
                <w:szCs w:val="20"/>
              </w:rPr>
              <w:t xml:space="preserve">Anti-slip: </w:t>
            </w:r>
            <w:r>
              <w:rPr>
                <w:rFonts w:hint="eastAsia"/>
                <w:sz w:val="20"/>
                <w:szCs w:val="20"/>
              </w:rPr>
              <w:t>{</w:t>
            </w:r>
            <w:r>
              <w:rPr>
                <w:sz w:val="20"/>
                <w:szCs w:val="20"/>
              </w:rPr>
              <w:t>slip</w:t>
            </w:r>
            <w:r>
              <w:rPr>
                <w:rFonts w:hint="eastAsia"/>
                <w:sz w:val="20"/>
                <w:szCs w:val="20"/>
              </w:rPr>
              <w:t>}</w:t>
            </w:r>
          </w:p>
          <w:p>
            <w:pPr>
              <w:numPr>
                <w:ilvl w:val="0"/>
                <w:numId w:val="1"/>
              </w:numPr>
              <w:rPr>
                <w:sz w:val="20"/>
                <w:szCs w:val="20"/>
              </w:rPr>
            </w:pPr>
            <w:r>
              <w:rPr>
                <w:sz w:val="20"/>
                <w:szCs w:val="20"/>
              </w:rPr>
              <w:t xml:space="preserve">Max. clearance span at service is </w:t>
            </w:r>
            <w:r>
              <w:rPr>
                <w:rFonts w:hint="eastAsia"/>
                <w:sz w:val="20"/>
                <w:szCs w:val="20"/>
              </w:rPr>
              <w:t>{</w:t>
            </w:r>
            <w:r>
              <w:rPr>
                <w:sz w:val="20"/>
                <w:szCs w:val="20"/>
              </w:rPr>
              <w:t>max</w:t>
            </w:r>
            <w:r>
              <w:rPr>
                <w:rFonts w:hint="eastAsia"/>
                <w:sz w:val="20"/>
                <w:szCs w:val="20"/>
              </w:rPr>
              <w:t>}mm</w:t>
            </w:r>
          </w:p>
          <w:p>
            <w:pPr>
              <w:numPr>
                <w:ilvl w:val="0"/>
                <w:numId w:val="1"/>
              </w:numPr>
              <w:rPr>
                <w:sz w:val="20"/>
                <w:szCs w:val="20"/>
              </w:rPr>
            </w:pPr>
            <w:r>
              <w:rPr>
                <w:sz w:val="20"/>
                <w:szCs w:val="20"/>
              </w:rPr>
              <w:t>Loading Level – Pedestrian</w:t>
            </w:r>
            <w:r>
              <w:rPr>
                <w:rFonts w:hint="eastAsia"/>
                <w:sz w:val="20"/>
                <w:szCs w:val="20"/>
              </w:rPr>
              <w:t xml:space="preserve"> {</w:t>
            </w:r>
            <w:r>
              <w:rPr>
                <w:sz w:val="20"/>
                <w:szCs w:val="20"/>
              </w:rPr>
              <w:t>level</w:t>
            </w:r>
            <w:r>
              <w:rPr>
                <w:rFonts w:hint="eastAsia"/>
                <w:sz w:val="20"/>
                <w:szCs w:val="20"/>
              </w:rPr>
              <w:t>}{/opration}</w:t>
            </w:r>
          </w:p>
          <w:p>
            <w:pPr>
              <w:ind w:left="360"/>
              <w:rPr>
                <w:rFonts w:eastAsia="宋体"/>
                <w:sz w:val="20"/>
                <w:szCs w:val="20"/>
              </w:rPr>
            </w:pPr>
          </w:p>
        </w:tc>
        <w:tc>
          <w:tcPr>
            <w:tcW w:w="630" w:type="dxa"/>
            <w:vAlign w:val="center"/>
          </w:tcPr>
          <w:p>
            <w:pPr>
              <w:jc w:val="center"/>
              <w:rPr>
                <w:rFonts w:eastAsia="宋体"/>
                <w:color w:val="000000"/>
                <w:sz w:val="20"/>
                <w:szCs w:val="20"/>
              </w:rPr>
            </w:pPr>
            <w:r>
              <w:rPr>
                <w:rFonts w:hint="eastAsia" w:eastAsia="宋体"/>
                <w:color w:val="000000"/>
                <w:sz w:val="20"/>
                <w:szCs w:val="20"/>
              </w:rPr>
              <w:t>Pc</w:t>
            </w:r>
          </w:p>
        </w:tc>
        <w:tc>
          <w:tcPr>
            <w:tcW w:w="646" w:type="dxa"/>
            <w:vAlign w:val="center"/>
          </w:tcPr>
          <w:p>
            <w:pPr>
              <w:spacing w:line="259" w:lineRule="auto"/>
              <w:jc w:val="center"/>
              <w:rPr>
                <w:rFonts w:eastAsia="宋体"/>
                <w:color w:val="000000"/>
              </w:rPr>
            </w:pPr>
            <w:r>
              <w:rPr>
                <w:rFonts w:hint="eastAsia" w:eastAsia="宋体"/>
                <w:color w:val="000000"/>
              </w:rPr>
              <w:t>{acount}</w:t>
            </w:r>
          </w:p>
        </w:tc>
        <w:tc>
          <w:tcPr>
            <w:tcW w:w="850" w:type="dxa"/>
            <w:vAlign w:val="center"/>
          </w:tcPr>
          <w:p>
            <w:pPr>
              <w:spacing w:line="259" w:lineRule="auto"/>
              <w:jc w:val="center"/>
              <w:rPr>
                <w:rFonts w:eastAsia="宋体"/>
                <w:color w:val="000000"/>
                <w:sz w:val="20"/>
                <w:szCs w:val="20"/>
              </w:rPr>
            </w:pPr>
            <w:r>
              <w:rPr>
                <w:rFonts w:hint="eastAsia" w:eastAsia="宋体"/>
                <w:color w:val="000000"/>
                <w:sz w:val="20"/>
                <w:szCs w:val="20"/>
              </w:rPr>
              <w:t>{price}</w:t>
            </w:r>
          </w:p>
        </w:tc>
        <w:tc>
          <w:tcPr>
            <w:tcW w:w="978" w:type="dxa"/>
            <w:vAlign w:val="center"/>
          </w:tcPr>
          <w:p>
            <w:pPr>
              <w:jc w:val="center"/>
              <w:rPr>
                <w:rFonts w:eastAsia="宋体"/>
                <w:color w:val="000000"/>
                <w:sz w:val="20"/>
                <w:szCs w:val="20"/>
              </w:rPr>
            </w:pPr>
            <w:r>
              <w:rPr>
                <w:rFonts w:hint="eastAsia" w:eastAsia="宋体"/>
                <w:color w:val="000000"/>
                <w:sz w:val="20"/>
                <w:szCs w:val="20"/>
              </w:rPr>
              <w:t>{productTotal}{/product}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75" w:hRule="atLeast"/>
          <w:jc w:val="center"/>
        </w:trPr>
        <w:tc>
          <w:tcPr>
            <w:tcW w:w="8186" w:type="dxa"/>
            <w:gridSpan w:val="5"/>
            <w:vAlign w:val="center"/>
          </w:tcPr>
          <w:p>
            <w:pPr>
              <w:jc w:val="right"/>
              <w:rPr>
                <w:b/>
                <w:sz w:val="20"/>
                <w:szCs w:val="20"/>
              </w:rPr>
            </w:pPr>
            <w:r>
              <w:rPr>
                <w:b/>
                <w:sz w:val="20"/>
                <w:szCs w:val="20"/>
              </w:rPr>
              <w:t xml:space="preserve">Total Price for the </w:t>
            </w:r>
            <w:r>
              <w:rPr>
                <w:rFonts w:hint="eastAsia"/>
                <w:b/>
                <w:sz w:val="20"/>
                <w:szCs w:val="20"/>
              </w:rPr>
              <w:t>{todo</w:t>
            </w:r>
            <w:r>
              <w:rPr>
                <w:b/>
                <w:sz w:val="20"/>
                <w:szCs w:val="20"/>
              </w:rPr>
              <w:t>1</w:t>
            </w:r>
            <w:r>
              <w:rPr>
                <w:rFonts w:hint="eastAsia"/>
                <w:b/>
                <w:sz w:val="20"/>
                <w:szCs w:val="20"/>
              </w:rPr>
              <w:t>}</w:t>
            </w:r>
            <w:r>
              <w:rPr>
                <w:b/>
                <w:sz w:val="20"/>
                <w:szCs w:val="20"/>
              </w:rPr>
              <w:t xml:space="preserve">, </w:t>
            </w:r>
            <w:r>
              <w:rPr>
                <w:rFonts w:hint="eastAsia"/>
                <w:b/>
                <w:sz w:val="20"/>
                <w:szCs w:val="20"/>
              </w:rPr>
              <w:t>{todo</w:t>
            </w:r>
            <w:r>
              <w:rPr>
                <w:b/>
                <w:sz w:val="20"/>
                <w:szCs w:val="20"/>
              </w:rPr>
              <w:t>2</w:t>
            </w:r>
            <w:r>
              <w:rPr>
                <w:rFonts w:hint="eastAsia"/>
                <w:b/>
                <w:sz w:val="20"/>
                <w:szCs w:val="20"/>
              </w:rPr>
              <w:t>}</w:t>
            </w:r>
            <w:r>
              <w:rPr>
                <w:b/>
                <w:sz w:val="20"/>
                <w:szCs w:val="20"/>
              </w:rPr>
              <w:t xml:space="preserve"> and </w:t>
            </w:r>
            <w:r>
              <w:rPr>
                <w:rFonts w:hint="eastAsia"/>
                <w:b/>
                <w:sz w:val="20"/>
                <w:szCs w:val="20"/>
              </w:rPr>
              <w:t>{todo</w:t>
            </w:r>
            <w:r>
              <w:rPr>
                <w:b/>
                <w:sz w:val="20"/>
                <w:szCs w:val="20"/>
              </w:rPr>
              <w:t>3</w:t>
            </w:r>
            <w:r>
              <w:rPr>
                <w:rFonts w:hint="eastAsia"/>
                <w:b/>
                <w:sz w:val="20"/>
                <w:szCs w:val="20"/>
              </w:rPr>
              <w:t>}</w:t>
            </w:r>
            <w:r>
              <w:rPr>
                <w:b/>
                <w:sz w:val="20"/>
                <w:szCs w:val="20"/>
              </w:rPr>
              <w:t xml:space="preserve"> ONLY</w:t>
            </w:r>
          </w:p>
        </w:tc>
        <w:tc>
          <w:tcPr>
            <w:tcW w:w="978" w:type="dxa"/>
            <w:vAlign w:val="center"/>
          </w:tcPr>
          <w:p>
            <w:pPr>
              <w:jc w:val="center"/>
              <w:rPr>
                <w:rFonts w:eastAsia="宋体"/>
                <w:b/>
                <w:sz w:val="20"/>
                <w:szCs w:val="20"/>
              </w:rPr>
            </w:pPr>
            <w:r>
              <w:rPr>
                <w:rFonts w:hint="eastAsia"/>
                <w:sz w:val="20"/>
                <w:szCs w:val="20"/>
              </w:rPr>
              <w:t>{</w:t>
            </w:r>
            <w:r>
              <w:rPr>
                <w:sz w:val="20"/>
                <w:szCs w:val="20"/>
              </w:rPr>
              <w:t>amoun</w:t>
            </w:r>
            <w:r>
              <w:rPr>
                <w:rFonts w:hint="eastAsia" w:eastAsia="宋体"/>
                <w:sz w:val="20"/>
                <w:szCs w:val="20"/>
              </w:rPr>
              <w:t>t</w:t>
            </w:r>
            <w:r>
              <w:rPr>
                <w:rFonts w:hint="eastAsia"/>
                <w:sz w:val="20"/>
                <w:szCs w:val="20"/>
              </w:rPr>
              <w:t>}</w:t>
            </w:r>
          </w:p>
        </w:tc>
      </w:tr>
    </w:tbl>
    <w:p>
      <w:pPr>
        <w:rPr>
          <w:b/>
        </w:rPr>
      </w:pPr>
      <w:r>
        <w:rPr>
          <w:b/>
        </w:rPr>
        <w:br w:type="page"/>
      </w:r>
    </w:p>
    <w:p>
      <w:pPr>
        <w:pStyle w:val="2"/>
        <w:tabs>
          <w:tab w:val="right" w:pos="8647"/>
        </w:tabs>
        <w:spacing w:line="259" w:lineRule="auto"/>
        <w:jc w:val="both"/>
      </w:pPr>
      <w:r>
        <w:rPr>
          <w:u w:val="single"/>
        </w:rPr>
        <w:t xml:space="preserve">Our Ref: </w:t>
      </w:r>
      <w:r>
        <w:rPr>
          <w:rFonts w:hint="eastAsia"/>
          <w:u w:val="single"/>
        </w:rPr>
        <w:t>{ref}</w:t>
      </w:r>
      <w:r>
        <w:tab/>
      </w:r>
      <w:r>
        <w:rPr>
          <w:rFonts w:hint="eastAsia"/>
          <w:b w:val="0"/>
        </w:rPr>
        <w:t xml:space="preserve">{ref_date}    </w:t>
      </w:r>
    </w:p>
    <w:p/>
    <w:p>
      <w:r>
        <w:rPr>
          <w:lang w:eastAsia="zh-TW"/>
        </w:rPr>
        <w:drawing>
          <wp:inline distT="0" distB="0" distL="114300" distR="114300">
            <wp:extent cx="2776855" cy="1210945"/>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6" name="image2.jpg"/>
                    <pic:cNvPicPr preferRelativeResize="0"/>
                  </pic:nvPicPr>
                  <pic:blipFill>
                    <a:blip r:embed="rId7"/>
                    <a:srcRect/>
                    <a:stretch>
                      <a:fillRect/>
                    </a:stretch>
                  </pic:blipFill>
                  <pic:spPr>
                    <a:xfrm>
                      <a:off x="0" y="0"/>
                      <a:ext cx="2776855" cy="1210945"/>
                    </a:xfrm>
                    <a:prstGeom prst="rect">
                      <a:avLst/>
                    </a:prstGeom>
                  </pic:spPr>
                </pic:pic>
              </a:graphicData>
            </a:graphic>
          </wp:inline>
        </w:drawing>
      </w:r>
    </w:p>
    <w:p>
      <w:pPr>
        <w:jc w:val="both"/>
        <w:rPr>
          <w:b/>
        </w:rPr>
      </w:pPr>
      <w:r>
        <w:t>FIBRPRO Synthetec</w:t>
      </w:r>
      <w:r>
        <w:rPr>
          <w:vertAlign w:val="superscript"/>
        </w:rPr>
        <w:t>®</w:t>
      </w:r>
      <w:r>
        <w:t xml:space="preserve"> Stone Grating is a CITF Pre-approved Product. Please visit </w:t>
      </w:r>
      <w:r>
        <w:fldChar w:fldCharType="begin"/>
      </w:r>
      <w:r>
        <w:instrText xml:space="preserve"> HYPERLINK "http://citf.cic.hk/" \h </w:instrText>
      </w:r>
      <w:r>
        <w:fldChar w:fldCharType="separate"/>
      </w:r>
      <w:r>
        <w:rPr>
          <w:color w:val="0000FF"/>
          <w:u w:val="single"/>
        </w:rPr>
        <w:t>http://citf.cic.hk/</w:t>
      </w:r>
      <w:r>
        <w:rPr>
          <w:color w:val="0000FF"/>
          <w:u w:val="single"/>
        </w:rPr>
        <w:fldChar w:fldCharType="end"/>
      </w:r>
      <w:r>
        <w:t xml:space="preserve"> for more details. </w:t>
      </w:r>
    </w:p>
    <w:p>
      <w:pPr>
        <w:rPr>
          <w:b/>
        </w:rPr>
      </w:pPr>
    </w:p>
    <w:p>
      <w:pPr>
        <w:rPr>
          <w:b/>
        </w:rPr>
      </w:pPr>
    </w:p>
    <w:p>
      <w:pPr>
        <w:rPr>
          <w:b/>
        </w:rPr>
      </w:pPr>
      <w:r>
        <w:rPr>
          <w:b/>
        </w:rPr>
        <w:t>TERMS AND CONDITIONS</w:t>
      </w:r>
    </w:p>
    <w:p>
      <w:pPr>
        <w:rPr>
          <w:b/>
        </w:rPr>
      </w:pPr>
    </w:p>
    <w:p>
      <w:pPr>
        <w:numPr>
          <w:ilvl w:val="0"/>
          <w:numId w:val="2"/>
        </w:numPr>
        <w:spacing w:line="276" w:lineRule="auto"/>
        <w:jc w:val="both"/>
      </w:pPr>
      <w:r>
        <w:t>Prices are in Hong Kong Dollar basis and delivery to Hong Kong but excluding the unloading to the ground from the truck when product delivery to the address.</w:t>
      </w:r>
    </w:p>
    <w:p>
      <w:pPr>
        <w:numPr>
          <w:ilvl w:val="0"/>
          <w:numId w:val="2"/>
        </w:numPr>
        <w:spacing w:line="276" w:lineRule="auto"/>
        <w:jc w:val="both"/>
      </w:pPr>
      <w:r>
        <w:t>Workers, forklift, crane, or other devices for unloading to the ground from the truck are excluding and must be provided by clients.</w:t>
      </w:r>
    </w:p>
    <w:p>
      <w:pPr>
        <w:widowControl/>
        <w:numPr>
          <w:ilvl w:val="0"/>
          <w:numId w:val="2"/>
        </w:numPr>
        <w:spacing w:line="276" w:lineRule="auto"/>
        <w:jc w:val="both"/>
      </w:pPr>
      <w:r>
        <w:t>Partial and Batch Delivery is allowed, and payment is applicable in this regard.</w:t>
      </w:r>
    </w:p>
    <w:p>
      <w:pPr>
        <w:widowControl/>
        <w:numPr>
          <w:ilvl w:val="0"/>
          <w:numId w:val="2"/>
        </w:numPr>
        <w:spacing w:line="276" w:lineRule="auto"/>
        <w:jc w:val="both"/>
      </w:pPr>
      <w:r>
        <w:t>Generally 1 no. free-of-choice (refer to RAL chart) color is inclusive for order meeting the MOQ. Sub-charge may be applied for tailored colors other than RAL, for example granite, metallic, etc. With lesser quantity or additional color, color mixing and trial fee will be charged.</w:t>
      </w:r>
    </w:p>
    <w:p>
      <w:pPr>
        <w:numPr>
          <w:ilvl w:val="0"/>
          <w:numId w:val="2"/>
        </w:numPr>
        <w:spacing w:line="276" w:lineRule="auto"/>
        <w:jc w:val="both"/>
      </w:pPr>
      <w:r>
        <w:t>Site measurements, calculation, assembly, installation works and coordination meetings are exclusive.</w:t>
      </w:r>
    </w:p>
    <w:p>
      <w:pPr>
        <w:numPr>
          <w:ilvl w:val="0"/>
          <w:numId w:val="2"/>
        </w:numPr>
        <w:spacing w:line="276" w:lineRule="auto"/>
        <w:jc w:val="both"/>
      </w:pPr>
      <w:r>
        <w:t>All the tests other than the specification stated are exclusive.</w:t>
      </w:r>
    </w:p>
    <w:p>
      <w:pPr>
        <w:numPr>
          <w:ilvl w:val="0"/>
          <w:numId w:val="2"/>
        </w:numPr>
        <w:spacing w:line="276" w:lineRule="auto"/>
        <w:jc w:val="both"/>
      </w:pPr>
      <w:r>
        <w:t>All other accessories unless stated in the drawings are exclusive.</w:t>
      </w:r>
    </w:p>
    <w:p>
      <w:pPr>
        <w:numPr>
          <w:ilvl w:val="0"/>
          <w:numId w:val="2"/>
        </w:numPr>
        <w:spacing w:line="276" w:lineRule="auto"/>
        <w:jc w:val="both"/>
      </w:pPr>
      <w:r>
        <w:t>The Unit dimensions of the Synthetec</w:t>
      </w:r>
      <w:r>
        <w:rPr>
          <w:vertAlign w:val="superscript"/>
        </w:rPr>
        <w:t>®</w:t>
      </w:r>
      <w:r>
        <w:t xml:space="preserve"> Stone Gratings are controlled to the tolerance allowance of +2.0/-2.0mm, while the thickness of the Synthetec® Stone Grating is controlled to the tolerance allowance of +1.0/-1.0mm. </w:t>
      </w:r>
    </w:p>
    <w:p>
      <w:pPr>
        <w:widowControl/>
        <w:numPr>
          <w:ilvl w:val="0"/>
          <w:numId w:val="2"/>
        </w:numPr>
        <w:spacing w:line="276" w:lineRule="auto"/>
        <w:jc w:val="both"/>
      </w:pPr>
      <w:r>
        <w:t>Reminder: It is a general knowledge and nature that Synthetec® Stone Grating is a tailored cast product. The result for the separations, distribution, density, and concentration of aggregates is to some extent random and non-controllable. Therefore, there must be deviations among the (aggregate) Pattern from each piece. Synthetec® Gratings with identical (aggregate) patterns do not exist. Due to the various conditions, it is also a possibility to have slight differences on appearance for the products from different batches whenever tailored color.</w:t>
      </w:r>
    </w:p>
    <w:p>
      <w:pPr>
        <w:widowControl/>
        <w:numPr>
          <w:ilvl w:val="0"/>
          <w:numId w:val="2"/>
        </w:numPr>
        <w:spacing w:line="276" w:lineRule="auto"/>
        <w:jc w:val="both"/>
      </w:pPr>
      <w:r>
        <w:t xml:space="preserve">Product acceptance inspection before the delivery is welcomed and costs for either party is borne by each, respectively. </w:t>
      </w:r>
    </w:p>
    <w:p>
      <w:pPr>
        <w:widowControl/>
        <w:spacing w:line="276" w:lineRule="auto"/>
        <w:ind w:left="480"/>
        <w:jc w:val="both"/>
      </w:pPr>
    </w:p>
    <w:p>
      <w:pPr>
        <w:widowControl/>
        <w:spacing w:line="276" w:lineRule="auto"/>
        <w:ind w:left="480"/>
        <w:jc w:val="both"/>
      </w:pPr>
    </w:p>
    <w:p>
      <w:pPr>
        <w:widowControl/>
        <w:numPr>
          <w:ilvl w:val="0"/>
          <w:numId w:val="2"/>
        </w:numPr>
        <w:spacing w:line="276" w:lineRule="auto"/>
        <w:jc w:val="both"/>
      </w:pPr>
      <w:r>
        <w:t xml:space="preserve">Payment: </w:t>
      </w:r>
    </w:p>
    <w:p>
      <w:pPr>
        <w:numPr>
          <w:ilvl w:val="0"/>
          <w:numId w:val="3"/>
        </w:numPr>
        <w:spacing w:line="276" w:lineRule="auto"/>
        <w:ind w:left="851"/>
        <w:jc w:val="both"/>
      </w:pPr>
      <w:r>
        <w:rPr>
          <w:rFonts w:hint="eastAsia" w:eastAsia="宋体"/>
        </w:rPr>
        <w:t>{rate}</w:t>
      </w:r>
      <w:r>
        <w:t>% of the contract sum shall be paid as Deposit when purchase order or instruction of manufacturing is received, whichever is the earliest</w:t>
      </w:r>
    </w:p>
    <w:p>
      <w:pPr>
        <w:numPr>
          <w:ilvl w:val="0"/>
          <w:numId w:val="3"/>
        </w:numPr>
        <w:spacing w:line="276" w:lineRule="auto"/>
        <w:ind w:left="851"/>
        <w:jc w:val="both"/>
      </w:pPr>
      <w:r>
        <w:t xml:space="preserve"> Balance </w:t>
      </w:r>
      <w:r>
        <w:rPr>
          <w:rFonts w:hint="eastAsia" w:eastAsia="宋体"/>
        </w:rPr>
        <w:t>{rateL}</w:t>
      </w:r>
      <w:r>
        <w:t>% should be paid upon Delivery, subject to progress payment.</w:t>
      </w:r>
    </w:p>
    <w:p>
      <w:pPr>
        <w:spacing w:line="276" w:lineRule="auto"/>
        <w:ind w:left="851"/>
        <w:jc w:val="both"/>
      </w:pPr>
      <w:r>
        <w:t>DEPOSIT is non-refundable by any reason.</w:t>
      </w:r>
    </w:p>
    <w:p>
      <w:pPr>
        <w:spacing w:line="276" w:lineRule="auto"/>
        <w:ind w:left="851"/>
        <w:jc w:val="both"/>
      </w:pPr>
    </w:p>
    <w:p>
      <w:pPr>
        <w:numPr>
          <w:ilvl w:val="0"/>
          <w:numId w:val="2"/>
        </w:numPr>
        <w:spacing w:line="276" w:lineRule="auto"/>
        <w:jc w:val="both"/>
      </w:pPr>
      <w:r>
        <w:t>The client should acknowledge receipt of all goods being delivered to the instructed location.</w:t>
      </w:r>
    </w:p>
    <w:p>
      <w:pPr>
        <w:numPr>
          <w:ilvl w:val="0"/>
          <w:numId w:val="2"/>
        </w:numPr>
        <w:spacing w:line="276" w:lineRule="auto"/>
        <w:jc w:val="both"/>
      </w:pPr>
      <w:r>
        <w:t xml:space="preserve">If there is any discrepancy between the product drawings/ sample/ mock up and the final product delivery site, our liability is only limited to reproduce and redeliver the particular product by our own and at our own cost. In any circumstance, the accumulated value sum for the replacement product shall not exceed the DEPOSIT received by our company. </w:t>
      </w:r>
    </w:p>
    <w:p>
      <w:pPr>
        <w:numPr>
          <w:ilvl w:val="0"/>
          <w:numId w:val="2"/>
        </w:numPr>
        <w:spacing w:line="276" w:lineRule="auto"/>
        <w:jc w:val="both"/>
      </w:pPr>
      <w:r>
        <w:t>Please consider ordering spare pieces in one lot to avoid additional handling cost for extra small quantities.</w:t>
      </w:r>
    </w:p>
    <w:p>
      <w:pPr>
        <w:numPr>
          <w:ilvl w:val="0"/>
          <w:numId w:val="2"/>
        </w:numPr>
        <w:spacing w:line="276" w:lineRule="auto"/>
        <w:jc w:val="both"/>
      </w:pPr>
      <w:r>
        <w:t>The standard lead time for the first 500 pieces (assume 2 product types) is 4-6 weeks after the deposit received, product color confirmed, or shop drawing confirmed, whichever is latest. And the lead time for every remaining 1,000 pieces shall be about 3-4 weeks and depends on the final schedule agreed with both sides.</w:t>
      </w:r>
    </w:p>
    <w:p>
      <w:pPr>
        <w:numPr>
          <w:ilvl w:val="0"/>
          <w:numId w:val="2"/>
        </w:numPr>
        <w:spacing w:line="276" w:lineRule="auto"/>
        <w:jc w:val="both"/>
      </w:pPr>
      <w:r>
        <w:t xml:space="preserve">At once on arrival of goods. An extra monthly storage fee of HK$500 PER PALLET (min. changes HK$1,000) and a double transportation fee of HK$300 PER PALLET (min. charges of HK$900/trip for Kowloon and New Territories Area, HK$1,000/trip for Hong Kong Island Area) will be charged for any requirement to postpone delivery. </w:t>
      </w:r>
    </w:p>
    <w:p>
      <w:pPr>
        <w:numPr>
          <w:ilvl w:val="0"/>
          <w:numId w:val="2"/>
        </w:numPr>
        <w:spacing w:line="276" w:lineRule="auto"/>
        <w:jc w:val="both"/>
      </w:pPr>
      <w:r>
        <w:t xml:space="preserve">Surveying for damage in transit must be carried out within </w:t>
      </w:r>
      <w:r>
        <w:rPr>
          <w:b/>
          <w:bCs/>
          <w:u w:val="single"/>
        </w:rPr>
        <w:t>7</w:t>
      </w:r>
      <w:r>
        <w:t xml:space="preserve"> days after arrival of goods on site. Surveyor will be arranged and paid by the Seller. The Buyer shall provide labor to unpack and repack the material at the time of survey. The Seller will issue credit not for those damaged items as shown in the Survey Report.</w:t>
      </w:r>
    </w:p>
    <w:p>
      <w:pPr>
        <w:spacing w:line="276" w:lineRule="auto"/>
        <w:ind w:left="480"/>
        <w:jc w:val="both"/>
      </w:pPr>
    </w:p>
    <w:p>
      <w:pPr>
        <w:numPr>
          <w:ilvl w:val="0"/>
          <w:numId w:val="2"/>
        </w:numPr>
        <w:spacing w:line="276" w:lineRule="auto"/>
        <w:jc w:val="both"/>
      </w:pPr>
      <w:r>
        <w:t>Important reminders for installation, cleaning, and protection:</w:t>
      </w:r>
    </w:p>
    <w:p>
      <w:pPr>
        <w:numPr>
          <w:ilvl w:val="0"/>
          <w:numId w:val="4"/>
        </w:numPr>
        <w:ind w:left="709" w:hanging="283"/>
        <w:rPr>
          <w:b/>
        </w:rPr>
      </w:pPr>
      <w:r>
        <w:rPr>
          <w:b/>
        </w:rPr>
        <w:t>Tolerance for Thermal Expansion (Important)</w:t>
      </w:r>
    </w:p>
    <w:p>
      <w:pPr>
        <w:widowControl/>
        <w:ind w:left="709"/>
        <w:jc w:val="both"/>
      </w:pPr>
      <w:r>
        <w:t>Like all materials, Synthetec</w:t>
      </w:r>
      <w:r>
        <w:rPr>
          <w:vertAlign w:val="superscript"/>
        </w:rPr>
        <w:t>®</w:t>
      </w:r>
      <w:r>
        <w:t xml:space="preserve"> Stone naturally expands under sunshine and shrinks at sunset. To allow for this phenomenon, the width of the surface channel at any location must be at least 1.5mm larger than the width of the grating, and the local tolerance from the true alignment should not exceed 1mm. Along the surface channel, gaps between gratings shall be at least 1mm. Applying cross spacers, clips or other positioning tools for tiles would be helpful for the proper placement of the stone gratings.</w:t>
      </w:r>
    </w:p>
    <w:p>
      <w:pPr>
        <w:widowControl/>
        <w:ind w:left="709"/>
        <w:jc w:val="both"/>
      </w:pPr>
    </w:p>
    <w:p>
      <w:pPr>
        <w:widowControl/>
        <w:ind w:left="709"/>
        <w:jc w:val="both"/>
        <w:rPr>
          <w:b/>
        </w:rPr>
      </w:pPr>
      <w:r>
        <w:rPr>
          <w:b/>
        </w:rPr>
        <w:t>!!! Micro cracks or minor warpings may occur if the tolerances for placement are not respected. !!!</w:t>
      </w:r>
    </w:p>
    <w:p>
      <w:pPr>
        <w:widowControl/>
        <w:ind w:left="960"/>
        <w:jc w:val="both"/>
        <w:rPr>
          <w:b/>
        </w:rPr>
      </w:pPr>
    </w:p>
    <w:p>
      <w:pPr>
        <w:numPr>
          <w:ilvl w:val="0"/>
          <w:numId w:val="4"/>
        </w:numPr>
        <w:ind w:left="709" w:hanging="283"/>
        <w:rPr>
          <w:bCs/>
        </w:rPr>
      </w:pPr>
      <w:r>
        <w:rPr>
          <w:bCs/>
        </w:rPr>
        <w:t>Check the frames and verify the surfaces are clean, dry and have no protrusion which may cause the point loading and that damage the Synthetec® Stone Grating.</w:t>
      </w:r>
    </w:p>
    <w:p>
      <w:pPr>
        <w:numPr>
          <w:ilvl w:val="0"/>
          <w:numId w:val="4"/>
        </w:numPr>
        <w:ind w:left="709" w:hanging="283"/>
        <w:rPr>
          <w:bCs/>
        </w:rPr>
      </w:pPr>
      <w:r>
        <w:rPr>
          <w:bCs/>
        </w:rPr>
        <w:t>Do not commence on the installation until the site is properly prepared. The installation of Synthetec® Stone Grating shall be planned as the last step of the construction works to the trench and environment nearby, and after danger of damage from construction traffic has passed.</w:t>
      </w:r>
    </w:p>
    <w:p>
      <w:pPr>
        <w:numPr>
          <w:ilvl w:val="0"/>
          <w:numId w:val="4"/>
        </w:numPr>
        <w:ind w:left="709" w:hanging="283"/>
        <w:rPr>
          <w:bCs/>
        </w:rPr>
      </w:pPr>
      <w:r>
        <w:rPr>
          <w:bCs/>
        </w:rPr>
        <w:t xml:space="preserve">Subjected to the loading requirement, non-metallic reinforcement may be placed at the bottom of the Synthetec®® Stone Grating for undertaking the flexural moment and share force. Therefore grating must be installed exactly the same as it is shown in the drawing and guideline. Placing the grating in a wrong direction such as turning a 90 degree or upside down even in a very short period is strictly prohibited and will lead to immediate invalidation of the Warranty. </w:t>
      </w:r>
    </w:p>
    <w:p>
      <w:pPr>
        <w:widowControl/>
        <w:spacing w:line="276" w:lineRule="auto"/>
        <w:ind w:left="960"/>
        <w:jc w:val="both"/>
      </w:pPr>
    </w:p>
    <w:p>
      <w:pPr>
        <w:widowControl/>
        <w:ind w:left="709"/>
        <w:jc w:val="both"/>
        <w:rPr>
          <w:b/>
        </w:rPr>
      </w:pPr>
      <w:r>
        <w:rPr>
          <w:b/>
        </w:rPr>
        <w:t>!!! Micro cracks will occur on the grating surface at high chances if it is placed in a wrong direction (i.e. turns a 90</w:t>
      </w:r>
      <w:r>
        <w:rPr>
          <w:b/>
          <w:vertAlign w:val="superscript"/>
        </w:rPr>
        <w:t>o</w:t>
      </w:r>
      <w:r>
        <w:rPr>
          <w:b/>
        </w:rPr>
        <w:t xml:space="preserve"> or upside down) even in a very short period !!!</w:t>
      </w:r>
    </w:p>
    <w:p>
      <w:pPr>
        <w:ind w:left="709"/>
        <w:rPr>
          <w:bCs/>
        </w:rPr>
      </w:pPr>
    </w:p>
    <w:p>
      <w:pPr>
        <w:numPr>
          <w:ilvl w:val="0"/>
          <w:numId w:val="4"/>
        </w:numPr>
        <w:ind w:left="709" w:hanging="283"/>
        <w:rPr>
          <w:bCs/>
        </w:rPr>
      </w:pPr>
      <w:r>
        <w:rPr>
          <w:bCs/>
        </w:rPr>
        <w:t>During and after the installation on a unit by unit or area by area basis, a protection sheet shall be placed immediately to cover the Synthetec® Stone Grating cover and ensure it is not removed or damaged until this area is opened to the public.</w:t>
      </w:r>
    </w:p>
    <w:p>
      <w:pPr>
        <w:numPr>
          <w:ilvl w:val="0"/>
          <w:numId w:val="4"/>
        </w:numPr>
        <w:ind w:left="709" w:hanging="283"/>
        <w:rPr>
          <w:bCs/>
        </w:rPr>
      </w:pPr>
      <w:r>
        <w:rPr>
          <w:bCs/>
        </w:rPr>
        <w:t>Prevent the Synthetec® Stone Grating from any potential exposure to smear, scratch or abrasion by other materials, tools, and machines.</w:t>
      </w:r>
    </w:p>
    <w:p>
      <w:pPr>
        <w:numPr>
          <w:ilvl w:val="0"/>
          <w:numId w:val="4"/>
        </w:numPr>
        <w:ind w:left="709" w:hanging="283"/>
        <w:rPr>
          <w:bCs/>
        </w:rPr>
      </w:pPr>
      <w:r>
        <w:rPr>
          <w:bCs/>
        </w:rPr>
        <w:t>Clean promptly after installation in accordance with the manufacturer's instructions.</w:t>
      </w:r>
    </w:p>
    <w:p>
      <w:pPr>
        <w:numPr>
          <w:ilvl w:val="0"/>
          <w:numId w:val="4"/>
        </w:numPr>
        <w:ind w:left="709" w:hanging="283"/>
        <w:rPr>
          <w:bCs/>
        </w:rPr>
      </w:pPr>
      <w:r>
        <w:rPr>
          <w:bCs/>
        </w:rPr>
        <w:t>Do not use harsh cleaning materials like acid wash that could damage the product.</w:t>
      </w:r>
    </w:p>
    <w:p>
      <w:pPr>
        <w:numPr>
          <w:ilvl w:val="0"/>
          <w:numId w:val="4"/>
        </w:numPr>
        <w:ind w:left="709" w:hanging="283"/>
        <w:rPr>
          <w:bCs/>
        </w:rPr>
      </w:pPr>
      <w:r>
        <w:rPr>
          <w:bCs/>
        </w:rPr>
        <w:t>Repair or replace product if damaged by mishandling.</w:t>
      </w:r>
    </w:p>
    <w:p>
      <w:pPr>
        <w:ind w:left="709"/>
        <w:rPr>
          <w:bCs/>
        </w:rPr>
      </w:pPr>
    </w:p>
    <w:p>
      <w:pPr>
        <w:numPr>
          <w:ilvl w:val="0"/>
          <w:numId w:val="2"/>
        </w:numPr>
        <w:spacing w:line="276" w:lineRule="auto"/>
        <w:jc w:val="both"/>
      </w:pPr>
      <w:r>
        <w:t>Generally production mold is expired and has to be discarded in three months-time, and New mold fee will be charged for any orders after the stated period.</w:t>
      </w:r>
    </w:p>
    <w:p>
      <w:pPr>
        <w:widowControl/>
        <w:spacing w:line="276" w:lineRule="auto"/>
        <w:ind w:left="480"/>
        <w:rPr>
          <w:color w:val="000000"/>
        </w:rPr>
      </w:pPr>
    </w:p>
    <w:p>
      <w:pPr>
        <w:widowControl/>
        <w:spacing w:line="276" w:lineRule="auto"/>
        <w:ind w:left="426"/>
        <w:jc w:val="both"/>
      </w:pPr>
      <w:r>
        <w:t>Prices, terms and conditions, for the inquired specifications, are valid up to 60 days against this quotation. We look forward to the opportunity of being of service to you.</w:t>
      </w:r>
    </w:p>
    <w:p>
      <w:pPr>
        <w:spacing w:line="276" w:lineRule="auto"/>
      </w:pPr>
    </w:p>
    <w:tbl>
      <w:tblPr>
        <w:tblStyle w:val="37"/>
        <w:tblW w:w="8897" w:type="dxa"/>
        <w:tblInd w:w="0" w:type="dxa"/>
        <w:tblLayout w:type="fixed"/>
        <w:tblCellMar>
          <w:top w:w="0" w:type="dxa"/>
          <w:left w:w="115" w:type="dxa"/>
          <w:bottom w:w="0" w:type="dxa"/>
          <w:right w:w="115" w:type="dxa"/>
        </w:tblCellMar>
      </w:tblPr>
      <w:tblGrid>
        <w:gridCol w:w="4049"/>
        <w:gridCol w:w="250"/>
        <w:gridCol w:w="4598"/>
      </w:tblGrid>
      <w:tr>
        <w:tblPrEx>
          <w:tblCellMar>
            <w:top w:w="0" w:type="dxa"/>
            <w:left w:w="115" w:type="dxa"/>
            <w:bottom w:w="0" w:type="dxa"/>
            <w:right w:w="115" w:type="dxa"/>
          </w:tblCellMar>
        </w:tblPrEx>
        <w:tc>
          <w:tcPr>
            <w:tcW w:w="4049" w:type="dxa"/>
          </w:tcPr>
          <w:p>
            <w:pPr>
              <w:ind w:left="360"/>
              <w:jc w:val="both"/>
            </w:pPr>
            <w:r>
              <w:t>Yours faithfully,</w:t>
            </w:r>
          </w:p>
          <w:p>
            <w:pPr>
              <w:ind w:left="360"/>
              <w:jc w:val="both"/>
            </w:pPr>
            <w:r>
              <w:t>For and on behalf of</w:t>
            </w:r>
          </w:p>
          <w:p>
            <w:pPr>
              <w:ind w:left="360"/>
              <w:jc w:val="both"/>
            </w:pPr>
            <w:r>
              <w:t>FIBRPRO International Limited</w:t>
            </w:r>
          </w:p>
          <w:p>
            <w:pPr>
              <w:ind w:left="360"/>
              <w:jc w:val="both"/>
            </w:pPr>
          </w:p>
          <w:p>
            <w:pPr>
              <w:ind w:left="360"/>
              <w:jc w:val="both"/>
            </w:pPr>
          </w:p>
          <w:p>
            <w:pPr>
              <w:ind w:left="360"/>
              <w:jc w:val="both"/>
            </w:pPr>
          </w:p>
          <w:p>
            <w:pPr>
              <w:ind w:left="360"/>
              <w:jc w:val="both"/>
            </w:pPr>
            <w:r>
              <w:t>____________________________</w:t>
            </w:r>
          </w:p>
          <w:p>
            <w:pPr>
              <w:ind w:left="360"/>
              <w:jc w:val="both"/>
            </w:pPr>
            <w:r>
              <w:t>Elvin Tang</w:t>
            </w:r>
          </w:p>
          <w:p>
            <w:pPr>
              <w:ind w:left="360"/>
              <w:jc w:val="both"/>
            </w:pPr>
            <w:r>
              <w:t>Marketing Manager</w:t>
            </w:r>
          </w:p>
        </w:tc>
        <w:tc>
          <w:tcPr>
            <w:tcW w:w="250" w:type="dxa"/>
          </w:tcPr>
          <w:p>
            <w:pPr>
              <w:ind w:left="360"/>
              <w:jc w:val="both"/>
            </w:pPr>
          </w:p>
        </w:tc>
        <w:tc>
          <w:tcPr>
            <w:tcW w:w="4598" w:type="dxa"/>
          </w:tcPr>
          <w:p>
            <w:pPr>
              <w:jc w:val="both"/>
            </w:pPr>
            <w:r>
              <w:t>Agreed and accepted by:</w:t>
            </w:r>
          </w:p>
          <w:p>
            <w:pPr>
              <w:jc w:val="both"/>
            </w:pPr>
            <w:r>
              <w:t>For and on behalf of</w:t>
            </w:r>
          </w:p>
          <w:p>
            <w:pPr>
              <w:jc w:val="both"/>
            </w:pPr>
            <w:r>
              <w:t>{companyname}</w:t>
            </w:r>
          </w:p>
          <w:p>
            <w:pPr>
              <w:jc w:val="both"/>
            </w:pPr>
            <w:r>
              <w:t xml:space="preserve">    </w:t>
            </w:r>
          </w:p>
          <w:p>
            <w:pPr>
              <w:jc w:val="both"/>
            </w:pPr>
          </w:p>
          <w:p>
            <w:pPr>
              <w:jc w:val="both"/>
            </w:pPr>
          </w:p>
          <w:p>
            <w:pPr>
              <w:jc w:val="both"/>
            </w:pPr>
            <w:r>
              <w:t>_____________________________</w:t>
            </w:r>
          </w:p>
          <w:p>
            <w:pPr>
              <w:jc w:val="both"/>
            </w:pPr>
            <w:r>
              <w:t xml:space="preserve">Client’s authorized signature </w:t>
            </w:r>
          </w:p>
          <w:p>
            <w:pPr>
              <w:jc w:val="both"/>
            </w:pPr>
            <w:r>
              <w:t>&amp; company chop</w:t>
            </w:r>
          </w:p>
        </w:tc>
      </w:tr>
    </w:tbl>
    <w:p>
      <w:pPr>
        <w:jc w:val="both"/>
        <w:rPr>
          <w:color w:val="000000"/>
        </w:rPr>
      </w:pPr>
    </w:p>
    <w:sectPr>
      <w:headerReference r:id="rId4" w:type="first"/>
      <w:footerReference r:id="rId5" w:type="first"/>
      <w:headerReference r:id="rId3" w:type="default"/>
      <w:pgSz w:w="11906" w:h="16838"/>
      <w:pgMar w:top="1985" w:right="1440" w:bottom="1440" w:left="1797" w:header="851" w:footer="992"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KidTYPEPaint">
    <w:altName w:val="Courier New"/>
    <w:panose1 w:val="00000000000000000000"/>
    <w:charset w:val="00"/>
    <w:family w:val="auto"/>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Georgia">
    <w:panose1 w:val="02040502050405020303"/>
    <w:charset w:val="00"/>
    <w:family w:val="roman"/>
    <w:pitch w:val="default"/>
    <w:sig w:usb0="00000287" w:usb1="00000000" w:usb2="00000000" w:usb3="00000000" w:csb0="2000009F" w:csb1="00000000"/>
  </w:font>
  <w:font w:name="PMingLi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color w:val="000000"/>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tabs>
        <w:tab w:val="center" w:pos="4320"/>
      </w:tabs>
      <w:ind w:left="-720" w:right="-545" w:firstLine="11"/>
      <w:jc w:val="both"/>
      <w:rPr>
        <w:color w:val="000000"/>
      </w:rPr>
    </w:pPr>
    <w:r>
      <w:rPr>
        <w:color w:val="000000"/>
        <w:lang w:eastAsia="zh-TW"/>
      </w:rPr>
      <w:drawing>
        <wp:inline distT="0" distB="0" distL="0" distR="0">
          <wp:extent cx="4114800" cy="751840"/>
          <wp:effectExtent l="0" t="0" r="0" b="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圖片 76"/>
                  <pic:cNvPicPr preferRelativeResize="0">
                    <a:picLocks noChangeAspect="1"/>
                  </pic:cNvPicPr>
                </pic:nvPicPr>
                <pic:blipFill>
                  <a:blip r:embed="rId1"/>
                  <a:srcRect/>
                  <a:stretch>
                    <a:fillRect/>
                  </a:stretch>
                </pic:blipFill>
                <pic:spPr>
                  <a:xfrm>
                    <a:off x="0" y="0"/>
                    <a:ext cx="4114800" cy="752400"/>
                  </a:xfrm>
                  <a:prstGeom prst="rect">
                    <a:avLst/>
                  </a:prstGeom>
                </pic:spPr>
              </pic:pic>
            </a:graphicData>
          </a:graphic>
        </wp:inline>
      </w:drawing>
    </w:r>
    <w:r>
      <w:rPr>
        <w:color w:val="000000"/>
      </w:rPr>
      <w:t xml:space="preserve">     </w:t>
    </w:r>
    <w:r>
      <w:rPr>
        <w:lang w:eastAsia="zh-TW"/>
      </w:rPr>
      <w:drawing>
        <wp:inline distT="0" distB="0" distL="114300" distR="114300">
          <wp:extent cx="1983105" cy="751840"/>
          <wp:effectExtent l="0" t="0" r="0" b="0"/>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圖片 77"/>
                  <pic:cNvPicPr preferRelativeResize="0">
                    <a:picLocks noChangeAspect="1"/>
                  </pic:cNvPicPr>
                </pic:nvPicPr>
                <pic:blipFill>
                  <a:blip r:embed="rId2"/>
                  <a:srcRect l="6960" t="10585" r="4762" b="11924"/>
                  <a:stretch>
                    <a:fillRect/>
                  </a:stretch>
                </pic:blipFill>
                <pic:spPr>
                  <a:xfrm>
                    <a:off x="0" y="0"/>
                    <a:ext cx="1983600" cy="752400"/>
                  </a:xfrm>
                  <a:prstGeom prst="rect">
                    <a:avLst/>
                  </a:prstGeom>
                  <a:ln>
                    <a:noFill/>
                  </a:ln>
                </pic:spPr>
              </pic:pic>
            </a:graphicData>
          </a:graphic>
        </wp:inline>
      </w:drawing>
    </w:r>
  </w:p>
  <w:p>
    <w:pPr>
      <w:widowControl/>
      <w:tabs>
        <w:tab w:val="center" w:pos="4320"/>
      </w:tabs>
      <w:ind w:left="-709" w:right="-545"/>
      <w:jc w:val="both"/>
      <w:rPr>
        <w:color w:val="000000"/>
        <w:sz w:val="20"/>
        <w:szCs w:val="20"/>
      </w:rPr>
    </w:pPr>
    <w:r>
      <w:rPr>
        <w:color w:val="000000"/>
        <w:sz w:val="20"/>
        <w:szCs w:val="20"/>
      </w:rPr>
      <w:tab/>
    </w:r>
  </w:p>
  <w:p>
    <w:pPr>
      <w:widowControl/>
      <w:tabs>
        <w:tab w:val="center" w:pos="4320"/>
        <w:tab w:val="right" w:pos="8640"/>
      </w:tabs>
      <w:ind w:left="-851"/>
      <w:jc w:val="center"/>
      <w:rPr>
        <w:color w:val="000000"/>
        <w:sz w:val="20"/>
        <w:szCs w:val="20"/>
      </w:rPr>
    </w:pPr>
    <w:r>
      <w:rPr>
        <w:color w:val="000000"/>
        <w:sz w:val="20"/>
        <w:szCs w:val="20"/>
      </w:rPr>
      <w:t xml:space="preserve">- </w:t>
    </w:r>
    <w:r>
      <w:rPr>
        <w:color w:val="000000"/>
        <w:sz w:val="20"/>
        <w:szCs w:val="20"/>
      </w:rPr>
      <w:fldChar w:fldCharType="begin"/>
    </w:r>
    <w:r>
      <w:rPr>
        <w:color w:val="000000"/>
        <w:sz w:val="20"/>
        <w:szCs w:val="20"/>
      </w:rPr>
      <w:instrText xml:space="preserve">PAGE</w:instrText>
    </w:r>
    <w:r>
      <w:rPr>
        <w:color w:val="000000"/>
        <w:sz w:val="20"/>
        <w:szCs w:val="20"/>
      </w:rPr>
      <w:fldChar w:fldCharType="separate"/>
    </w:r>
    <w:r>
      <w:rPr>
        <w:color w:val="000000"/>
        <w:sz w:val="20"/>
        <w:szCs w:val="20"/>
      </w:rPr>
      <w:t>2</w:t>
    </w:r>
    <w:r>
      <w:rPr>
        <w:color w:val="000000"/>
        <w:sz w:val="20"/>
        <w:szCs w:val="20"/>
      </w:rPr>
      <w:fldChar w:fldCharType="end"/>
    </w:r>
    <w:r>
      <w:rPr>
        <w:color w:val="000000"/>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tabs>
        <w:tab w:val="center" w:pos="4320"/>
      </w:tabs>
      <w:ind w:left="-720" w:right="-545" w:firstLine="11"/>
      <w:jc w:val="both"/>
      <w:rPr>
        <w:color w:val="000000"/>
      </w:rPr>
    </w:pPr>
    <w:r>
      <w:rPr>
        <w:color w:val="000000"/>
        <w:lang w:eastAsia="zh-TW"/>
      </w:rPr>
      <w:drawing>
        <wp:inline distT="0" distB="0" distL="0" distR="0">
          <wp:extent cx="4114800" cy="751840"/>
          <wp:effectExtent l="0" t="0" r="0" b="0"/>
          <wp:docPr id="72" name="圖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圖片 72"/>
                  <pic:cNvPicPr preferRelativeResize="0">
                    <a:picLocks noChangeAspect="1"/>
                  </pic:cNvPicPr>
                </pic:nvPicPr>
                <pic:blipFill>
                  <a:blip r:embed="rId1"/>
                  <a:srcRect/>
                  <a:stretch>
                    <a:fillRect/>
                  </a:stretch>
                </pic:blipFill>
                <pic:spPr>
                  <a:xfrm>
                    <a:off x="0" y="0"/>
                    <a:ext cx="4114800" cy="752400"/>
                  </a:xfrm>
                  <a:prstGeom prst="rect">
                    <a:avLst/>
                  </a:prstGeom>
                </pic:spPr>
              </pic:pic>
            </a:graphicData>
          </a:graphic>
        </wp:inline>
      </w:drawing>
    </w:r>
    <w:r>
      <w:rPr>
        <w:color w:val="000000"/>
      </w:rPr>
      <w:t xml:space="preserve">     </w:t>
    </w:r>
    <w:r>
      <w:rPr>
        <w:lang w:eastAsia="zh-TW"/>
      </w:rPr>
      <w:drawing>
        <wp:inline distT="0" distB="0" distL="114300" distR="114300">
          <wp:extent cx="1983105" cy="751840"/>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圖片 73"/>
                  <pic:cNvPicPr preferRelativeResize="0">
                    <a:picLocks noChangeAspect="1"/>
                  </pic:cNvPicPr>
                </pic:nvPicPr>
                <pic:blipFill>
                  <a:blip r:embed="rId2"/>
                  <a:srcRect l="6960" t="10585" r="4762" b="11924"/>
                  <a:stretch>
                    <a:fillRect/>
                  </a:stretch>
                </pic:blipFill>
                <pic:spPr>
                  <a:xfrm>
                    <a:off x="0" y="0"/>
                    <a:ext cx="1983600" cy="752400"/>
                  </a:xfrm>
                  <a:prstGeom prst="rect">
                    <a:avLst/>
                  </a:prstGeom>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A155A"/>
    <w:multiLevelType w:val="multilevel"/>
    <w:tmpl w:val="08FA155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EC84221"/>
    <w:multiLevelType w:val="multilevel"/>
    <w:tmpl w:val="0EC84221"/>
    <w:lvl w:ilvl="0" w:tentative="0">
      <w:start w:val="1"/>
      <w:numFmt w:val="upperLetter"/>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522C1FFB"/>
    <w:multiLevelType w:val="multilevel"/>
    <w:tmpl w:val="522C1FFB"/>
    <w:lvl w:ilvl="0" w:tentative="0">
      <w:start w:val="1"/>
      <w:numFmt w:val="lowerLetter"/>
      <w:lvlText w:val="%1."/>
      <w:lvlJc w:val="left"/>
      <w:pPr>
        <w:ind w:left="1189" w:hanging="480"/>
      </w:pPr>
    </w:lvl>
    <w:lvl w:ilvl="1" w:tentative="0">
      <w:start w:val="1"/>
      <w:numFmt w:val="decimal"/>
      <w:lvlText w:val="%2、"/>
      <w:lvlJc w:val="left"/>
      <w:pPr>
        <w:ind w:left="1669" w:hanging="480"/>
      </w:pPr>
    </w:lvl>
    <w:lvl w:ilvl="2" w:tentative="0">
      <w:start w:val="1"/>
      <w:numFmt w:val="lowerRoman"/>
      <w:lvlText w:val="%3."/>
      <w:lvlJc w:val="right"/>
      <w:pPr>
        <w:ind w:left="2149" w:hanging="480"/>
      </w:pPr>
    </w:lvl>
    <w:lvl w:ilvl="3" w:tentative="0">
      <w:start w:val="1"/>
      <w:numFmt w:val="decimal"/>
      <w:lvlText w:val="%4."/>
      <w:lvlJc w:val="left"/>
      <w:pPr>
        <w:ind w:left="2629" w:hanging="480"/>
      </w:pPr>
    </w:lvl>
    <w:lvl w:ilvl="4" w:tentative="0">
      <w:start w:val="1"/>
      <w:numFmt w:val="decimal"/>
      <w:lvlText w:val="%5、"/>
      <w:lvlJc w:val="left"/>
      <w:pPr>
        <w:ind w:left="3109" w:hanging="480"/>
      </w:pPr>
    </w:lvl>
    <w:lvl w:ilvl="5" w:tentative="0">
      <w:start w:val="1"/>
      <w:numFmt w:val="lowerRoman"/>
      <w:lvlText w:val="%6."/>
      <w:lvlJc w:val="right"/>
      <w:pPr>
        <w:ind w:left="3589" w:hanging="480"/>
      </w:pPr>
    </w:lvl>
    <w:lvl w:ilvl="6" w:tentative="0">
      <w:start w:val="1"/>
      <w:numFmt w:val="decimal"/>
      <w:lvlText w:val="%7."/>
      <w:lvlJc w:val="left"/>
      <w:pPr>
        <w:ind w:left="4069" w:hanging="480"/>
      </w:pPr>
    </w:lvl>
    <w:lvl w:ilvl="7" w:tentative="0">
      <w:start w:val="1"/>
      <w:numFmt w:val="decimal"/>
      <w:lvlText w:val="%8、"/>
      <w:lvlJc w:val="left"/>
      <w:pPr>
        <w:ind w:left="4549" w:hanging="480"/>
      </w:pPr>
    </w:lvl>
    <w:lvl w:ilvl="8" w:tentative="0">
      <w:start w:val="1"/>
      <w:numFmt w:val="lowerRoman"/>
      <w:lvlText w:val="%9."/>
      <w:lvlJc w:val="right"/>
      <w:pPr>
        <w:ind w:left="5029" w:hanging="480"/>
      </w:pPr>
    </w:lvl>
  </w:abstractNum>
  <w:abstractNum w:abstractNumId="3">
    <w:nsid w:val="77443F5E"/>
    <w:multiLevelType w:val="multilevel"/>
    <w:tmpl w:val="77443F5E"/>
    <w:lvl w:ilvl="0" w:tentative="0">
      <w:start w:val="1"/>
      <w:numFmt w:val="decimal"/>
      <w:lvlText w:val="%1)"/>
      <w:lvlJc w:val="left"/>
      <w:pPr>
        <w:ind w:left="480" w:hanging="360"/>
      </w:pPr>
    </w:lvl>
    <w:lvl w:ilvl="1" w:tentative="0">
      <w:start w:val="1"/>
      <w:numFmt w:val="lowerLetter"/>
      <w:lvlText w:val="%2."/>
      <w:lvlJc w:val="left"/>
      <w:pPr>
        <w:ind w:left="1200" w:hanging="360"/>
      </w:pPr>
    </w:lvl>
    <w:lvl w:ilvl="2" w:tentative="0">
      <w:start w:val="1"/>
      <w:numFmt w:val="lowerRoman"/>
      <w:lvlText w:val="%3."/>
      <w:lvlJc w:val="right"/>
      <w:pPr>
        <w:ind w:left="1920" w:hanging="180"/>
      </w:pPr>
    </w:lvl>
    <w:lvl w:ilvl="3" w:tentative="0">
      <w:start w:val="1"/>
      <w:numFmt w:val="decimal"/>
      <w:lvlText w:val="%4."/>
      <w:lvlJc w:val="left"/>
      <w:pPr>
        <w:ind w:left="2640" w:hanging="360"/>
      </w:pPr>
    </w:lvl>
    <w:lvl w:ilvl="4" w:tentative="0">
      <w:start w:val="1"/>
      <w:numFmt w:val="lowerLetter"/>
      <w:lvlText w:val="%5."/>
      <w:lvlJc w:val="left"/>
      <w:pPr>
        <w:ind w:left="3360" w:hanging="360"/>
      </w:pPr>
    </w:lvl>
    <w:lvl w:ilvl="5" w:tentative="0">
      <w:start w:val="1"/>
      <w:numFmt w:val="lowerRoman"/>
      <w:lvlText w:val="%6."/>
      <w:lvlJc w:val="right"/>
      <w:pPr>
        <w:ind w:left="4080" w:hanging="180"/>
      </w:pPr>
    </w:lvl>
    <w:lvl w:ilvl="6" w:tentative="0">
      <w:start w:val="1"/>
      <w:numFmt w:val="decimal"/>
      <w:lvlText w:val="%7."/>
      <w:lvlJc w:val="left"/>
      <w:pPr>
        <w:ind w:left="4800" w:hanging="360"/>
      </w:pPr>
    </w:lvl>
    <w:lvl w:ilvl="7" w:tentative="0">
      <w:start w:val="1"/>
      <w:numFmt w:val="lowerLetter"/>
      <w:lvlText w:val="%8."/>
      <w:lvlJc w:val="left"/>
      <w:pPr>
        <w:ind w:left="5520" w:hanging="360"/>
      </w:pPr>
    </w:lvl>
    <w:lvl w:ilvl="8" w:tentative="0">
      <w:start w:val="1"/>
      <w:numFmt w:val="lowerRoman"/>
      <w:lvlText w:val="%9."/>
      <w:lvlJc w:val="right"/>
      <w:pPr>
        <w:ind w:left="62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wYTM3NTg1YmRjM2YyODZmN2E5OThkY2ZkMTA4ZGYifQ=="/>
  </w:docVars>
  <w:rsids>
    <w:rsidRoot w:val="004E3A68"/>
    <w:rsid w:val="0006420D"/>
    <w:rsid w:val="0007451C"/>
    <w:rsid w:val="00090066"/>
    <w:rsid w:val="00154035"/>
    <w:rsid w:val="001850FE"/>
    <w:rsid w:val="001C6A08"/>
    <w:rsid w:val="001E1F26"/>
    <w:rsid w:val="001F200A"/>
    <w:rsid w:val="00202BE1"/>
    <w:rsid w:val="00251B08"/>
    <w:rsid w:val="002639DE"/>
    <w:rsid w:val="002D20A8"/>
    <w:rsid w:val="003020DE"/>
    <w:rsid w:val="00326D06"/>
    <w:rsid w:val="00356014"/>
    <w:rsid w:val="00365555"/>
    <w:rsid w:val="004528CE"/>
    <w:rsid w:val="00495889"/>
    <w:rsid w:val="004B159D"/>
    <w:rsid w:val="004E3A68"/>
    <w:rsid w:val="00500CFC"/>
    <w:rsid w:val="006332E0"/>
    <w:rsid w:val="0067263B"/>
    <w:rsid w:val="00683054"/>
    <w:rsid w:val="006F18BA"/>
    <w:rsid w:val="00710C7C"/>
    <w:rsid w:val="0072348C"/>
    <w:rsid w:val="0077370D"/>
    <w:rsid w:val="007C0D3C"/>
    <w:rsid w:val="00821D8F"/>
    <w:rsid w:val="008522BC"/>
    <w:rsid w:val="00853EB3"/>
    <w:rsid w:val="00854978"/>
    <w:rsid w:val="00857874"/>
    <w:rsid w:val="00870D6E"/>
    <w:rsid w:val="008D277C"/>
    <w:rsid w:val="008F59D6"/>
    <w:rsid w:val="00963E9C"/>
    <w:rsid w:val="009C0EF0"/>
    <w:rsid w:val="009D4511"/>
    <w:rsid w:val="009E4DD8"/>
    <w:rsid w:val="00A33795"/>
    <w:rsid w:val="00A55349"/>
    <w:rsid w:val="00AB13FD"/>
    <w:rsid w:val="00AC2386"/>
    <w:rsid w:val="00B20824"/>
    <w:rsid w:val="00B84025"/>
    <w:rsid w:val="00B928A8"/>
    <w:rsid w:val="00BE32D4"/>
    <w:rsid w:val="00C8145C"/>
    <w:rsid w:val="00C914B3"/>
    <w:rsid w:val="00D25B5C"/>
    <w:rsid w:val="00D65EDF"/>
    <w:rsid w:val="00D85FE9"/>
    <w:rsid w:val="00DD1A9C"/>
    <w:rsid w:val="00E12D51"/>
    <w:rsid w:val="00E17AE8"/>
    <w:rsid w:val="00E43825"/>
    <w:rsid w:val="00E502E4"/>
    <w:rsid w:val="00EB66B0"/>
    <w:rsid w:val="00EC0870"/>
    <w:rsid w:val="00EC7C10"/>
    <w:rsid w:val="00F06E1A"/>
    <w:rsid w:val="00F35BD8"/>
    <w:rsid w:val="00F64CB5"/>
    <w:rsid w:val="00F83713"/>
    <w:rsid w:val="00FA1C5F"/>
    <w:rsid w:val="00FC01B8"/>
    <w:rsid w:val="00FC3E65"/>
    <w:rsid w:val="05EA4B8A"/>
    <w:rsid w:val="0CB83F37"/>
    <w:rsid w:val="123D1FC9"/>
    <w:rsid w:val="13734BB3"/>
    <w:rsid w:val="140F6ACA"/>
    <w:rsid w:val="18E37943"/>
    <w:rsid w:val="19AE142A"/>
    <w:rsid w:val="1BEF5A1A"/>
    <w:rsid w:val="25C25266"/>
    <w:rsid w:val="2D1B36F8"/>
    <w:rsid w:val="39E8242A"/>
    <w:rsid w:val="3A347237"/>
    <w:rsid w:val="436F1C50"/>
    <w:rsid w:val="4BB3205E"/>
    <w:rsid w:val="4FBA3848"/>
    <w:rsid w:val="56003072"/>
    <w:rsid w:val="593B7B86"/>
    <w:rsid w:val="5D2B212B"/>
    <w:rsid w:val="5DFF4FEE"/>
    <w:rsid w:val="66F31852"/>
    <w:rsid w:val="7ADC0FD3"/>
    <w:rsid w:val="7CCA2D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cs="Times New Roman" w:eastAsiaTheme="minorEastAsia"/>
      <w:kern w:val="2"/>
      <w:sz w:val="24"/>
      <w:szCs w:val="24"/>
      <w:lang w:val="en-US" w:eastAsia="zh-CN" w:bidi="ar-SA"/>
    </w:rPr>
  </w:style>
  <w:style w:type="paragraph" w:styleId="2">
    <w:name w:val="heading 1"/>
    <w:basedOn w:val="1"/>
    <w:next w:val="1"/>
    <w:link w:val="38"/>
    <w:qFormat/>
    <w:uiPriority w:val="9"/>
    <w:pPr>
      <w:keepNext/>
      <w:outlineLvl w:val="0"/>
    </w:pPr>
    <w:rPr>
      <w:b/>
      <w:bCs/>
    </w:rPr>
  </w:style>
  <w:style w:type="paragraph" w:styleId="3">
    <w:name w:val="heading 2"/>
    <w:basedOn w:val="1"/>
    <w:next w:val="1"/>
    <w:semiHidden/>
    <w:unhideWhenUsed/>
    <w:qFormat/>
    <w:uiPriority w:val="9"/>
    <w:pPr>
      <w:keepNext/>
      <w:snapToGrid w:val="0"/>
      <w:jc w:val="both"/>
      <w:outlineLvl w:val="1"/>
    </w:pPr>
    <w:rPr>
      <w:b/>
      <w:bCs/>
    </w:rPr>
  </w:style>
  <w:style w:type="paragraph" w:styleId="4">
    <w:name w:val="heading 3"/>
    <w:basedOn w:val="1"/>
    <w:next w:val="1"/>
    <w:semiHidden/>
    <w:unhideWhenUsed/>
    <w:qFormat/>
    <w:uiPriority w:val="9"/>
    <w:pPr>
      <w:keepNext/>
      <w:snapToGrid w:val="0"/>
      <w:jc w:val="both"/>
      <w:outlineLvl w:val="2"/>
    </w:pPr>
    <w:rPr>
      <w:rFonts w:ascii="KidTYPEPaint" w:hAnsi="KidTYPEPaint"/>
      <w:i/>
      <w:iCs/>
    </w:rPr>
  </w:style>
  <w:style w:type="paragraph" w:styleId="5">
    <w:name w:val="heading 4"/>
    <w:basedOn w:val="1"/>
    <w:next w:val="1"/>
    <w:semiHidden/>
    <w:unhideWhenUsed/>
    <w:qFormat/>
    <w:uiPriority w:val="9"/>
    <w:pPr>
      <w:keepNext/>
      <w:snapToGrid w:val="0"/>
      <w:jc w:val="center"/>
      <w:outlineLvl w:val="3"/>
    </w:pPr>
    <w:rPr>
      <w:b/>
      <w:bCs/>
    </w:rPr>
  </w:style>
  <w:style w:type="paragraph" w:styleId="6">
    <w:name w:val="heading 5"/>
    <w:basedOn w:val="1"/>
    <w:next w:val="1"/>
    <w:link w:val="26"/>
    <w:semiHidden/>
    <w:unhideWhenUsed/>
    <w:qFormat/>
    <w:uiPriority w:val="9"/>
    <w:pPr>
      <w:keepNext/>
      <w:snapToGrid w:val="0"/>
      <w:jc w:val="center"/>
      <w:outlineLvl w:val="4"/>
    </w:pPr>
    <w:rPr>
      <w:b/>
      <w:bCs/>
      <w:u w:val="single"/>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paragraph" w:styleId="8">
    <w:name w:val="heading 8"/>
    <w:basedOn w:val="1"/>
    <w:next w:val="1"/>
    <w:qFormat/>
    <w:uiPriority w:val="0"/>
    <w:pPr>
      <w:keepNext/>
      <w:spacing w:line="720" w:lineRule="auto"/>
      <w:ind w:left="851"/>
      <w:outlineLvl w:val="7"/>
    </w:pPr>
    <w:rPr>
      <w:rFonts w:ascii="Arial" w:hAnsi="Arial"/>
      <w:sz w:val="36"/>
      <w:szCs w:val="36"/>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9">
    <w:name w:val="Body Text Indent"/>
    <w:basedOn w:val="1"/>
    <w:link w:val="29"/>
    <w:qFormat/>
    <w:uiPriority w:val="0"/>
    <w:pPr>
      <w:snapToGrid w:val="0"/>
      <w:ind w:left="480"/>
      <w:jc w:val="both"/>
    </w:pPr>
  </w:style>
  <w:style w:type="paragraph" w:styleId="10">
    <w:name w:val="Date"/>
    <w:basedOn w:val="1"/>
    <w:next w:val="1"/>
    <w:qFormat/>
    <w:uiPriority w:val="0"/>
  </w:style>
  <w:style w:type="paragraph" w:styleId="11">
    <w:name w:val="Body Text Indent 2"/>
    <w:basedOn w:val="1"/>
    <w:qFormat/>
    <w:uiPriority w:val="0"/>
    <w:pPr>
      <w:snapToGrid w:val="0"/>
      <w:ind w:left="1920" w:hanging="480"/>
      <w:jc w:val="both"/>
    </w:pPr>
  </w:style>
  <w:style w:type="paragraph" w:styleId="12">
    <w:name w:val="Balloon Text"/>
    <w:basedOn w:val="1"/>
    <w:link w:val="28"/>
    <w:qFormat/>
    <w:uiPriority w:val="0"/>
    <w:rPr>
      <w:rFonts w:ascii="宋体" w:eastAsia="宋体"/>
      <w:sz w:val="18"/>
      <w:szCs w:val="18"/>
    </w:rPr>
  </w:style>
  <w:style w:type="paragraph" w:styleId="13">
    <w:name w:val="footer"/>
    <w:basedOn w:val="1"/>
    <w:qFormat/>
    <w:uiPriority w:val="0"/>
    <w:pPr>
      <w:tabs>
        <w:tab w:val="center" w:pos="4153"/>
        <w:tab w:val="right" w:pos="8306"/>
      </w:tabs>
      <w:snapToGrid w:val="0"/>
    </w:pPr>
    <w:rPr>
      <w:sz w:val="20"/>
      <w:szCs w:val="20"/>
    </w:rPr>
  </w:style>
  <w:style w:type="paragraph" w:styleId="14">
    <w:name w:val="header"/>
    <w:basedOn w:val="1"/>
    <w:qFormat/>
    <w:uiPriority w:val="0"/>
    <w:pPr>
      <w:widowControl/>
      <w:tabs>
        <w:tab w:val="center" w:pos="4320"/>
        <w:tab w:val="right" w:pos="8640"/>
      </w:tabs>
      <w:overflowPunct w:val="0"/>
      <w:autoSpaceDE w:val="0"/>
      <w:autoSpaceDN w:val="0"/>
      <w:adjustRightInd w:val="0"/>
      <w:jc w:val="both"/>
      <w:textAlignment w:val="baseline"/>
    </w:pPr>
    <w:rPr>
      <w:kern w:val="0"/>
      <w:szCs w:val="20"/>
      <w:lang w:val="en-GB" w:eastAsia="en-U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Body Text Indent 3"/>
    <w:basedOn w:val="1"/>
    <w:link w:val="27"/>
    <w:qFormat/>
    <w:uiPriority w:val="0"/>
    <w:pPr>
      <w:snapToGrid w:val="0"/>
      <w:ind w:left="480" w:firstLine="480"/>
      <w:jc w:val="both"/>
    </w:pPr>
  </w:style>
  <w:style w:type="paragraph" w:styleId="17">
    <w:name w:val="Title"/>
    <w:basedOn w:val="1"/>
    <w:next w:val="1"/>
    <w:qFormat/>
    <w:uiPriority w:val="10"/>
    <w:pPr>
      <w:keepNext/>
      <w:keepLines/>
      <w:spacing w:before="480" w:after="120"/>
    </w:pPr>
    <w:rPr>
      <w:b/>
      <w:sz w:val="72"/>
      <w:szCs w:val="72"/>
    </w:rPr>
  </w:style>
  <w:style w:type="table" w:styleId="19">
    <w:name w:val="Table Grid"/>
    <w:basedOn w:val="1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1">
    <w:name w:val="page number"/>
    <w:basedOn w:val="20"/>
    <w:qFormat/>
    <w:uiPriority w:val="0"/>
  </w:style>
  <w:style w:type="character" w:styleId="22">
    <w:name w:val="Emphasis"/>
    <w:qFormat/>
    <w:uiPriority w:val="0"/>
    <w:rPr>
      <w:i/>
      <w:iCs/>
    </w:rPr>
  </w:style>
  <w:style w:type="character" w:styleId="23">
    <w:name w:val="Hyperlink"/>
    <w:qFormat/>
    <w:uiPriority w:val="0"/>
    <w:rPr>
      <w:color w:val="0000FF"/>
      <w:u w:val="single"/>
    </w:r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qFormat/>
    <w:uiPriority w:val="0"/>
    <w:tblPr>
      <w:tblCellMar>
        <w:top w:w="0" w:type="dxa"/>
        <w:left w:w="0" w:type="dxa"/>
        <w:bottom w:w="0" w:type="dxa"/>
        <w:right w:w="0" w:type="dxa"/>
      </w:tblCellMar>
    </w:tblPr>
  </w:style>
  <w:style w:type="character" w:customStyle="1" w:styleId="26">
    <w:name w:val="標題 5 字元"/>
    <w:link w:val="6"/>
    <w:qFormat/>
    <w:uiPriority w:val="0"/>
    <w:rPr>
      <w:b/>
      <w:bCs/>
      <w:kern w:val="2"/>
      <w:sz w:val="24"/>
      <w:szCs w:val="24"/>
      <w:u w:val="single"/>
      <w:lang w:eastAsia="zh-TW"/>
    </w:rPr>
  </w:style>
  <w:style w:type="character" w:customStyle="1" w:styleId="27">
    <w:name w:val="本文縮排 3 字元"/>
    <w:link w:val="16"/>
    <w:qFormat/>
    <w:uiPriority w:val="0"/>
    <w:rPr>
      <w:kern w:val="2"/>
      <w:sz w:val="24"/>
      <w:szCs w:val="24"/>
      <w:lang w:eastAsia="zh-TW"/>
    </w:rPr>
  </w:style>
  <w:style w:type="character" w:customStyle="1" w:styleId="28">
    <w:name w:val="註解方塊文字 字元"/>
    <w:link w:val="12"/>
    <w:qFormat/>
    <w:uiPriority w:val="0"/>
    <w:rPr>
      <w:rFonts w:ascii="宋体" w:eastAsia="宋体"/>
      <w:kern w:val="2"/>
      <w:sz w:val="18"/>
      <w:szCs w:val="18"/>
      <w:lang w:eastAsia="zh-TW"/>
    </w:rPr>
  </w:style>
  <w:style w:type="character" w:customStyle="1" w:styleId="29">
    <w:name w:val="本文縮排 字元"/>
    <w:link w:val="9"/>
    <w:qFormat/>
    <w:uiPriority w:val="0"/>
    <w:rPr>
      <w:kern w:val="2"/>
      <w:sz w:val="24"/>
      <w:szCs w:val="24"/>
      <w:lang w:eastAsia="zh-TW"/>
    </w:rPr>
  </w:style>
  <w:style w:type="paragraph" w:styleId="30">
    <w:name w:val="List Paragraph"/>
    <w:basedOn w:val="1"/>
    <w:qFormat/>
    <w:uiPriority w:val="34"/>
    <w:pPr>
      <w:ind w:left="480"/>
    </w:pPr>
  </w:style>
  <w:style w:type="table" w:customStyle="1" w:styleId="31">
    <w:name w:val="_Style 30"/>
    <w:basedOn w:val="18"/>
    <w:qFormat/>
    <w:uiPriority w:val="0"/>
    <w:tblPr>
      <w:tblCellMar>
        <w:left w:w="115" w:type="dxa"/>
        <w:right w:w="115" w:type="dxa"/>
      </w:tblCellMar>
    </w:tblPr>
  </w:style>
  <w:style w:type="table" w:customStyle="1" w:styleId="32">
    <w:name w:val="_Style 31"/>
    <w:basedOn w:val="18"/>
    <w:qFormat/>
    <w:uiPriority w:val="0"/>
    <w:tblPr>
      <w:tblCellMar>
        <w:left w:w="115" w:type="dxa"/>
        <w:right w:w="115" w:type="dxa"/>
      </w:tblCellMar>
    </w:tblPr>
  </w:style>
  <w:style w:type="table" w:customStyle="1" w:styleId="33">
    <w:name w:val="_Style 32"/>
    <w:basedOn w:val="18"/>
    <w:qFormat/>
    <w:uiPriority w:val="0"/>
    <w:tblPr>
      <w:tblCellMar>
        <w:left w:w="115" w:type="dxa"/>
        <w:right w:w="115" w:type="dxa"/>
      </w:tblCellMar>
    </w:tblPr>
  </w:style>
  <w:style w:type="table" w:customStyle="1" w:styleId="34">
    <w:name w:val="_Style 33"/>
    <w:basedOn w:val="18"/>
    <w:qFormat/>
    <w:uiPriority w:val="0"/>
    <w:tblPr>
      <w:tblCellMar>
        <w:left w:w="115" w:type="dxa"/>
        <w:right w:w="115" w:type="dxa"/>
      </w:tblCellMar>
    </w:tblPr>
  </w:style>
  <w:style w:type="table" w:customStyle="1" w:styleId="35">
    <w:name w:val="_Style 34"/>
    <w:basedOn w:val="18"/>
    <w:qFormat/>
    <w:uiPriority w:val="0"/>
    <w:tblPr>
      <w:tblCellMar>
        <w:left w:w="115" w:type="dxa"/>
        <w:right w:w="115" w:type="dxa"/>
      </w:tblCellMar>
    </w:tblPr>
  </w:style>
  <w:style w:type="table" w:customStyle="1" w:styleId="36">
    <w:name w:val="_Style 35"/>
    <w:basedOn w:val="18"/>
    <w:qFormat/>
    <w:uiPriority w:val="0"/>
    <w:tblPr>
      <w:tblCellMar>
        <w:left w:w="115" w:type="dxa"/>
        <w:right w:w="115" w:type="dxa"/>
      </w:tblCellMar>
    </w:tblPr>
  </w:style>
  <w:style w:type="table" w:customStyle="1" w:styleId="37">
    <w:name w:val="_Style 36"/>
    <w:basedOn w:val="18"/>
    <w:qFormat/>
    <w:uiPriority w:val="0"/>
    <w:tblPr>
      <w:tblCellMar>
        <w:left w:w="115" w:type="dxa"/>
        <w:right w:w="115" w:type="dxa"/>
      </w:tblCellMar>
    </w:tblPr>
  </w:style>
  <w:style w:type="character" w:customStyle="1" w:styleId="38">
    <w:name w:val="標題 1 字元"/>
    <w:basedOn w:val="20"/>
    <w:link w:val="2"/>
    <w:uiPriority w:val="9"/>
    <w:rPr>
      <w:rFonts w:eastAsiaTheme="minorEastAsia"/>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tQdKZV3Wz1PkWCI+vIJy4nz1mQ==">AMUW2mUyBt8hrw6IWYiK2XmbUo739v9O3AqWXafQk2Evg96eNtKq3glr4QRCvHp/4yeXr7QWuwjDOU5CQGCFVs4GZnrMFF0UeRPDzD9qP0VI9SMrE4C8ahE=</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1196</Words>
  <Characters>6427</Characters>
  <Lines>54</Lines>
  <Paragraphs>15</Paragraphs>
  <TotalTime>38</TotalTime>
  <ScaleCrop>false</ScaleCrop>
  <LinksUpToDate>false</LinksUpToDate>
  <CharactersWithSpaces>7566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2023-02-21T06:21:00Z</dcterms:created>
  <dc:creator>User</dc:creator>
  <cp:lastModifiedBy>绯虹上弦月</cp:lastModifiedBy>
  <cp:lastPrinted>2023-02-22T10:29:00Z</cp:lastPrinted>
  <dcterms:modified xsi:type="dcterms:W3CDTF">2023-04-14T03:09:22Z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C0DD790CBFC14102BC1F76BFF4A482A2</vt:lpwstr>
  </property>
</Properties>
</file>