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104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color w:val="C00000"/>
          <w:sz w:val="72"/>
        </w:rPr>
        <w:t>长江大学教务处</w:t>
      </w:r>
    </w:p>
    <w:p>
      <w:pPr>
        <w:spacing w:lineRule="exact" w:line="60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color w:val="C00000"/>
          <w:sz w:val="36"/>
        </w:rPr>
        <w:t>软件工程技术文件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600" w:before="0" w:after="0"/>
        <w:jc w:val="center"/>
        <w:adjustRightInd w:val="0"/>
        <w:snapToGrid w:val="0"/>
        <w:pBdr>
          <w:bottom w:val="single" w:sz="18" w:space="1" w:color="C00000"/>
        </w:pBdr>
      </w:pPr>
      <w:r>
        <w:rPr>
          <w:rFonts w:ascii="仿宋" w:hAnsi="仿宋" w:eastAsia="仿宋" w:cs="仿宋"/>
          <w:b w:val="0"/>
          <w:sz w:val="32"/>
        </w:rPr>
        <w:t>长大教务信息〔2026〕1号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80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sz w:val="44"/>
        </w:rPr>
        <w:t>长江大学教务管理系统项目调研报告</w:t>
      </w:r>
    </w:p>
    <w:p>
      <w:pPr>
        <w:spacing w:lineRule="exact" w:line="680" w:before="0" w:after="0"/>
        <w:jc w:val="center"/>
        <w:adjustRightInd w:val="0"/>
        <w:snapToGrid w:val="0"/>
      </w:pPr>
      <w:r>
        <w:rPr>
          <w:rFonts w:ascii="楷体" w:hAnsi="楷体" w:eastAsia="楷体" w:cs="楷体"/>
          <w:b w:val="0"/>
          <w:sz w:val="36"/>
        </w:rPr>
        <w:t>——基于 CjluJwc 代码仓库的现状调研与行业对标分析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文件版本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V1.0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编制单位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长江大学教务处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编制人员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教务管理系统研发组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审核人员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教务处信息化建设办公室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批准人员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教务处分管负责人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成文日期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二〇二六年八月</w:t>
            </w:r>
          </w:p>
        </w:tc>
      </w:tr>
    </w:tbl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spacing w:lineRule="exact" w:line="800" w:before="0" w:after="0"/>
        <w:jc w:val="center"/>
        <w:adjustRightInd w:val="0"/>
        <w:snapToGrid w:val="0"/>
      </w:pPr>
      <w:r>
        <w:rPr>
          <w:rFonts w:ascii="黑体" w:hAnsi="黑体" w:eastAsia="黑体" w:cs="黑体"/>
          <w:b/>
          <w:sz w:val="44"/>
        </w:rPr>
        <w:t>目　　录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  <w:r>
        <w:rPr>
          <w:rFonts w:ascii="仿宋" w:hAnsi="仿宋" w:eastAsia="仿宋" w:cs="仿宋"/>
          <w:b w:val="0"/>
          <w:sz w:val="24"/>
        </w:rPr>
        <w:fldChar w:fldCharType="begin"/>
      </w:r>
      <w:r>
        <w:rPr>
          <w:rFonts w:ascii="仿宋" w:hAnsi="仿宋" w:eastAsia="仿宋" w:cs="仿宋"/>
          <w:b w:val="0"/>
          <w:sz w:val="24"/>
        </w:rPr>
        <w:instrText xml:space="preserve"> TOC \o "1-3" \h \z \u </w:instrText>
      </w:r>
      <w:r>
        <w:rPr>
          <w:rFonts w:ascii="仿宋" w:hAnsi="仿宋" w:eastAsia="仿宋" w:cs="仿宋"/>
          <w:b w:val="0"/>
          <w:sz w:val="24"/>
        </w:rPr>
        <w:fldChar w:fldCharType="separate"/>
      </w:r>
      <w:r>
        <w:rPr>
          <w:rFonts w:ascii="仿宋" w:hAnsi="仿宋" w:eastAsia="仿宋" w:cs="仿宋"/>
          <w:b w:val="0"/>
          <w:sz w:val="24"/>
        </w:rPr>
        <w:t>1</w:t>
      </w:r>
      <w:r>
        <w:rPr>
          <w:rFonts w:ascii="仿宋" w:hAnsi="仿宋" w:eastAsia="仿宋" w:cs="仿宋"/>
          <w:b w:val="0"/>
          <w:sz w:val="24"/>
        </w:rPr>
        <w:fldChar w:fldCharType="end"/>
      </w:r>
    </w:p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一、调研概述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（一）调研背景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教育数字化转型是国家教育强国战略的重要组成部分。《教育信息化2.0行动计划》《高等学校数字校园建设规范（试行）》等文件明确要求，高等学校应当建立覆盖教学全过程、支撑教学全要素的数字化管理平台，实现教学资源统一调度、教学数据统一汇聚、教学服务统一供给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长江大学作为湖北省属重点综合性大学，办学规模大、学科门类齐全、校区分布多点，教务管理工作面临学生规模大、课程种类多、教学资源紧张、跨校区协同复杂等现实挑战。原有教务管理手段存在业务系统分散、数据口径不一、线下流转环节多、师生服务体验不佳等突出问题，亟需建设一套统一、集成、开放的教务管理系统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为此，学校启动了长江大学教务管理系统（代号 CjluJwc）的建设工作。目前项目已完成主体框架搭建与大部分业务功能的原型开发，形成了可运行的代码仓库。为准确掌握项目建设现状、科学评估功能完备程度、合理规划后续建设路径，特组织开展本次专项调研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（二）调研目的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本次调研主要达成以下四个目的：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一是全面摸清现有代码仓库的技术架构、模块构成、代码规模与实现深度，形成客观、可量化的现状基线；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二是系统梳理教务管理各业务领域的功能覆盖情况，识别已实现、部分实现与未实现的功能项，形成功能缺口清单；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三是对标国内高校教务信息化建设的政策要求与技术趋势，判断本系统的技术选型合理性与演进方向；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四是诊断项目在架构设计、数据治理、安全合规、工程质量等方面存在的风险隐患，为后续开发计划提供决策依据。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（三）调研范围与对象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本次调研以 CjluJwc 代码仓库为核心对象，调研范围覆盖：</w:t>
      </w:r>
    </w:p>
    <w:p>
      <w:pPr>
        <w:keepNext/>
        <w:keepLines/>
        <w:spacing w:lineRule="exact" w:line="480" w:before="120" w:after="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sz w:val="24"/>
        </w:rPr>
        <w:t>表1-1　调研范围一览表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907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调研对象</w:t>
            </w:r>
          </w:p>
        </w:tc>
        <w:tc>
          <w:tcPr>
            <w:tcW w:type="dxa" w:w="4535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具体内容</w:t>
            </w:r>
          </w:p>
        </w:tc>
        <w:tc>
          <w:tcPr>
            <w:tcW w:type="dxa" w:w="136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调研深度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后端工程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13 个 Maven 模块的源代码、配置文件、依赖关系</w:t>
            </w:r>
          </w:p>
        </w:tc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源码级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前端工程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yu-ui 管理端、yu-portal-ui 门户端的工程配置与页面构成</w:t>
            </w:r>
          </w:p>
        </w:tc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源码级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数据库脚本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sql 目录下 33 个 SQL 脚本的表结构、索引、初始化数据</w:t>
            </w:r>
          </w:p>
        </w:tc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字段级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构建与部署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pom.xml、ry.bat/ry.sh、bin 目录脚本、日志配置</w:t>
            </w:r>
          </w:p>
        </w:tc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配置级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版本历史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Git 提交记录所反映的迭代脉络与阶段划分</w:t>
            </w:r>
          </w:p>
        </w:tc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记录级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行业资料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国家政策文件、同类系统公开资料、技术趋势报告</w:t>
            </w:r>
          </w:p>
        </w:tc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文献级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（四）调研方法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本次调研综合运用四种方法，确保结论客观可信：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1．源码静态分析法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对代码仓库进行全量遍历，统计模块数量、类文件数量、代码行数、接口数量等结构性指标，并逐一阅读核心业务服务类的实现逻辑，判定功能的真实实现深度，避免仅凭菜单或接口存在即判定功能已完成。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2．数据模型逆向分析法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解析全部建表脚本，还原数据库物理模型，统计表数量、字段构成、索引与约束情况，并与 Java 实体类逐一比对，验证模型一致性。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3．功能矩阵比对法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建立“业务领域—功能项—实现状态”三维矩阵，将代码实现情况映射到教务业务功能清单，量化计算功能覆盖率与实现完整度。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4．行业对标法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检索国家教育信息化政策文件、高校数字校园建设案例与数据库、中间件技术趋势报告，对本系统的技术选型与建设水平进行横向定位。</w:t>
      </w:r>
    </w:p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二、高校教务信息化行业调研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（一）政策环境分析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近年来，国家层面持续加大教育数字化推进力度，对高校教务系统建设形成明确导向：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《教育信息化2.0行动计划》提出“三全两高一大”目标，要求实现教学应用覆盖全体教师、学习应用覆盖全体适龄学生、数字校园建设覆盖全体学校，建成“互联网+教育”大平台。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《高等学校数字校园建设规范（试行）》对教务管理系统的数据标准、接口规范、安全等级作出具体要求，强调打破信息孤岛、建设统一数据中心。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《网络安全法》《数据安全法》《个人信息保护法》及《信息安全技术 网络安全等级保护基本要求》（GB/T 22239—2019）对学生个人信息、成绩数据等敏感信息的采集、存储、传输、使用提出了强制性合规要求。高校教务系统通常应当达到网络安全等级保护第二级或第三级要求。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信息技术应用创新（信创）政策要求关键信息基础设施逐步实现国产化替代，涉及操作系统、数据库、中间件、CPU 架构等技术栈的适配改造，这对教务系统的技术选型提出了前瞻性要求。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（二）技术发展趋势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综合行业公开资料与技术趋势报告，当前高校教务系统建设呈现以下五个方向：</w:t>
      </w:r>
    </w:p>
    <w:p>
      <w:pPr>
        <w:keepNext/>
        <w:keepLines/>
        <w:spacing w:lineRule="exact" w:line="480" w:before="120" w:after="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sz w:val="24"/>
        </w:rPr>
        <w:t>表2-1　高校教务系统技术趋势与启示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趋势方向</w:t>
            </w:r>
          </w:p>
        </w:tc>
        <w:tc>
          <w:tcPr>
            <w:tcW w:type="dxa" w:w="362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核心内涵</w:t>
            </w:r>
          </w:p>
        </w:tc>
        <w:tc>
          <w:tcPr>
            <w:tcW w:type="dxa" w:w="3402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对本项目的启示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架构弹性化</w:t>
            </w:r>
          </w:p>
        </w:tc>
        <w:tc>
          <w:tcPr>
            <w:tcW w:type="dxa" w:w="362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从单体架构走向模块化单体或微服务，通过容器化实现弹性伸缩，应对选课高峰的瞬时高并发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当前单体架构在选课峰值场景下存在扩展瓶颈，需预留水平扩展能力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数据中台化</w:t>
            </w:r>
          </w:p>
        </w:tc>
        <w:tc>
          <w:tcPr>
            <w:tcW w:type="dxa" w:w="362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建设统一数据标准与数据中台，实现校内多系统数据贯通、血缘可追溯，支撑数据驱动决策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DIS 数据对接模块应当由配置注册中心升级为具备执行能力的集成引擎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服务智能化</w:t>
            </w:r>
          </w:p>
        </w:tc>
        <w:tc>
          <w:tcPr>
            <w:tcW w:type="dxa" w:w="362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引入智能排课算法、学情画像、学业预警、个性化选课推荐等智能能力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现有排课与预警功能算法深度不足，是智能化升级的重点方向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体验移动化</w:t>
            </w:r>
          </w:p>
        </w:tc>
        <w:tc>
          <w:tcPr>
            <w:tcW w:type="dxa" w:w="362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以移动端为主入口，提供随时随地的师生服务，强调一网通办、少填表少跑腿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门户端已具备移动端页面雏形，需向小程序或原生应用延伸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底座国产化</w:t>
            </w:r>
          </w:p>
        </w:tc>
        <w:tc>
          <w:tcPr>
            <w:tcW w:type="dxa" w:w="362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数据库、中间件、操作系统逐步适配国产化产品，满足信创合规要求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当前强绑定 MySQL，需评估国产数据库适配的改造成本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（三）同类系统能力对标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以国内高校普遍使用的商业教务系统与自建系统为参照，教务管理系统的通用能力域可归纳为九个方面。本系统与行业通用能力的对标情况如下：</w:t>
      </w:r>
    </w:p>
    <w:p>
      <w:pPr>
        <w:keepNext/>
        <w:keepLines/>
        <w:spacing w:lineRule="exact" w:line="480" w:before="120" w:after="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sz w:val="24"/>
        </w:rPr>
        <w:t>表2-2　系统能力对标分析表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36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能力域</w:t>
            </w:r>
          </w:p>
        </w:tc>
        <w:tc>
          <w:tcPr>
            <w:tcW w:type="dxa" w:w="260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行业通用要求</w:t>
            </w:r>
          </w:p>
        </w:tc>
        <w:tc>
          <w:tcPr>
            <w:tcW w:type="dxa" w:w="306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本系统现状</w:t>
            </w:r>
          </w:p>
        </w:tc>
        <w:tc>
          <w:tcPr>
            <w:tcW w:type="dxa" w:w="1020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对标结论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基础资源管理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校区、楼宇、教室、院系、专业、班级、师资全要素台账</w:t>
            </w:r>
          </w:p>
        </w:tc>
        <w:tc>
          <w:tcPr>
            <w:tcW w:type="dxa" w:w="30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15 张表、15 个服务，要素齐全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达标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培养方案管理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方案版本化、学分结构、课程体系、方案审批</w:t>
            </w:r>
          </w:p>
        </w:tc>
        <w:tc>
          <w:tcPr>
            <w:tcW w:type="dxa" w:w="30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 张表，支持方案与学分结构，审批未实现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基本达标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智能排课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多约束求解、冲突自动检测、教室智能匹配、批量排课</w:t>
            </w:r>
          </w:p>
        </w:tc>
        <w:tc>
          <w:tcPr>
            <w:tcW w:type="dxa" w:w="30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仅实现教室最佳适配分配，教师与班级冲突未落地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明显差距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选课管理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多轮次、规则引擎、抽签算法、高并发控制、退选补选</w:t>
            </w:r>
          </w:p>
        </w:tc>
        <w:tc>
          <w:tcPr>
            <w:tcW w:type="dxa" w:w="30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先到先得 + Redis 计数控量，规则与抽签未实现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明显差距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考务管理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自动排考、智能编排座位、监考智能派发与冲突回避</w:t>
            </w:r>
          </w:p>
        </w:tc>
        <w:tc>
          <w:tcPr>
            <w:tcW w:type="dxa" w:w="30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仅数据登记与关联校验，编排算法未实现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明显差距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成绩管理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成绩录入、复核工作流、多算法绩点、统计分析</w:t>
            </w:r>
          </w:p>
        </w:tc>
        <w:tc>
          <w:tcPr>
            <w:tcW w:type="dxa" w:w="30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录入与校验完备，GPA 策略完善，复核回写与统计聚合缺失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部分达标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学籍学位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学籍异动、毕业审核、学位评审、证书管理、学业预警</w:t>
            </w:r>
          </w:p>
        </w:tc>
        <w:tc>
          <w:tcPr>
            <w:tcW w:type="dxa" w:w="30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模型完备，预警引擎已实现，审核自动校验缺失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部分达标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师生服务门户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课表、成绩、选课、考试、评教、学籍一网通办</w:t>
            </w:r>
          </w:p>
        </w:tc>
        <w:tc>
          <w:tcPr>
            <w:tcW w:type="dxa" w:w="30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24 个功能页面，覆盖面广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达标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数据共享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标准化接口、定时同步、失败重试、全链路日志</w:t>
            </w:r>
          </w:p>
        </w:tc>
        <w:tc>
          <w:tcPr>
            <w:tcW w:type="dxa" w:w="30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仅有配置模型与日志表，执行引擎缺失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重大差距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对标结果表明：本系统在基础数据管理与服务门户建设方面已达到行业通用水平，在智能算法、流程自动化与数据集成三个方向与行业先进水平存在明显差距，这也正是后续建设的重点投入方向。</w:t>
      </w:r>
    </w:p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三、代码仓库技术现状调研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（一）仓库总体概况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CjluJwc 代码仓库采用 Maven 多模块单体架构组织，前后端分离部署。仓库总体规模指标如下：</w:t>
      </w:r>
    </w:p>
    <w:p>
      <w:pPr>
        <w:keepNext/>
        <w:keepLines/>
        <w:spacing w:lineRule="exact" w:line="480" w:before="120" w:after="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sz w:val="24"/>
        </w:rPr>
        <w:t>表3-1　代码仓库规模统计表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38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统计维度</w:t>
            </w:r>
          </w:p>
        </w:tc>
        <w:tc>
          <w:tcPr>
            <w:tcW w:type="dxa" w:w="170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数量</w:t>
            </w:r>
          </w:p>
        </w:tc>
        <w:tc>
          <w:tcPr>
            <w:tcW w:type="dxa" w:w="4082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Maven 模块数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13 个</w:t>
            </w:r>
          </w:p>
        </w:tc>
        <w:tc>
          <w:tcPr>
            <w:tcW w:type="dxa" w:w="408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 个启动模块 + 5 个基础模块 + 7 个业务模块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Java 源文件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620 个</w:t>
            </w:r>
          </w:p>
        </w:tc>
        <w:tc>
          <w:tcPr>
            <w:tcW w:type="dxa" w:w="408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含实体、映射、服务、控制器、工具类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Java 代码行数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61,063 行</w:t>
            </w:r>
          </w:p>
        </w:tc>
        <w:tc>
          <w:tcPr>
            <w:tcW w:type="dxa" w:w="408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含注释与空行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MyBatis 映射文件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182 个</w:t>
            </w:r>
          </w:p>
        </w:tc>
        <w:tc>
          <w:tcPr>
            <w:tcW w:type="dxa" w:w="408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XML 形式的 SQL 映射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REST 控制器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95 个</w:t>
            </w:r>
          </w:p>
        </w:tc>
        <w:tc>
          <w:tcPr>
            <w:tcW w:type="dxa" w:w="408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对外暴露的接口入口类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数据库表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163 张</w:t>
            </w:r>
          </w:p>
        </w:tc>
        <w:tc>
          <w:tcPr>
            <w:tcW w:type="dxa" w:w="408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含系统表、业务表、工作流表、调度表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SQL 脚本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33 个</w:t>
            </w:r>
          </w:p>
        </w:tc>
        <w:tc>
          <w:tcPr>
            <w:tcW w:type="dxa" w:w="408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共 5,563 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管理端 Vue 组件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188 个</w:t>
            </w:r>
          </w:p>
        </w:tc>
        <w:tc>
          <w:tcPr>
            <w:tcW w:type="dxa" w:w="408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含业务页面 138 个与通用组件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门户端 Vue 组件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28 个</w:t>
            </w:r>
          </w:p>
        </w:tc>
        <w:tc>
          <w:tcPr>
            <w:tcW w:type="dxa" w:w="408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含 24 个功能视图与 3 套布局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 API 封装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100 个</w:t>
            </w:r>
          </w:p>
        </w:tc>
        <w:tc>
          <w:tcPr>
            <w:tcW w:type="dxa" w:w="408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管理端 87 个、门户端 13 个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（二）技术栈调研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经查验根 pom.xml 及各模块依赖声明，系统技术栈构成如下：</w:t>
      </w:r>
    </w:p>
    <w:p>
      <w:pPr>
        <w:keepNext/>
        <w:keepLines/>
        <w:spacing w:lineRule="exact" w:line="480" w:before="120" w:after="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sz w:val="24"/>
        </w:rPr>
        <w:t>表3-2　系统技术栈清单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36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层次</w:t>
            </w:r>
          </w:p>
        </w:tc>
        <w:tc>
          <w:tcPr>
            <w:tcW w:type="dxa" w:w="2835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技术组件</w:t>
            </w:r>
          </w:p>
        </w:tc>
        <w:tc>
          <w:tcPr>
            <w:tcW w:type="dxa" w:w="147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版本</w:t>
            </w:r>
          </w:p>
        </w:tc>
        <w:tc>
          <w:tcPr>
            <w:tcW w:type="dxa" w:w="249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用途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运行环境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JDK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17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Java 运行与编译基线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核心框架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Spring Boot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4.0.3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应用容器与自动装配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安全框架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Spring Security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随 Boot 版本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认证授权与方法级鉴权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持久层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MyBatis Spring Boot Starter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4.0.1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SQL 映射与数据访问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连接池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Druid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1.2.28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数据源管理与 SQL 监控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分页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PageHelper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2.1.1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物理分页拦截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缓存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Redis（Lettuce）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随 Boot 版本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会话、字典、选课容量缓存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令牌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JJWT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0.9.1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JWT 令牌签发与校验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序列化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FastJSON2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2.0.61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值序列化与 JSON 处理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报表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Apache POI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4.1.2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Excel 导入导出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模板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Velocity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2.3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代码生成器模板渲染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7.1.0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 公文审批流程引擎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任务调度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Quartz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随 Boot 版本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定时任务调度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接口文档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SpringDoc OpenAPI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3.0.2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在线接口文档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系统监控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OSHI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6.10.0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服务器硬件指标采集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验证码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Kaptcha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2.3.3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图形验证码生成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MySQL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8.x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关系型数据存储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前端框架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Vue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2.6.12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视图层框架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前端组件库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Element UI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2.15.14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UI 组件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前端路由/状态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Vue Router 3.4.9 / Vuex 3.6.0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路由与状态管理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前端图表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ECharts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5.4.0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数据可视化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富文本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Quill</w:t>
            </w:r>
          </w:p>
        </w:tc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2.0.2</w:t>
            </w:r>
          </w:p>
        </w:tc>
        <w:tc>
          <w:tcPr>
            <w:tcW w:type="dxa" w:w="24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门户文章编辑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技术选型评价：整体基于若依（RuoYi）快速开发框架二次开发，技术栈成熟稳定、社区生态完善、团队上手成本低。值得注意的是，项目已升级至 Spring Boot 4.0.3 与 JDK 17，属于较新的技术基线，其中连接池采用 druid-spring-boot-4-starter、Web 容器采用 spring-boot-starter-webmvc、AOP 采用 spring-boot-starter-aspectj，均为适配 Spring Boot 4 的专用坐标；同时在配置中显式排除了 6 个与 Spring Boot 4 不兼容的 Flowable 自动配置类，反映出团队已完成较为细致的版本适配工作。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（三）模块构成与代码分布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13 个 Maven 模块按职责可分为三个层次，代码分布情况如下：</w:t>
      </w:r>
    </w:p>
    <w:p>
      <w:pPr>
        <w:keepNext/>
        <w:keepLines/>
        <w:spacing w:lineRule="exact" w:line="480" w:before="120" w:after="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sz w:val="24"/>
        </w:rPr>
        <w:t>表3-3　模块代码分布表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6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模块</w:t>
            </w:r>
          </w:p>
        </w:tc>
        <w:tc>
          <w:tcPr>
            <w:tcW w:type="dxa" w:w="907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层次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职责</w:t>
            </w:r>
          </w:p>
        </w:tc>
        <w:tc>
          <w:tcPr>
            <w:tcW w:type="dxa" w:w="1020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Java文件</w:t>
            </w:r>
          </w:p>
        </w:tc>
        <w:tc>
          <w:tcPr>
            <w:tcW w:type="dxa" w:w="113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代码行数</w:t>
            </w:r>
          </w:p>
        </w:tc>
        <w:tc>
          <w:tcPr>
            <w:tcW w:type="dxa" w:w="907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映射文件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yu-common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通用工具、注解、异常、返回体、Excel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117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15,974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yu-framework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安全认证、数据源、AOP、缓存、拦截器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47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4,420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yu-system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用户、角色、菜单、部门、字典、日志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66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8,720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yu-quartz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定时任务调度与执行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19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1,904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yu-generator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代码生成器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2,873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yu-brm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基础资源管理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75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4,622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30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yu-tpm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培养过程管理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52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4,158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yu-aem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考核评价管理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62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4,210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yu-sam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学籍与学位管理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42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2,803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yu-oa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办公自动化与工作流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51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4,514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yu-dis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数据对接与共享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1,230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yu-portal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聚合层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师生门户服务编排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2,617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yu-admin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入口层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启动引导与系统控制器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26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3,018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从代码分布看，基础层合计 262 个文件、33,891 行，占总量的 55.5%，其中 yu-common 单模块即占 26.2%，这是继承自若依框架的既有资产；业务层合计 302 个文件、21,537 行，占 35.3%，是本项目的自研核心。业务层中 yu-brm 与 yu-aem 代码量领先，与其管理的实体数量相匹配。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（四）模块依赖关系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经查验各模块 pom.xml，依赖关系如下：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>yu-admin（启动入口）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 xml:space="preserve">  ├─ yu-framework ─→ yu-system ─→ yu-common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 xml:space="preserve">  │                      └────→ yu-brm ─→ yu-common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 xml:space="preserve">  ├─ yu-quartz    ─→ yu-common、yu-sam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 xml:space="preserve">  ├─ yu-generator ─→ yu-common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 xml:space="preserve">  ├─ yu-tpm       ─→ yu-common、yu-brm、yu-framework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 xml:space="preserve">  ├─ yu-aem       ─→ yu-common、yu-brm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 xml:space="preserve">  ├─ yu-sam       ─→ yu-common、yu-brm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 xml:space="preserve">  ├─ yu-dis       ─→ yu-common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 xml:space="preserve">  ├─ yu-oa        ─→ yu-common、yu-system、yu-brm、Flowable</w:t>
      </w:r>
    </w:p>
    <w:p>
      <w:pPr>
        <w:spacing w:lineRule="exact" w:line="320" w:before="0" w:after="0"/>
        <w:ind w:left="480"/>
        <w:jc w:val="left"/>
        <w:adjustRightInd w:val="0"/>
        <w:snapToGrid w:val="0"/>
      </w:pPr>
      <w:r>
        <w:rPr>
          <w:rFonts w:ascii="Consolas" w:hAnsi="Consolas" w:eastAsia="仿宋" w:cs="Consolas"/>
          <w:b w:val="0"/>
          <w:sz w:val="21"/>
        </w:rPr>
        <w:t xml:space="preserve">  └─ yu-portal    ─→ yu-common、yu-brm、yu-tpm、yu-aem、yu-sam、yu-dis</w:t>
      </w:r>
    </w:p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依赖层次总体清晰，遵循“通用层—基础数据层—业务领域层—聚合层”的分层原则，业务模块之间无循环依赖。但调研发现一处需要关注的结构问题：yu-tpm 依赖 yu-framework，而 yu-framework 又依赖 yu-system、yu-system 依赖 yu-brm，形成了业务模块反向依赖技术框架层的链路。该依赖源于 TpmSelectionEnrollmentServiceImpl 需要引用 yu-framework 中的 SelectionCacheManager 缓存管理器，建议后续将该缓存组件下沉至 yu-common，以恢复分层的单向性。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（五）数据库现状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数据库共 163 张表，按业务域分布如下：</w:t>
      </w:r>
    </w:p>
    <w:p>
      <w:pPr>
        <w:keepNext/>
        <w:keepLines/>
        <w:spacing w:lineRule="exact" w:line="480" w:before="120" w:after="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sz w:val="24"/>
        </w:rPr>
        <w:t>表3-4　数据库表分布统计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业务域</w:t>
            </w:r>
          </w:p>
        </w:tc>
        <w:tc>
          <w:tcPr>
            <w:tcW w:type="dxa" w:w="181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表前缀</w:t>
            </w:r>
          </w:p>
        </w:tc>
        <w:tc>
          <w:tcPr>
            <w:tcW w:type="dxa" w:w="113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表数量</w:t>
            </w:r>
          </w:p>
        </w:tc>
        <w:tc>
          <w:tcPr>
            <w:tcW w:type="dxa" w:w="1020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占比</w:t>
            </w:r>
          </w:p>
        </w:tc>
        <w:tc>
          <w:tcPr>
            <w:tcW w:type="dxa" w:w="260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来源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工作流引擎</w:t>
            </w:r>
          </w:p>
        </w:tc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ACT_*/FLW_*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62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38.0%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 官方脚本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系统管理</w:t>
            </w:r>
          </w:p>
        </w:tc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sys_*/gen_*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22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13.5%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若依基础 + 账号升级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办公自动化</w:t>
            </w:r>
          </w:p>
        </w:tc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oa_*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9.8%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基础资源</w:t>
            </w:r>
          </w:p>
        </w:tc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brm_*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9.2%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考核评价</w:t>
            </w:r>
          </w:p>
        </w:tc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aem_*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7.4%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任务调度</w:t>
            </w:r>
          </w:p>
        </w:tc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QRTZ_*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6.7%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Quartz 官方脚本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培养过程</w:t>
            </w:r>
          </w:p>
        </w:tc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tpm_*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5.5%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学籍学位</w:t>
            </w:r>
          </w:p>
        </w:tc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sam_*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4.9%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数据对接</w:t>
            </w:r>
          </w:p>
        </w:tc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dis_*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2.5%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门户服务</w:t>
            </w:r>
          </w:p>
        </w:tc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portal_*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2.5%</w:t>
            </w:r>
          </w:p>
        </w:tc>
        <w:tc>
          <w:tcPr>
            <w:tcW w:type="dxa" w:w="260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自研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自研业务表合计 68 张，占全库 41.7%；第三方组件表 73 张，占 44.8%。数据库统一采用 InnoDB 存储引擎，自研业务表统一使用 utf8mb4 字符集与 utf8mb4_general_ci 排序规则，主键统一采用 bigint 自增策略。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（六）前端工程现状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管理端 yu-ui 基于若依前端模板构建，共 188 个 Vue 组件，其中业务页面 138 个，覆盖基础资源 15 个、培养过程 9 个、考核评价 12 个、学籍学位 8 个、数据对接 4 个、办公自动化 9 个、门户管理 17 个，其余为系统管理、监控与工具页面。工程配置开发端口 80，通过 /dev-api 前缀代理至后端 8080 端口，生产构建启用 Gzip 压缩与依赖分包。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门户端 yu-portal-ui 为独立工程，共 28 个 Vue 组件，含 24 个功能视图与公开门户、师生服务、移动端三套布局，开发端口 81。两端统一采用长江大学蓝（#007ab8）作为品牌主色，在 element-variables.scss 中通过 Element UI 主题变量覆盖实现。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门户端依赖较管理端精简，未引入 ECharts、Quill、SVG 雪碧图等重型依赖，请求封装亦为简化版本，未包含重复提交拦截与文件下载封装。</w:t>
      </w:r>
    </w:p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四、业务功能实现度评估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（一）评估方法与判定标准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为避免“接口存在即功能完成”的误判，本次评估采用源码级实现深度判定，将每个功能项归入四个等级：</w:t>
      </w:r>
    </w:p>
    <w:p>
      <w:pPr>
        <w:keepNext/>
        <w:keepLines/>
        <w:spacing w:lineRule="exact" w:line="480" w:before="120" w:after="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sz w:val="24"/>
        </w:rPr>
        <w:t>表4-1　实现深度判定标准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等级</w:t>
            </w:r>
          </w:p>
        </w:tc>
        <w:tc>
          <w:tcPr>
            <w:tcW w:type="dxa" w:w="7030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判定标准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完整实现</w:t>
            </w:r>
          </w:p>
        </w:tc>
        <w:tc>
          <w:tcPr>
            <w:tcW w:type="dxa" w:w="7030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具备完整的数据模型、业务规则校验、流程流转与结果输出，可直接投入使用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基本实现</w:t>
            </w:r>
          </w:p>
        </w:tc>
        <w:tc>
          <w:tcPr>
            <w:tcW w:type="dxa" w:w="7030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核心逻辑已实现，但存在参数未生效、边界未覆盖或配置未联动等缺陷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仅有骨架</w:t>
            </w:r>
          </w:p>
        </w:tc>
        <w:tc>
          <w:tcPr>
            <w:tcW w:type="dxa" w:w="7030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具备数据表与增删改查接口，但无任何业务规则或算法逻辑，为代码生成器产物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未实现</w:t>
            </w:r>
          </w:p>
        </w:tc>
        <w:tc>
          <w:tcPr>
            <w:tcW w:type="dxa" w:w="7030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仅有数据模型或字段定义，无对应执行代码；或存在空实现与 TODO 标记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（二）分领域实现度评估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1．基础资源管理（BRM）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该领域包含 15 个实体与 15 个控制器，覆盖学年学期、院系专业班级、校区楼宇教室、教师及其任职与资格、设备及其维护、教室借用等全部基础要素。经逐一查验，15 个控制器均为标准的六接口增删改查模板（列表、导出、详情、新增、修改、删除），未见任何自定义业务接口，其中仅院系管理返回树形结构。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评估结论：数据要素覆盖完整，满足台账管理需求，但整体处于“仅有骨架”层级，缺少诸如教室占用率分析、教师工作量统计、设备报修流转等增值能力。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2．培养过程管理（TPM）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该领域包含 9 个实体，涵盖培养方案、课程库、学分结构、开课计划、排课、调停课、选课轮次、选课规则、选课名单。除九个标准增删改查控制器外，另有排课优化与选课校验两组自定义接口。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排课能力方面：系统实现了基于时间片重叠判定的教室冲突检测，判定条件为“同星期几、节次区间相交、周次区间相交”三者同时成立；自动排课采用贪心加最佳适配策略，按班级容量降序遍历未分配教室的排课记录，从满足容量要求的教室中选取容量最小者进行分配。需要指出的是，教师冲突检测方法虽已定义并被调用，但命中分支内无任何冲突记录写入语句，源码中留有明确的 TODO 注释，说明其依赖排课表增加教师字段冗余；班级冲突检测则完全未实现。同时，所谓“自动排课”实为“自动分配教室”，时间段本身仍需预先录入。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选课能力方面：实际生效的是先到先得策略，通过 Redis 原子递减实现容量控制，配合事务与异常补偿保证一致性。但选课轮次状态机、抽签算法、选课规则引擎（专业限制、年级限制、院系限制、先修课程等）、退选流程均未实现；且学分上限校验虽读取了轮次配置，但分支内被常量 30 学分覆盖，导致轮次级配置实际失效。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评估结论：选课并发控制设计合理，排课冲突检测原语正确，但整体算法深度不足，属“基本实现”层级。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3．考核评价管理（AEM）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该领域包含 12 个实体，涵盖考试安排、监考分配、考场座位、成绩记录、成绩复核、成绩统计、评教问卷与题目结果、督导听课、GPA 算法配置与分数段映射。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亮点在于 GPA 计算能力：系统采用策略模式实现三种绩点换算算法，包括中国标准算法（分数除以十减五）、四分制九档阶梯算法与自定义分数段映射算法，支持默认算法唯一性管理、映射关系全量覆盖保存与策略热刷新，加权平均绩点按“绩点乘学分求和除以学分求和”计算，并支持按学期批量重算。成绩录入具备零至一百分的范围校验与已复核成绩禁改的锁定机制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不足在于：成绩复核审批通过后不会回写新成绩至成绩记录表，也不会联动置位复核标记，审批状态字段齐备但流转引擎缺失；成绩统计服务仅有查询、新增、删除三个方法，映射文件中无任何聚合语句，统计数据完全依赖外部写入；排考、座位编排、监考派发三大编排算法均未实现，仅有删除前的关联完整性校验；评教缺少作答明细表与评分聚合算法，总分为外部直接写入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评估结论：GPA 子域达到“完整实现”，成绩管理为“基本实现”，考务编排与评教聚合为“未实现”。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4．学籍与学位管理（SAM）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该领域包含 8 个实体，涵盖学生学籍、学籍异动、毕业审核、学位评审、毕业手续、证书管理、学业预警及其规则配置。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亮点在于学业预警引擎：系统实现了基于规则编码分派的预警引擎，内置绩点偏低、学分不足两类规则，支持阈值与百分比两种比较方式，当单个学生同时触发两条及以上规则时自动追加高危级综合预警；批量生成按每批一千人分页遍历在读学生，单个学生异常不中断整体流程；预警数据源通过关联成绩记录与课程库计算加权绩点与已获学分。系统已注册每日凌晨两点执行的定时任务，任务默认为暂停状态需人工启用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不足在于：学籍异动仅有重复申请拦截与已审批禁改两条校验，审批通过后不会自动回写学生学籍状态；毕业审核与学位评审的学分校验、课程校验、英语与体育达标判定全部依赖人工录入，无自动计算引擎；出勤预警规则为预留空实现；证书编号无自动生成规则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评估结论：预警子域达到“基本实现”，其余子域为“仅有骨架”。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5．数据对接与共享（DIS）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该领域包含外部系统配置、接口配置、同步任务、交换日志四张表，预置了研究生系统、财务系统、一卡通系统、统一身份认证平台四条外部系统记录，支持令牌、基础认证、OAuth2、无认证四种认证类型的配置存储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但经全模块检索，该模块依赖中不含任何 HTTP 客户端组件，源码中未出现 RestTemplate、HttpClient、WebClient 等调用类，亦无调度注解，四个服务实现类全部为数据访问透传。调度周期、协议调用、认证注入、失败重试、超时控制、日志留痕等能力均仅有数据模型定义而无执行代码，执行次数、失败次数、上次执行时间等字段无任何写入方。此外，全仓库无其他模块引用本模块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评估结论：该模块整体处于“未实现”层级，当前仅为配置注册中心与空日志表，是全系统最大的功能缺口。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6．办公自动化（OA）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该领域包含 16 张表，涵盖流程分类、流程定义快照、业务流程实例关联、审批任务记录、公文及其附件与抄送、会议室与会议及参会人与纪要、通知及其部门范围与已读记录、日程及其共享。已集成 Flowable 7.1.0 工作流引擎，配置类显式暴露运行时、任务、仓库、历史、管理五个服务。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流程定义方面，资源目录下仅有一个公文审批流程定义文件，流程路径为“开始—部门领导审批—排他网关—办公室复核—发布公文—结束”，驳回分支直达结束。流程实例通过“业务类型冒号业务标识”格式的业务键与业务单据关联，并落库至业务流程实例关联表实现双向映射。工作流控制器提供部署、定义管理、实例查询与取消、待办查询、审批、驳回、转办等十二个接口，流程图以 BPMN XML 形式返回由前端渲染。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不足在于：办理人绑定仅支持单人指派表达式，未使用候选组或候选人机制，无角色到办理人的映射逻辑；更关键的是，公文提交时三个审批环节的办理人变量均被赋值为发起人本人，形成自审自批，尚未接入真实的部门领导查找逻辑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评估结论：工作流引擎集成到位，属“基本实现”，但流程覆盖面窄、办理人分配逻辑待完善。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7．师生服务门户（Portal）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该领域包含 14 个控制器，其中 10 个为师生服务接口、4 个为内容管理接口。门户后端定位为纯编排与门面层，自身仅拥有栏目、文章、轮播、教务通知四张表，其余功能全部转调底层模块服务：课表与选课、教学任务、调停课转调培养过程模块，成绩、考试、评教转调考核评价模块，学籍服务转调学籍模块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认证方面，门户端与管理端共用同一套 JWT 认证体系与登录接口，通过方法级权限注解叠加角色校验实现双层管控。公开接口控制器通过匿名注解放行，提供首页、栏目、文章、轮播、搜索五个只读接口，不涉及身份签发。内容管理实现了草稿、待审核、已发布、已撤回四态的状态字段驱动流转，前台文章访问强制校验发布状态并累加浏览量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评估结论：门户服务覆盖面完整，编排层次清晰，属“完整实现”层级，是本系统建设成效最显著的部分。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（三）总体实现度量化结论</w:t>
      </w:r>
    </w:p>
    <w:p>
      <w:pPr>
        <w:keepNext/>
        <w:keepLines/>
        <w:spacing w:lineRule="exact" w:line="480" w:before="120" w:after="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sz w:val="24"/>
        </w:rPr>
        <w:t>表4-2　全系统功能实现度统计表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4"/>
        <w:gridCol w:w="1264"/>
        <w:gridCol w:w="1264"/>
        <w:gridCol w:w="1264"/>
        <w:gridCol w:w="1264"/>
        <w:gridCol w:w="1264"/>
        <w:gridCol w:w="1264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业务领域</w:t>
            </w:r>
          </w:p>
        </w:tc>
        <w:tc>
          <w:tcPr>
            <w:tcW w:type="dxa" w:w="1020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功能项</w:t>
            </w:r>
          </w:p>
        </w:tc>
        <w:tc>
          <w:tcPr>
            <w:tcW w:type="dxa" w:w="113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完整实现</w:t>
            </w:r>
          </w:p>
        </w:tc>
        <w:tc>
          <w:tcPr>
            <w:tcW w:type="dxa" w:w="113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基本实现</w:t>
            </w:r>
          </w:p>
        </w:tc>
        <w:tc>
          <w:tcPr>
            <w:tcW w:type="dxa" w:w="113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仅有骨架</w:t>
            </w:r>
          </w:p>
        </w:tc>
        <w:tc>
          <w:tcPr>
            <w:tcW w:type="dxa" w:w="1020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未实现</w:t>
            </w:r>
          </w:p>
        </w:tc>
        <w:tc>
          <w:tcPr>
            <w:tcW w:type="dxa" w:w="1247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综合实现度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基础资源管理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40%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培养过程管理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48%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考核评价管理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14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50%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学籍与学位管理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42%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数据对接共享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办公自动化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63%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师生服务门户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14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88%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系统权限管理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95%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合计／平均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85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24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33</w:t>
            </w:r>
          </w:p>
        </w:tc>
        <w:tc>
          <w:tcPr>
            <w:tcW w:type="dxa" w:w="1020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56%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综合评估：系统整体实现度约为 56%，已完成从零到一的框架搭建与主体功能原型，数据模型完备度显著高于业务逻辑完备度，呈现“骨架健全、血肉待丰”的典型特征。这符合基于代码生成器快速构建的项目在中期阶段的普遍状态。</w:t>
      </w:r>
    </w:p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五、问题诊断与风险分析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（一）业务功能层面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一：核心算法缺位，系统难以承担实际教务业务。排课、排考、座位编排、监考派发、选课规则与抽签六大算法均未落地，而这些正是教务系统区别于普通信息管理系统的核心价值所在。若不补齐，系统实质上只是一套数据登记工具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二：审批流转断链，状态字段有名无实。学籍异动、成绩复核、毕业审核等多处审批场景，均存在“审批状态字段齐备但通过后无业务动作”的问题，即审批结果不会回写业务主表、不会触发状态变更，导致流程闭环缺失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问题三：统计分析能力空白。成绩统计表定义了最高分、最低分、平均分、及格率、优秀率等 19 个字段，但无任何聚合计算代码；教学质量分析、教学资源利用率分析、学情画像等决策支持能力尚属空白。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（二）技术架构层面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问题四：数据对接模块无执行能力。作为与研究生系统、财务系统、一卡通、统一身份认证对接的唯一通道，该模块目前完全不具备运行时能力，将直接阻碍学校信息系统整体集成。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问题五：分层依赖存在反向链路。业务模块 yu-tpm 反向依赖技术框架层 yu-framework，破坏了分层架构的单向依赖原则，长期将增加维护复杂度。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问题六：跨模块耦合方式不统一。存在 Java 服务调用、Mapper 直接注入、同库跨表 SQL 关联三种耦合方式并存的情况，其中考核评价模块通过 SQL 直接读取培养过程模块的课程库表，属隐式耦合，不利于后续模块拆分。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（三）数据治理层面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问题七：索引严重不足。基础资源、培养过程、考核评价、学籍学位、办公、门户六个初始化脚本中，除主键外未定义任何索引，仅由阶段一升级脚本后补了 5 个。大量高频关联字段（如学生表班级标识、成绩记录课程标识、开课计划学期标识）无索引，在数据量增长后将出现明显的查询性能衰减。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问题八：菜单标识号段冲突。办公模块旧脚本与学籍模块在 2300 号段完全撞段（已由新脚本平移至 2700 号段修复），门户内容管理脚本与阶段一升级脚本在 2600 号段冲突（尚未修复），若按序执行将导致菜单数据覆盖。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问题九：逻辑删除规范不统一。68 张业务表中仅院系表定义了删除标志字段，其余均依靠状态字段停用加物理删除，与系统管理域沿用的软删除规范不一致，存在误删数据不可恢复的风险。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问题十：字符集不统一。自研业务表使用 utf8mb4，工作流引擎表使用 utf8 且排序规则为二进制比较，若依基础脚本与调度脚本未显式声明字符集，跨表关联查询时可能出现排序规则冲突告警。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（四）安全合规层面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问题十一：敏感配置硬编码。令牌密钥采用二十六个小写字母的默认弱密钥，数据库账号口令、Druid 监控台账号口令均为明文默认值，上传路径与日志路径硬编码为本机绝对路径，不满足生产部署与等级保护要求。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问题十二：跨域策略过于宽松。跨域过滤器允许任意来源、任意请求头、任意方法，且允许携带凭证，存在跨站请求伪造风险。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问题十三：个人信息保护措施不足。学生身份证号、出生日期等敏感字段以明文存储，虽然导出工具支持脱敏注解，但数据库层面未实施加密存储，不满足个人信息保护法的最小必要与安全保障要求。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（五）工程质量层面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问题十四：自动化测试缺失。仓库中未发现单元测试与集成测试代码，质量保障完全依赖人工验证，重构与升级风险高。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问题十五：接口文档与实现可能脱节。系统已集成 SpringDoc，但控制器普遍缺少接口描述注解，生成的文档信息量有限。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问题十六：定时任务默认停用。学业预警任务注册时状态为暂停，若部署后无人工启用，预警功能将静默失效。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（六）风险等级评定</w:t>
      </w:r>
    </w:p>
    <w:p>
      <w:pPr>
        <w:keepNext/>
        <w:keepLines/>
        <w:spacing w:lineRule="exact" w:line="480" w:before="120" w:after="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sz w:val="24"/>
        </w:rPr>
        <w:t>表5-1　风险登记与等级评定表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编号</w:t>
            </w:r>
          </w:p>
        </w:tc>
        <w:tc>
          <w:tcPr>
            <w:tcW w:type="dxa" w:w="3175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风险描述</w:t>
            </w:r>
          </w:p>
        </w:tc>
        <w:tc>
          <w:tcPr>
            <w:tcW w:type="dxa" w:w="1247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影响范围</w:t>
            </w:r>
          </w:p>
        </w:tc>
        <w:tc>
          <w:tcPr>
            <w:tcW w:type="dxa" w:w="907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可能性</w:t>
            </w:r>
          </w:p>
        </w:tc>
        <w:tc>
          <w:tcPr>
            <w:tcW w:type="dxa" w:w="907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等级</w:t>
            </w:r>
          </w:p>
        </w:tc>
        <w:tc>
          <w:tcPr>
            <w:tcW w:type="dxa" w:w="1247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应对优先级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R1</w:t>
            </w:r>
          </w:p>
        </w:tc>
        <w:tc>
          <w:tcPr>
            <w:tcW w:type="dxa" w:w="317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核心排课选课算法缺位导致无法上线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全系统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严重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最高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R2</w:t>
            </w:r>
          </w:p>
        </w:tc>
        <w:tc>
          <w:tcPr>
            <w:tcW w:type="dxa" w:w="317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数据对接模块无执行能力阻碍系统集成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校级集成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严重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最高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R3</w:t>
            </w:r>
          </w:p>
        </w:tc>
        <w:tc>
          <w:tcPr>
            <w:tcW w:type="dxa" w:w="317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审批流转断链造成业务数据不一致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多领域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较大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R4</w:t>
            </w:r>
          </w:p>
        </w:tc>
        <w:tc>
          <w:tcPr>
            <w:tcW w:type="dxa" w:w="317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索引缺失导致性能衰减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全系统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中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较大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R5</w:t>
            </w:r>
          </w:p>
        </w:tc>
        <w:tc>
          <w:tcPr>
            <w:tcW w:type="dxa" w:w="317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敏感配置硬编码引发安全事件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全系统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中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严重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R6</w:t>
            </w:r>
          </w:p>
        </w:tc>
        <w:tc>
          <w:tcPr>
            <w:tcW w:type="dxa" w:w="317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菜单号段冲突导致部署异常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部署环节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一般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中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R7</w:t>
            </w:r>
          </w:p>
        </w:tc>
        <w:tc>
          <w:tcPr>
            <w:tcW w:type="dxa" w:w="317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自动化测试缺失放大变更风险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研发过程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一般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中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R8</w:t>
            </w:r>
          </w:p>
        </w:tc>
        <w:tc>
          <w:tcPr>
            <w:tcW w:type="dxa" w:w="317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物理删除造成数据不可恢复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业务数据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低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较大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中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R9</w:t>
            </w:r>
          </w:p>
        </w:tc>
        <w:tc>
          <w:tcPr>
            <w:tcW w:type="dxa" w:w="3175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字符集不统一引发关联查询异常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跨域查询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低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一般</w:t>
            </w:r>
          </w:p>
        </w:tc>
        <w:tc>
          <w:tcPr>
            <w:tcW w:type="dxa" w:w="1247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低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六、调研结论与建议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（一）总体结论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第一，项目建设基础扎实。系统采用成熟的技术栈与规范的分层架构，13 个模块职责划分清晰，163 张数据表覆盖教务管理全业务域，216 个前端组件构建了完整的双端界面体系，六万余行代码形成了可运行的完整应用，为后续深化建设奠定了良好基础。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第二，功能骨架完备但深度不足。系统整体实现度约 56%，数据模型完备度显著高于业务逻辑完备度。师生服务门户与系统权限管理已达可用水平，办公自动化基本可用，而基础资源、培养过程、考核评价、学籍学位四个核心教务领域大量停留在增删改查层面，数据对接领域基本为空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第三，核心竞争力尚未形成。教务系统的核心价值在于以算法与规则替代人工决策，而当前排课、排考、选课、审核四类核心算法均未真正落地，系统尚不具备替代现有人工作业方式的能力。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第四，工程规范与安全合规存在明显欠账。索引缺失、配置硬编码、跨域过宽、测试缺位等问题若不在上线前解决，将形成较大的运行风险与合规风险。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（二）主要建议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1．坚持“先补核心、再拓外延”的建设次序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建议将排课引擎、选课规则引擎、成绩审批闭环、毕业审核自动校验四项作为下一阶段的核心攻坚任务，优先形成可替代人工作业的最小可用闭环，避免在功能广度上继续铺开而深度不足。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2．尽快补齐数据集成执行能力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建议将数据对接模块的执行引擎建设提升至与核心算法同等优先级，引入统一的 HTTP 客户端与重试机制，打通与统一身份认证、研究生系统、财务系统、一卡通的实际数据链路，为学校整体信息化格局提供支撑。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3．同步开展工程治理专项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建议设立独立的工程治理任务集，集中解决索引优化、配置外置、安全加固、菜单号段冲突、软删除规范统一等技术债务，并建立自动化测试基线，将核心业务的单元测试覆盖率纳入质量门禁。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4．前瞻布局智能化与信创适配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建议在中远期规划中纳入学情画像、智能推荐、教学质量分析等智能化能力，并启动国产数据库适配的可行性评估，逐步降低对特定数据库产品的强绑定，为满足信创合规要求预留改造空间。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5．建立文档与代码同步维护机制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调研发现项目自述文件对模块清单的描述已滞后于实际代码（如未包含办公自动化模块），建议建立设计文档与代码同步更新的制度约束，确保文档的持续有效性。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（三）后续工作安排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基于本次调研结论，后续将形成需求规格说明书、系统架构设计说明书、数据库设计说明书、详细设计与接口说明书、部署实施与运维手册、测试方案与质量保证方案等配套技术文件，并单独编制下一步开发计划与技术路线图，明确各阶段目标、任务分解、资源投入与验收标准。</w:t>
      </w:r>
    </w:p>
    <w:p>
      <w:pPr>
        <w:spacing w:lineRule="exact" w:line="280" w:before="0" w:after="0"/>
        <w:adjustRightInd w:val="0"/>
        <w:snapToGrid w:val="0"/>
      </w:pPr>
    </w:p>
    <w:p>
      <w:pPr>
        <w:spacing w:lineRule="exact" w:line="280" w:before="0" w:after="0"/>
        <w:adjustRightInd w:val="0"/>
        <w:snapToGrid w:val="0"/>
      </w:pPr>
    </w:p>
    <w:p>
      <w:pPr>
        <w:spacing w:lineRule="exact" w:line="600" w:before="0" w:after="0"/>
        <w:jc w:val="right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 xml:space="preserve">长江大学教务处　　</w:t>
      </w:r>
    </w:p>
    <w:p>
      <w:pPr>
        <w:spacing w:lineRule="exact" w:line="600" w:before="0" w:after="0"/>
        <w:jc w:val="right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 xml:space="preserve">二〇二六年八月四日　　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2098" w:right="1474" w:bottom="1984" w:left="1587" w:header="1134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400" w:before="0" w:after="0"/>
      <w:jc w:val="center"/>
      <w:adjustRightInd w:val="0"/>
      <w:snapToGrid w:val="0"/>
    </w:pPr>
    <w:r/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360" w:before="0" w:after="0"/>
      <w:jc w:val="center"/>
      <w:adjustRightInd w:val="0"/>
      <w:snapToGrid w:val="0"/>
      <w:pBdr>
        <w:bottom w:val="single" w:sz="6" w:space="1" w:color="808080"/>
      </w:pBdr>
    </w:pPr>
    <w:r/>
    <w:r>
      <w:rPr>
        <w:rFonts w:ascii="宋体" w:hAnsi="宋体" w:eastAsia="宋体" w:cs="宋体"/>
        <w:b w:val="0"/>
        <w:sz w:val="18"/>
      </w:rPr>
      <w:t>长江大学教务管理系统项目调研报告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