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adjustRightInd w:val="0"/>
        <w:snapToGrid w:val="0"/>
      </w:pPr>
    </w:p>
    <w:p>
      <w:pPr>
        <w:spacing w:lineRule="exact" w:line="560" w:before="0" w:after="0"/>
        <w:adjustRightInd w:val="0"/>
        <w:snapToGrid w:val="0"/>
      </w:pPr>
    </w:p>
    <w:p>
      <w:pPr>
        <w:spacing w:lineRule="exact" w:line="1040" w:before="0" w:after="0"/>
        <w:jc w:val="center"/>
        <w:adjustRightInd w:val="0"/>
        <w:snapToGrid w:val="0"/>
      </w:pPr>
      <w:r>
        <w:rPr>
          <w:rFonts w:ascii="宋体" w:hAnsi="宋体" w:eastAsia="宋体" w:cs="宋体"/>
          <w:b/>
          <w:color w:val="C00000"/>
          <w:sz w:val="72"/>
        </w:rPr>
        <w:t>长江大学教务处</w:t>
      </w:r>
    </w:p>
    <w:p>
      <w:pPr>
        <w:spacing w:lineRule="exact" w:line="600" w:before="0" w:after="0"/>
        <w:jc w:val="center"/>
        <w:adjustRightInd w:val="0"/>
        <w:snapToGrid w:val="0"/>
      </w:pPr>
      <w:r>
        <w:rPr>
          <w:rFonts w:ascii="宋体" w:hAnsi="宋体" w:eastAsia="宋体" w:cs="宋体"/>
          <w:b/>
          <w:color w:val="C00000"/>
          <w:sz w:val="36"/>
        </w:rPr>
        <w:t>软件工程技术文件</w:t>
      </w:r>
    </w:p>
    <w:p>
      <w:pPr>
        <w:spacing w:lineRule="exact" w:line="560" w:before="0" w:after="0"/>
        <w:adjustRightInd w:val="0"/>
        <w:snapToGrid w:val="0"/>
      </w:pPr>
    </w:p>
    <w:p>
      <w:pPr>
        <w:spacing w:lineRule="exact" w:line="560" w:before="0" w:after="0"/>
        <w:adjustRightInd w:val="0"/>
        <w:snapToGrid w:val="0"/>
      </w:pPr>
    </w:p>
    <w:p>
      <w:pPr>
        <w:spacing w:lineRule="exact" w:line="600" w:before="0" w:after="0"/>
        <w:jc w:val="center"/>
        <w:adjustRightInd w:val="0"/>
        <w:snapToGrid w:val="0"/>
        <w:pBdr>
          <w:bottom w:val="single" w:sz="18" w:space="1" w:color="C00000"/>
        </w:pBdr>
      </w:pPr>
      <w:r>
        <w:rPr>
          <w:rFonts w:ascii="仿宋" w:hAnsi="仿宋" w:eastAsia="仿宋" w:cs="仿宋"/>
          <w:b w:val="0"/>
          <w:sz w:val="32"/>
        </w:rPr>
        <w:t>长大教务信息〔2026〕7号</w:t>
      </w:r>
    </w:p>
    <w:p>
      <w:pPr>
        <w:spacing w:lineRule="exact" w:line="560" w:before="0" w:after="0"/>
        <w:adjustRightInd w:val="0"/>
        <w:snapToGrid w:val="0"/>
      </w:pPr>
    </w:p>
    <w:p>
      <w:pPr>
        <w:spacing w:lineRule="exact" w:line="560" w:before="0" w:after="0"/>
        <w:adjustRightInd w:val="0"/>
        <w:snapToGrid w:val="0"/>
      </w:pPr>
    </w:p>
    <w:p>
      <w:pPr>
        <w:spacing w:lineRule="exact" w:line="560" w:before="0" w:after="0"/>
        <w:adjustRightInd w:val="0"/>
        <w:snapToGrid w:val="0"/>
      </w:pPr>
    </w:p>
    <w:p>
      <w:pPr>
        <w:spacing w:lineRule="exact" w:line="800" w:before="0" w:after="0"/>
        <w:jc w:val="center"/>
        <w:adjustRightInd w:val="0"/>
        <w:snapToGrid w:val="0"/>
      </w:pPr>
      <w:r>
        <w:rPr>
          <w:rFonts w:ascii="宋体" w:hAnsi="宋体" w:eastAsia="宋体" w:cs="宋体"/>
          <w:b/>
          <w:sz w:val="44"/>
        </w:rPr>
        <w:t>长江大学教务管理系统下一步开发计划</w:t>
      </w:r>
    </w:p>
    <w:p>
      <w:pPr>
        <w:spacing w:lineRule="exact" w:line="680" w:before="0" w:after="0"/>
        <w:jc w:val="center"/>
        <w:adjustRightInd w:val="0"/>
        <w:snapToGrid w:val="0"/>
      </w:pPr>
      <w:r>
        <w:rPr>
          <w:rFonts w:ascii="楷体" w:hAnsi="楷体" w:eastAsia="楷体" w:cs="楷体"/>
          <w:b w:val="0"/>
          <w:sz w:val="36"/>
        </w:rPr>
        <w:t>——基于 CjluJwc 代码仓库调研结论的迭代建设路线</w:t>
      </w:r>
    </w:p>
    <w:p>
      <w:pPr>
        <w:spacing w:lineRule="exact" w:line="560" w:before="0" w:after="0"/>
        <w:adjustRightInd w:val="0"/>
        <w:snapToGrid w:val="0"/>
      </w:pPr>
    </w:p>
    <w:p>
      <w:pPr>
        <w:spacing w:lineRule="exact" w:line="560" w:before="0" w:after="0"/>
        <w:adjustRightInd w:val="0"/>
        <w:snapToGrid w:val="0"/>
      </w:pPr>
    </w:p>
    <w:p>
      <w:pPr>
        <w:spacing w:lineRule="exact" w:line="560" w:before="0" w:after="0"/>
        <w:adjustRightInd w:val="0"/>
        <w:snapToGrid w:val="0"/>
      </w:pPr>
    </w:p>
    <w:p>
      <w:pPr>
        <w:spacing w:lineRule="exact" w:line="560" w:before="0" w:after="0"/>
        <w:adjustRightInd w:val="0"/>
        <w:snapToGrid w:val="0"/>
      </w:pPr>
    </w:p>
    <w:tbl>
      <w:tblPr>
        <w:tblStyle w:val="TableGrid"/>
        <w:tblW w:type="auto" w:w="0"/>
        <w:jc w:val="center"/>
        <w:tblLayout w:type="fixed"/>
        <w:tblLook w:firstColumn="1" w:firstRow="1" w:lastColumn="0" w:lastRow="0" w:noHBand="0" w:noVBand="1" w:val="04A0"/>
      </w:tblPr>
      <w:tblGrid>
        <w:gridCol w:w="4422"/>
        <w:gridCol w:w="4422"/>
      </w:tblGrid>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文件版本</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V1.0</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编制单位</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长江大学教务处</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编制人员</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教务管理系统研发组</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审核人员</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教务处信息化建设办公室</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批准人员</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教务处分管负责人</w:t>
            </w:r>
          </w:p>
        </w:tc>
      </w:tr>
      <w:tr>
        <w:tc>
          <w:tcPr>
            <w:tcW w:type="dxa" w:w="2551"/>
            <w:vAlign w:val="center"/>
            <w:shd w:val="clear" w:color="auto" w:fill="F2F2F2"/>
          </w:tcPr>
          <w:p>
            <w:pPr>
              <w:spacing w:lineRule="exact" w:line="480" w:before="0" w:after="0"/>
              <w:jc w:val="center"/>
              <w:adjustRightInd w:val="0"/>
              <w:snapToGrid w:val="0"/>
            </w:pPr>
            <w:r>
              <w:rPr>
                <w:rFonts w:ascii="黑体" w:hAnsi="黑体" w:eastAsia="黑体" w:cs="黑体"/>
                <w:b/>
                <w:sz w:val="24"/>
              </w:rPr>
              <w:t>成文日期</w:t>
            </w:r>
          </w:p>
        </w:tc>
        <w:tc>
          <w:tcPr>
            <w:tcW w:type="dxa" w:w="5669"/>
            <w:vAlign w:val="center"/>
          </w:tcPr>
          <w:p>
            <w:pPr>
              <w:spacing w:lineRule="exact" w:line="480" w:before="0" w:after="0"/>
              <w:jc w:val="left"/>
              <w:adjustRightInd w:val="0"/>
              <w:snapToGrid w:val="0"/>
            </w:pPr>
            <w:r>
              <w:rPr>
                <w:rFonts w:ascii="仿宋" w:hAnsi="仿宋" w:eastAsia="仿宋" w:cs="仿宋"/>
                <w:b w:val="0"/>
                <w:sz w:val="24"/>
              </w:rPr>
              <w:t>二〇二六年八月</w:t>
            </w:r>
          </w:p>
        </w:tc>
      </w:tr>
    </w:tbl>
    <w:p>
      <w:pPr>
        <w:spacing w:lineRule="exact" w:line="20" w:before="0" w:after="0"/>
        <w:adjustRightInd w:val="0"/>
        <w:snapToGrid w:val="0"/>
      </w:pPr>
      <w:r>
        <w:br w:type="page"/>
      </w:r>
    </w:p>
    <w:p>
      <w:pPr>
        <w:spacing w:lineRule="exact" w:line="800" w:before="0" w:after="0"/>
        <w:jc w:val="center"/>
        <w:adjustRightInd w:val="0"/>
        <w:snapToGrid w:val="0"/>
      </w:pPr>
      <w:r>
        <w:rPr>
          <w:rFonts w:ascii="黑体" w:hAnsi="黑体" w:eastAsia="黑体" w:cs="黑体"/>
          <w:b/>
          <w:sz w:val="44"/>
        </w:rPr>
        <w:t>目　　录</w:t>
      </w:r>
    </w:p>
    <w:p>
      <w:pPr>
        <w:spacing w:lineRule="exact" w:line="560" w:before="0" w:after="0"/>
        <w:adjustRightInd w:val="0"/>
        <w:snapToGrid w:val="0"/>
      </w:pPr>
    </w:p>
    <w:p>
      <w:pPr>
        <w:spacing w:lineRule="exact" w:line="560" w:before="0" w:after="0"/>
        <w:adjustRightInd w:val="0"/>
        <w:snapToGrid w:val="0"/>
      </w:pPr>
      <w:r>
        <w:rPr>
          <w:rFonts w:ascii="仿宋" w:hAnsi="仿宋" w:eastAsia="仿宋" w:cs="仿宋"/>
          <w:b w:val="0"/>
          <w:sz w:val="24"/>
        </w:rPr>
        <w:fldChar w:fldCharType="begin"/>
      </w:r>
      <w:r>
        <w:rPr>
          <w:rFonts w:ascii="仿宋" w:hAnsi="仿宋" w:eastAsia="仿宋" w:cs="仿宋"/>
          <w:b w:val="0"/>
          <w:sz w:val="24"/>
        </w:rPr>
        <w:instrText xml:space="preserve"> TOC \o "1-3" \h \z \u </w:instrText>
      </w:r>
      <w:r>
        <w:rPr>
          <w:rFonts w:ascii="仿宋" w:hAnsi="仿宋" w:eastAsia="仿宋" w:cs="仿宋"/>
          <w:b w:val="0"/>
          <w:sz w:val="24"/>
        </w:rPr>
        <w:fldChar w:fldCharType="separate"/>
      </w:r>
      <w:r>
        <w:rPr>
          <w:rFonts w:ascii="仿宋" w:hAnsi="仿宋" w:eastAsia="仿宋" w:cs="仿宋"/>
          <w:b w:val="0"/>
          <w:sz w:val="24"/>
        </w:rPr>
        <w:t>1</w:t>
      </w:r>
      <w:r>
        <w:rPr>
          <w:rFonts w:ascii="仿宋" w:hAnsi="仿宋" w:eastAsia="仿宋" w:cs="仿宋"/>
          <w:b w:val="0"/>
          <w:sz w:val="24"/>
        </w:rPr>
        <w:fldChar w:fldCharType="end"/>
      </w: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一、建设现状回顾</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（一）总体进展</w:t>
      </w:r>
    </w:p>
    <w:p>
      <w:pPr>
        <w:spacing w:lineRule="exact" w:line="560" w:before="0" w:after="0"/>
        <w:ind w:firstLine="640"/>
        <w:jc w:val="both"/>
        <w:adjustRightInd w:val="0"/>
        <w:snapToGrid w:val="0"/>
      </w:pPr>
      <w:r>
        <w:rPr>
          <w:rFonts w:ascii="仿宋" w:hAnsi="仿宋" w:eastAsia="仿宋" w:cs="仿宋"/>
          <w:b w:val="0"/>
          <w:sz w:val="32"/>
        </w:rPr>
        <w:t>长江大学教务管理系统（代号 CjluJwc）以若依（RuoYi）多模块框架为底座，采用前后端分离架构，已完成主体框架搭建与大部分业务功能的原型开发。截至本次调研，仓库累计形成 13 个 Maven 模块、620 个 Java 源文件（约 6.1 万行代码）、182 个 Mapper 映射文件、95 个控制器、163 张数据库表（其中自建表 68 张）以及 216 个 Vue 前端组件，已具备可运行的工程基座与较完整的业务菜单骨架。</w:t>
      </w:r>
    </w:p>
    <w:p>
      <w:pPr>
        <w:spacing w:lineRule="exact" w:line="560" w:before="0" w:after="0"/>
        <w:ind w:firstLine="640"/>
        <w:jc w:val="both"/>
        <w:adjustRightInd w:val="0"/>
        <w:snapToGrid w:val="0"/>
      </w:pPr>
      <w:r>
        <w:rPr>
          <w:rFonts w:ascii="仿宋" w:hAnsi="仿宋" w:eastAsia="仿宋" w:cs="仿宋"/>
          <w:b w:val="0"/>
          <w:sz w:val="32"/>
        </w:rPr>
        <w:t>系统技术栈以 Spring Boot 4.0.3、JDK 17、MyBatis 4.0.1、Druid 1.2.28、Redis（Lettuce）、JJWT 0.9.1、FastJSON2 2.0.61、POI 4.1.2、Velocity 2.3、Flowable 7.1.0、Quartz、SpringDoc 3.0.2、OSHI 6.10.0 为基础，前端采用 Vue 2.6.12 + Element UI 2.15.14，并配套 yu-ui 管理端（端口 80）与 yu-portal-ui 门户端（端口 81）。</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（二）功能实现度评估</w:t>
      </w:r>
    </w:p>
    <w:p>
      <w:pPr>
        <w:spacing w:lineRule="exact" w:line="560" w:before="0" w:after="0"/>
        <w:ind w:firstLine="640"/>
        <w:jc w:val="both"/>
        <w:adjustRightInd w:val="0"/>
        <w:snapToGrid w:val="0"/>
      </w:pPr>
      <w:r>
        <w:rPr>
          <w:rFonts w:ascii="仿宋" w:hAnsi="仿宋" w:eastAsia="仿宋" w:cs="仿宋"/>
          <w:b w:val="0"/>
          <w:sz w:val="32"/>
        </w:rPr>
        <w:t>依据《长江大学教务管理系统项目调研报告》源码级核查结论，本系统整体功能实现度约为 56%，呈现“骨架完备、逻辑薄弱”的典型特征：基础数据管理（BRM）、系统管理、师生服务门户等以增删改查为主的功能较为完整；而智能排课、选课规则引擎、考务智能编排、流程自动化、数据集成等依赖复杂算法与执行引擎的功能普遍处于接口与表结构已建、核心逻辑未落地或未闭环的状态。</w:t>
      </w:r>
    </w:p>
    <w:p>
      <w:pPr>
        <w:keepNext/>
        <w:keepLines/>
        <w:spacing w:lineRule="exact" w:line="480" w:before="120" w:after="0"/>
        <w:jc w:val="center"/>
        <w:adjustRightInd w:val="0"/>
        <w:snapToGrid w:val="0"/>
      </w:pPr>
      <w:r>
        <w:rPr>
          <w:rFonts w:ascii="黑体" w:hAnsi="黑体" w:eastAsia="黑体" w:cs="黑体"/>
          <w:b w:val="0"/>
          <w:sz w:val="24"/>
        </w:rPr>
        <w:t>表1-1　主要功能域实现度概览</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2268"/>
            <w:vAlign w:val="center"/>
            <w:shd w:val="clear" w:color="auto" w:fill="DCE6F1"/>
          </w:tcPr>
          <w:p>
            <w:pPr>
              <w:spacing w:lineRule="exact" w:line="360" w:before="0" w:after="0"/>
              <w:jc w:val="center"/>
              <w:adjustRightInd w:val="0"/>
              <w:snapToGrid w:val="0"/>
            </w:pPr>
            <w:r>
              <w:rPr>
                <w:rFonts w:ascii="黑体" w:hAnsi="黑体" w:eastAsia="黑体" w:cs="黑体"/>
                <w:b w:val="0"/>
                <w:sz w:val="18"/>
              </w:rPr>
              <w:t>评估维度</w:t>
            </w:r>
          </w:p>
        </w:tc>
        <w:tc>
          <w:tcPr>
            <w:tcW w:type="dxa" w:w="1474"/>
            <w:vAlign w:val="center"/>
            <w:shd w:val="clear" w:color="auto" w:fill="DCE6F1"/>
          </w:tcPr>
          <w:p>
            <w:pPr>
              <w:spacing w:lineRule="exact" w:line="360" w:before="0" w:after="0"/>
              <w:jc w:val="center"/>
              <w:adjustRightInd w:val="0"/>
              <w:snapToGrid w:val="0"/>
            </w:pPr>
            <w:r>
              <w:rPr>
                <w:rFonts w:ascii="黑体" w:hAnsi="黑体" w:eastAsia="黑体" w:cs="黑体"/>
                <w:b w:val="0"/>
                <w:sz w:val="18"/>
              </w:rPr>
              <w:t>实现度判断</w:t>
            </w:r>
          </w:p>
        </w:tc>
        <w:tc>
          <w:tcPr>
            <w:tcW w:type="dxa" w:w="4762"/>
            <w:vAlign w:val="center"/>
            <w:shd w:val="clear" w:color="auto" w:fill="DCE6F1"/>
          </w:tcPr>
          <w:p>
            <w:pPr>
              <w:spacing w:lineRule="exact" w:line="360" w:before="0" w:after="0"/>
              <w:jc w:val="center"/>
              <w:adjustRightInd w:val="0"/>
              <w:snapToGrid w:val="0"/>
            </w:pPr>
            <w:r>
              <w:rPr>
                <w:rFonts w:ascii="黑体" w:hAnsi="黑体" w:eastAsia="黑体" w:cs="黑体"/>
                <w:b w:val="0"/>
                <w:sz w:val="18"/>
              </w:rPr>
              <w:t>主要依据</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基础资源管理（BRM）</w:t>
            </w:r>
          </w:p>
        </w:tc>
        <w:tc>
          <w:tcPr>
            <w:tcW w:type="dxa" w:w="1474"/>
            <w:vAlign w:val="center"/>
          </w:tcPr>
          <w:p>
            <w:pPr>
              <w:spacing w:lineRule="exact" w:line="340" w:before="0" w:after="0"/>
              <w:jc w:val="center"/>
              <w:adjustRightInd w:val="0"/>
              <w:snapToGrid w:val="0"/>
            </w:pPr>
            <w:r>
              <w:rPr>
                <w:rFonts w:ascii="仿宋" w:hAnsi="仿宋" w:eastAsia="仿宋" w:cs="仿宋"/>
                <w:b w:val="0"/>
                <w:sz w:val="18"/>
              </w:rPr>
              <w:t>较完整</w:t>
            </w:r>
          </w:p>
        </w:tc>
        <w:tc>
          <w:tcPr>
            <w:tcW w:type="dxa" w:w="4762"/>
            <w:vAlign w:val="center"/>
          </w:tcPr>
          <w:p>
            <w:pPr>
              <w:spacing w:lineRule="exact" w:line="340" w:before="0" w:after="0"/>
              <w:jc w:val="left"/>
              <w:adjustRightInd w:val="0"/>
              <w:snapToGrid w:val="0"/>
            </w:pPr>
            <w:r>
              <w:rPr>
                <w:rFonts w:ascii="仿宋" w:hAnsi="仿宋" w:eastAsia="仿宋" w:cs="仿宋"/>
                <w:b w:val="0"/>
                <w:sz w:val="18"/>
              </w:rPr>
              <w:t>15 个服务全部为代码生成 CRUD，要素台账齐全</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培养过程（TPM）</w:t>
            </w:r>
          </w:p>
        </w:tc>
        <w:tc>
          <w:tcPr>
            <w:tcW w:type="dxa" w:w="1474"/>
            <w:vAlign w:val="center"/>
          </w:tcPr>
          <w:p>
            <w:pPr>
              <w:spacing w:lineRule="exact" w:line="340" w:before="0" w:after="0"/>
              <w:jc w:val="center"/>
              <w:adjustRightInd w:val="0"/>
              <w:snapToGrid w:val="0"/>
            </w:pPr>
            <w:r>
              <w:rPr>
                <w:rFonts w:ascii="仿宋" w:hAnsi="仿宋" w:eastAsia="仿宋" w:cs="仿宋"/>
                <w:b w:val="0"/>
                <w:sz w:val="18"/>
              </w:rPr>
              <w:t>部分实现</w:t>
            </w:r>
          </w:p>
        </w:tc>
        <w:tc>
          <w:tcPr>
            <w:tcW w:type="dxa" w:w="4762"/>
            <w:vAlign w:val="center"/>
          </w:tcPr>
          <w:p>
            <w:pPr>
              <w:spacing w:lineRule="exact" w:line="340" w:before="0" w:after="0"/>
              <w:jc w:val="left"/>
              <w:adjustRightInd w:val="0"/>
              <w:snapToGrid w:val="0"/>
            </w:pPr>
            <w:r>
              <w:rPr>
                <w:rFonts w:ascii="仿宋" w:hAnsi="仿宋" w:eastAsia="仿宋" w:cs="仿宋"/>
                <w:b w:val="0"/>
                <w:sz w:val="18"/>
              </w:rPr>
              <w:t>教室最佳适配已落地；教师/班级冲突、抽签、规则引擎未实现</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考核评价（AEM）</w:t>
            </w:r>
          </w:p>
        </w:tc>
        <w:tc>
          <w:tcPr>
            <w:tcW w:type="dxa" w:w="1474"/>
            <w:vAlign w:val="center"/>
          </w:tcPr>
          <w:p>
            <w:pPr>
              <w:spacing w:lineRule="exact" w:line="340" w:before="0" w:after="0"/>
              <w:jc w:val="center"/>
              <w:adjustRightInd w:val="0"/>
              <w:snapToGrid w:val="0"/>
            </w:pPr>
            <w:r>
              <w:rPr>
                <w:rFonts w:ascii="仿宋" w:hAnsi="仿宋" w:eastAsia="仿宋" w:cs="仿宋"/>
                <w:b w:val="0"/>
                <w:sz w:val="18"/>
              </w:rPr>
              <w:t>部分实现</w:t>
            </w:r>
          </w:p>
        </w:tc>
        <w:tc>
          <w:tcPr>
            <w:tcW w:type="dxa" w:w="4762"/>
            <w:vAlign w:val="center"/>
          </w:tcPr>
          <w:p>
            <w:pPr>
              <w:spacing w:lineRule="exact" w:line="340" w:before="0" w:after="0"/>
              <w:jc w:val="left"/>
              <w:adjustRightInd w:val="0"/>
              <w:snapToGrid w:val="0"/>
            </w:pPr>
            <w:r>
              <w:rPr>
                <w:rFonts w:ascii="仿宋" w:hAnsi="仿宋" w:eastAsia="仿宋" w:cs="仿宋"/>
                <w:b w:val="0"/>
                <w:sz w:val="18"/>
              </w:rPr>
              <w:t>GPA 三策略与加权完备；复核回写、统计聚合、编排算法缺失</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学籍学位（SAM）</w:t>
            </w:r>
          </w:p>
        </w:tc>
        <w:tc>
          <w:tcPr>
            <w:tcW w:type="dxa" w:w="1474"/>
            <w:vAlign w:val="center"/>
          </w:tcPr>
          <w:p>
            <w:pPr>
              <w:spacing w:lineRule="exact" w:line="340" w:before="0" w:after="0"/>
              <w:jc w:val="center"/>
              <w:adjustRightInd w:val="0"/>
              <w:snapToGrid w:val="0"/>
            </w:pPr>
            <w:r>
              <w:rPr>
                <w:rFonts w:ascii="仿宋" w:hAnsi="仿宋" w:eastAsia="仿宋" w:cs="仿宋"/>
                <w:b w:val="0"/>
                <w:sz w:val="18"/>
              </w:rPr>
              <w:t>部分实现</w:t>
            </w:r>
          </w:p>
        </w:tc>
        <w:tc>
          <w:tcPr>
            <w:tcW w:type="dxa" w:w="4762"/>
            <w:vAlign w:val="center"/>
          </w:tcPr>
          <w:p>
            <w:pPr>
              <w:spacing w:lineRule="exact" w:line="340" w:before="0" w:after="0"/>
              <w:jc w:val="left"/>
              <w:adjustRightInd w:val="0"/>
              <w:snapToGrid w:val="0"/>
            </w:pPr>
            <w:r>
              <w:rPr>
                <w:rFonts w:ascii="仿宋" w:hAnsi="仿宋" w:eastAsia="仿宋" w:cs="仿宋"/>
                <w:b w:val="0"/>
                <w:sz w:val="18"/>
              </w:rPr>
              <w:t>预警引擎 GPA/学分已落地；出勤预警、毕业/学位自动校验缺失</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办公自动化（OA）</w:t>
            </w:r>
          </w:p>
        </w:tc>
        <w:tc>
          <w:tcPr>
            <w:tcW w:type="dxa" w:w="1474"/>
            <w:vAlign w:val="center"/>
          </w:tcPr>
          <w:p>
            <w:pPr>
              <w:spacing w:lineRule="exact" w:line="340" w:before="0" w:after="0"/>
              <w:jc w:val="center"/>
              <w:adjustRightInd w:val="0"/>
              <w:snapToGrid w:val="0"/>
            </w:pPr>
            <w:r>
              <w:rPr>
                <w:rFonts w:ascii="仿宋" w:hAnsi="仿宋" w:eastAsia="仿宋" w:cs="仿宋"/>
                <w:b w:val="0"/>
                <w:sz w:val="18"/>
              </w:rPr>
              <w:t>薄弱</w:t>
            </w:r>
          </w:p>
        </w:tc>
        <w:tc>
          <w:tcPr>
            <w:tcW w:type="dxa" w:w="4762"/>
            <w:vAlign w:val="center"/>
          </w:tcPr>
          <w:p>
            <w:pPr>
              <w:spacing w:lineRule="exact" w:line="340" w:before="0" w:after="0"/>
              <w:jc w:val="left"/>
              <w:adjustRightInd w:val="0"/>
              <w:snapToGrid w:val="0"/>
            </w:pPr>
            <w:r>
              <w:rPr>
                <w:rFonts w:ascii="仿宋" w:hAnsi="仿宋" w:eastAsia="仿宋" w:cs="仿宋"/>
                <w:b w:val="0"/>
                <w:sz w:val="18"/>
              </w:rPr>
              <w:t>仅单条流程模板，存在自审批漏洞</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数据对接（DIS）</w:t>
            </w:r>
          </w:p>
        </w:tc>
        <w:tc>
          <w:tcPr>
            <w:tcW w:type="dxa" w:w="1474"/>
            <w:vAlign w:val="center"/>
          </w:tcPr>
          <w:p>
            <w:pPr>
              <w:spacing w:lineRule="exact" w:line="340" w:before="0" w:after="0"/>
              <w:jc w:val="center"/>
              <w:adjustRightInd w:val="0"/>
              <w:snapToGrid w:val="0"/>
            </w:pPr>
            <w:r>
              <w:rPr>
                <w:rFonts w:ascii="仿宋" w:hAnsi="仿宋" w:eastAsia="仿宋" w:cs="仿宋"/>
                <w:b w:val="0"/>
                <w:sz w:val="18"/>
              </w:rPr>
              <w:t>重大缺口</w:t>
            </w:r>
          </w:p>
        </w:tc>
        <w:tc>
          <w:tcPr>
            <w:tcW w:type="dxa" w:w="4762"/>
            <w:vAlign w:val="center"/>
          </w:tcPr>
          <w:p>
            <w:pPr>
              <w:spacing w:lineRule="exact" w:line="340" w:before="0" w:after="0"/>
              <w:jc w:val="left"/>
              <w:adjustRightInd w:val="0"/>
              <w:snapToGrid w:val="0"/>
            </w:pPr>
            <w:r>
              <w:rPr>
                <w:rFonts w:ascii="仿宋" w:hAnsi="仿宋" w:eastAsia="仿宋" w:cs="仿宋"/>
                <w:b w:val="0"/>
                <w:sz w:val="18"/>
              </w:rPr>
              <w:t>仅有配置模型与日志表，无执行引擎</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师生门户（Portal）</w:t>
            </w:r>
          </w:p>
        </w:tc>
        <w:tc>
          <w:tcPr>
            <w:tcW w:type="dxa" w:w="1474"/>
            <w:vAlign w:val="center"/>
          </w:tcPr>
          <w:p>
            <w:pPr>
              <w:spacing w:lineRule="exact" w:line="340" w:before="0" w:after="0"/>
              <w:jc w:val="center"/>
              <w:adjustRightInd w:val="0"/>
              <w:snapToGrid w:val="0"/>
            </w:pPr>
            <w:r>
              <w:rPr>
                <w:rFonts w:ascii="仿宋" w:hAnsi="仿宋" w:eastAsia="仿宋" w:cs="仿宋"/>
                <w:b w:val="0"/>
                <w:sz w:val="18"/>
              </w:rPr>
              <w:t>较完整</w:t>
            </w:r>
          </w:p>
        </w:tc>
        <w:tc>
          <w:tcPr>
            <w:tcW w:type="dxa" w:w="4762"/>
            <w:vAlign w:val="center"/>
          </w:tcPr>
          <w:p>
            <w:pPr>
              <w:spacing w:lineRule="exact" w:line="340" w:before="0" w:after="0"/>
              <w:jc w:val="left"/>
              <w:adjustRightInd w:val="0"/>
              <w:snapToGrid w:val="0"/>
            </w:pPr>
            <w:r>
              <w:rPr>
                <w:rFonts w:ascii="仿宋" w:hAnsi="仿宋" w:eastAsia="仿宋" w:cs="仿宋"/>
                <w:b w:val="0"/>
                <w:sz w:val="18"/>
              </w:rPr>
              <w:t>24 个功能页面，覆盖面广</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（三）已有基础与优势</w:t>
      </w:r>
    </w:p>
    <w:p>
      <w:pPr>
        <w:spacing w:lineRule="exact" w:line="560" w:before="0" w:after="0"/>
        <w:ind w:firstLine="640"/>
        <w:jc w:val="both"/>
        <w:adjustRightInd w:val="0"/>
        <w:snapToGrid w:val="0"/>
      </w:pPr>
      <w:r>
        <w:rPr>
          <w:rFonts w:ascii="仿宋" w:hAnsi="仿宋" w:eastAsia="仿宋" w:cs="仿宋"/>
          <w:b w:val="0"/>
          <w:sz w:val="32"/>
        </w:rPr>
        <w:t>一是工程规范基线已建立，RBAC 权限、五级数据权限（DataScopeAspect）、JWT+BCrypt 认证、Redis 滑动过期令牌等安全底座完整可用；二是代码生成器（27 套 Velocity 模板）可显著提升后续 CRUD 类开发效率；三是数据库物理模型已涵盖 163 张表，业务域覆盖基本无遗漏，为算法与流程补齐提供了稳定的数据底座；四是门户端已具备移动端响应式雏形，为后续向小程序、原生应用延伸打下基础。</w:t>
      </w: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二、存在的主要问题与设计短板</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（一）核心业务算法“骨架完备、逻辑薄弱”</w:t>
      </w:r>
    </w:p>
    <w:p>
      <w:pPr>
        <w:spacing w:lineRule="exact" w:line="560" w:before="0" w:after="0"/>
        <w:ind w:firstLine="640"/>
        <w:jc w:val="both"/>
        <w:adjustRightInd w:val="0"/>
        <w:snapToGrid w:val="0"/>
      </w:pPr>
      <w:r>
        <w:rPr>
          <w:rFonts w:ascii="仿宋" w:hAnsi="仿宋" w:eastAsia="仿宋" w:cs="仿宋"/>
          <w:b w:val="0"/>
          <w:sz w:val="32"/>
        </w:rPr>
        <w:t>排课、选课、考务三类核心业务普遍缺少可执行的核心算法：排课仅实现了基于贪心最佳适配的教室分配，教师冲突与班级冲突判定为空实现（TODO 标记）；选课目前仅支持先到先得加 Redis 计数控量，轮次状态、抽签算法、规则引擎均未实现，且学分上限以硬编码常量 30 覆盖配置项；考务的座位编排与监考智能派发算法尚属空白；成绩复核不回写、统计未做聚合，评教未做结果聚合。</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（二）流程与数据集成能力缺失</w:t>
      </w:r>
    </w:p>
    <w:p>
      <w:pPr>
        <w:spacing w:lineRule="exact" w:line="560" w:before="0" w:after="0"/>
        <w:ind w:firstLine="640"/>
        <w:jc w:val="both"/>
        <w:adjustRightInd w:val="0"/>
        <w:snapToGrid w:val="0"/>
      </w:pPr>
      <w:r>
        <w:rPr>
          <w:rFonts w:ascii="仿宋" w:hAnsi="仿宋" w:eastAsia="仿宋" w:cs="仿宋"/>
          <w:b w:val="0"/>
          <w:sz w:val="32"/>
        </w:rPr>
        <w:t>OA 模块基于 Flowable 7.1.0 仅部署了单条 oa-document 流程模板，且存在“本人可自审批”的流程漏洞；DIS 数据对接模块完全缺失执行引擎（无 HTTP 客户端），仅保留了外部系统注册、接口配置与日志表，定时同步任务无法真正触发数据交换，与外部系统（研究生院、财务、一卡通、统一认证）的集成处于“有配置无能力”状态。</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（三）数据治理隐患</w:t>
      </w:r>
    </w:p>
    <w:p>
      <w:pPr>
        <w:spacing w:lineRule="exact" w:line="560" w:before="0" w:after="0"/>
        <w:ind w:firstLine="640"/>
        <w:jc w:val="both"/>
        <w:adjustRightInd w:val="0"/>
        <w:snapToGrid w:val="0"/>
      </w:pPr>
      <w:r>
        <w:rPr>
          <w:rFonts w:ascii="仿宋" w:hAnsi="仿宋" w:eastAsia="仿宋" w:cs="仿宋"/>
          <w:b w:val="0"/>
          <w:sz w:val="32"/>
        </w:rPr>
        <w:t>数据库共 163 张表，但索引严重不足（phase1_upgrade 仅补充 5 个索引），高频查询面临性能风险；menu_id 存在两处冲突，其中 2300（OA 与 SAM）已通过 2700 规避，而 2600（门户 CMS 与 phase1）尚未修复；del_flag 逻辑删除字段仅在 brm_department 表中存在，其余表缺少统一软删除约定；字符集存在 utf8mb4 与 Flowable 默认 utf8/utf8_bin 的不一致，存在中文排序与关联查询隐患。</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（四）安全合规待加强</w:t>
      </w:r>
    </w:p>
    <w:p>
      <w:pPr>
        <w:spacing w:lineRule="exact" w:line="560" w:before="0" w:after="0"/>
        <w:ind w:firstLine="640"/>
        <w:jc w:val="both"/>
        <w:adjustRightInd w:val="0"/>
        <w:snapToGrid w:val="0"/>
      </w:pPr>
      <w:r>
        <w:rPr>
          <w:rFonts w:ascii="仿宋" w:hAnsi="仿宋" w:eastAsia="仿宋" w:cs="仿宋"/>
          <w:b w:val="0"/>
          <w:sz w:val="32"/>
        </w:rPr>
        <w:t>令牌有效期 30 分钟、滑动续期、BCrypt 加密、图形验证码、XSS 过滤等基础安全措施已具备，但面向等保二级/三级的系统性合规尚未开展；操作审计虽记录关键业务，但敏感数据（成绩、学籍）的访问审计粒度与留存策略需进一步细化。</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（五）工程质量与可维护性</w:t>
      </w:r>
    </w:p>
    <w:p>
      <w:pPr>
        <w:spacing w:lineRule="exact" w:line="560" w:before="0" w:after="0"/>
        <w:ind w:firstLine="640"/>
        <w:jc w:val="both"/>
        <w:adjustRightInd w:val="0"/>
        <w:snapToGrid w:val="0"/>
      </w:pPr>
      <w:r>
        <w:rPr>
          <w:rFonts w:ascii="仿宋" w:hAnsi="仿宋" w:eastAsia="仿宋" w:cs="仿宋"/>
          <w:b w:val="0"/>
          <w:sz w:val="32"/>
        </w:rPr>
        <w:t>代码以代码生成器批量产出为主，业务服务类普遍存在“接口存在、实现空置”的情况；定时任务（如学业预警每日 02:00、批量 200）默认处于暂停状态，未纳入常态化调度；前端 yu-ui 含 188 个 Vue 组件（业务组件 138 个），组件复用与状态管理规范有待统一。</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（六）问题清单汇总</w:t>
      </w:r>
    </w:p>
    <w:p>
      <w:pPr>
        <w:keepNext/>
        <w:keepLines/>
        <w:spacing w:lineRule="exact" w:line="480" w:before="120" w:after="0"/>
        <w:jc w:val="center"/>
        <w:adjustRightInd w:val="0"/>
        <w:snapToGrid w:val="0"/>
      </w:pPr>
      <w:r>
        <w:rPr>
          <w:rFonts w:ascii="黑体" w:hAnsi="黑体" w:eastAsia="黑体" w:cs="黑体"/>
          <w:b w:val="0"/>
          <w:sz w:val="24"/>
        </w:rPr>
        <w:t>表2-1　主要问题与风险清单（共 16 项）</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680"/>
            <w:vAlign w:val="center"/>
            <w:shd w:val="clear" w:color="auto" w:fill="DCE6F1"/>
          </w:tcPr>
          <w:p>
            <w:pPr>
              <w:spacing w:lineRule="exact" w:line="360" w:before="0" w:after="0"/>
              <w:jc w:val="center"/>
              <w:adjustRightInd w:val="0"/>
              <w:snapToGrid w:val="0"/>
            </w:pPr>
            <w:r>
              <w:rPr>
                <w:rFonts w:ascii="黑体" w:hAnsi="黑体" w:eastAsia="黑体" w:cs="黑体"/>
                <w:b w:val="0"/>
                <w:sz w:val="18"/>
              </w:rPr>
              <w:t>序号</w:t>
            </w:r>
          </w:p>
        </w:tc>
        <w:tc>
          <w:tcPr>
            <w:tcW w:type="dxa" w:w="1247"/>
            <w:vAlign w:val="center"/>
            <w:shd w:val="clear" w:color="auto" w:fill="DCE6F1"/>
          </w:tcPr>
          <w:p>
            <w:pPr>
              <w:spacing w:lineRule="exact" w:line="360" w:before="0" w:after="0"/>
              <w:jc w:val="center"/>
              <w:adjustRightInd w:val="0"/>
              <w:snapToGrid w:val="0"/>
            </w:pPr>
            <w:r>
              <w:rPr>
                <w:rFonts w:ascii="黑体" w:hAnsi="黑体" w:eastAsia="黑体" w:cs="黑体"/>
                <w:b w:val="0"/>
                <w:sz w:val="18"/>
              </w:rPr>
              <w:t>问题类别</w:t>
            </w:r>
          </w:p>
        </w:tc>
        <w:tc>
          <w:tcPr>
            <w:tcW w:type="dxa" w:w="4876"/>
            <w:vAlign w:val="center"/>
            <w:shd w:val="clear" w:color="auto" w:fill="DCE6F1"/>
          </w:tcPr>
          <w:p>
            <w:pPr>
              <w:spacing w:lineRule="exact" w:line="360" w:before="0" w:after="0"/>
              <w:jc w:val="center"/>
              <w:adjustRightInd w:val="0"/>
              <w:snapToGrid w:val="0"/>
            </w:pPr>
            <w:r>
              <w:rPr>
                <w:rFonts w:ascii="黑体" w:hAnsi="黑体" w:eastAsia="黑体" w:cs="黑体"/>
                <w:b w:val="0"/>
                <w:sz w:val="18"/>
              </w:rPr>
              <w:t>典型表现</w:t>
            </w:r>
          </w:p>
        </w:tc>
        <w:tc>
          <w:tcPr>
            <w:tcW w:type="dxa" w:w="907"/>
            <w:vAlign w:val="center"/>
            <w:shd w:val="clear" w:color="auto" w:fill="DCE6F1"/>
          </w:tcPr>
          <w:p>
            <w:pPr>
              <w:spacing w:lineRule="exact" w:line="360" w:before="0" w:after="0"/>
              <w:jc w:val="center"/>
              <w:adjustRightInd w:val="0"/>
              <w:snapToGrid w:val="0"/>
            </w:pPr>
            <w:r>
              <w:rPr>
                <w:rFonts w:ascii="黑体" w:hAnsi="黑体" w:eastAsia="黑体" w:cs="黑体"/>
                <w:b w:val="0"/>
                <w:sz w:val="18"/>
              </w:rPr>
              <w:t>严重度</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1</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算法缺失</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排课教师/班级冲突判定空实现</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2</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算法缺失</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选课抽签、规则引擎、轮次状态未实现</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3</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算法缺失</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考务座位编排与监考派发算法空白</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4</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逻辑空置</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成绩复核不回写、统计/评教未聚合</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5</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硬编码</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学分上限常量 30 覆盖配置项</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6</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集成缺失</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DIS 无执行引擎，同步任务不触发</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7</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流程漏洞</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OA 单模板且存在自审批缺陷</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8</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数据治理</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索引严重不足，高频查询有风险</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9</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数据冲突</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menu_id 2600 冲突未修复</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10</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规范缺失</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del_flag 软删除约定不统一</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11</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字符集</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utf8mb4 与 Flowable utf8 不一致</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12</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调度缺失</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关键定时任务默认暂停未启用</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13</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合规待办</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等保合规与敏感数据审计未开展</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14</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体验短板</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门户移动端仅响应式，无小程序/原生</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低</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15</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可维护性</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生成代码占比高，业务实现空置多</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r>
      <w:tr>
        <w:tc>
          <w:tcPr>
            <w:tcW w:type="dxa" w:w="680"/>
            <w:vAlign w:val="center"/>
          </w:tcPr>
          <w:p>
            <w:pPr>
              <w:spacing w:lineRule="exact" w:line="340" w:before="0" w:after="0"/>
              <w:jc w:val="center"/>
              <w:adjustRightInd w:val="0"/>
              <w:snapToGrid w:val="0"/>
            </w:pPr>
            <w:r>
              <w:rPr>
                <w:rFonts w:ascii="仿宋" w:hAnsi="仿宋" w:eastAsia="仿宋" w:cs="仿宋"/>
                <w:b w:val="0"/>
                <w:sz w:val="18"/>
              </w:rPr>
              <w:t>16</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智能化</w:t>
            </w:r>
          </w:p>
        </w:tc>
        <w:tc>
          <w:tcPr>
            <w:tcW w:type="dxa" w:w="4876"/>
            <w:vAlign w:val="center"/>
          </w:tcPr>
          <w:p>
            <w:pPr>
              <w:spacing w:lineRule="exact" w:line="340" w:before="0" w:after="0"/>
              <w:jc w:val="left"/>
              <w:adjustRightInd w:val="0"/>
              <w:snapToGrid w:val="0"/>
            </w:pPr>
            <w:r>
              <w:rPr>
                <w:rFonts w:ascii="仿宋" w:hAnsi="仿宋" w:eastAsia="仿宋" w:cs="仿宋"/>
                <w:b w:val="0"/>
                <w:sz w:val="18"/>
              </w:rPr>
              <w:t>智能排课、学情画像、智能推荐缺位</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r>
    </w:tbl>
    <w:p>
      <w:pPr>
        <w:spacing w:lineRule="exact" w:line="160" w:before="0" w:after="0"/>
        <w:adjustRightInd w:val="0"/>
        <w:snapToGrid w:val="0"/>
      </w:pP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三、下一步建设总体目标与原则</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（一）总体目标</w:t>
      </w:r>
    </w:p>
    <w:p>
      <w:pPr>
        <w:spacing w:lineRule="exact" w:line="560" w:before="0" w:after="0"/>
        <w:ind w:firstLine="640"/>
        <w:jc w:val="both"/>
        <w:adjustRightInd w:val="0"/>
        <w:snapToGrid w:val="0"/>
      </w:pPr>
      <w:r>
        <w:rPr>
          <w:rFonts w:ascii="仿宋" w:hAnsi="仿宋" w:eastAsia="仿宋" w:cs="仿宋"/>
          <w:b w:val="0"/>
          <w:sz w:val="32"/>
        </w:rPr>
        <w:t>以“补齐算法逻辑、贯通流程数据、夯实数据治理、确保安全合规、预留信创演进”为主线，将系统整体功能实现度由当前约 56% 提升至 85% 以上，重点把排课、选课、考务、预警、流程、集成六类能力由“骨架”补齐为“可用、可信、可演进”的生产级能力，并达成等保合规基线。</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（二）建设原则</w:t>
      </w:r>
    </w:p>
    <w:p>
      <w:pPr>
        <w:spacing w:lineRule="exact" w:line="560" w:before="0" w:after="0"/>
        <w:ind w:firstLine="640"/>
        <w:jc w:val="both"/>
        <w:adjustRightInd w:val="0"/>
        <w:snapToGrid w:val="0"/>
      </w:pPr>
      <w:r>
        <w:rPr>
          <w:rFonts w:ascii="仿宋" w:hAnsi="仿宋" w:eastAsia="仿宋" w:cs="仿宋"/>
          <w:b w:val="0"/>
          <w:sz w:val="32"/>
        </w:rPr>
        <w:t>一是循序渐进，先补算法逻辑再补流程与集成，避免一次性大改引发回归风险；二是算法优先，将排课、选课、考务三类核心算法作为投入重点；三是数据治理与功能开发并重，边开发边补索引、补约定、消冲突；四是安全合规前置，等保要求贯穿设计与编码；五是信创前瞻，技术选型预留国产数据库与中间件适配空间。</w:t>
      </w: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四、分阶段开发计划</w:t>
      </w:r>
    </w:p>
    <w:p>
      <w:pPr>
        <w:keepNext/>
        <w:keepLines/>
        <w:spacing w:lineRule="exact" w:line="480" w:before="120" w:after="0"/>
        <w:jc w:val="center"/>
        <w:adjustRightInd w:val="0"/>
        <w:snapToGrid w:val="0"/>
      </w:pPr>
      <w:r>
        <w:rPr>
          <w:rFonts w:ascii="黑体" w:hAnsi="黑体" w:eastAsia="黑体" w:cs="黑体"/>
          <w:b w:val="0"/>
          <w:sz w:val="24"/>
        </w:rPr>
        <w:t>表4-1　四阶段迭代开发计划</w:t>
      </w:r>
    </w:p>
    <w:tbl>
      <w:tblPr>
        <w:tblStyle w:val="TableGrid"/>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trPr>
        <w:tc>
          <w:tcPr>
            <w:tcW w:type="dxa" w:w="907"/>
            <w:vAlign w:val="center"/>
            <w:shd w:val="clear" w:color="auto" w:fill="DCE6F1"/>
          </w:tcPr>
          <w:p>
            <w:pPr>
              <w:spacing w:lineRule="exact" w:line="360" w:before="0" w:after="0"/>
              <w:jc w:val="center"/>
              <w:adjustRightInd w:val="0"/>
              <w:snapToGrid w:val="0"/>
            </w:pPr>
            <w:r>
              <w:rPr>
                <w:rFonts w:ascii="黑体" w:hAnsi="黑体" w:eastAsia="黑体" w:cs="黑体"/>
                <w:b w:val="0"/>
                <w:sz w:val="18"/>
              </w:rPr>
              <w:t>阶段</w:t>
            </w:r>
          </w:p>
        </w:tc>
        <w:tc>
          <w:tcPr>
            <w:tcW w:type="dxa" w:w="1020"/>
            <w:vAlign w:val="center"/>
            <w:shd w:val="clear" w:color="auto" w:fill="DCE6F1"/>
          </w:tcPr>
          <w:p>
            <w:pPr>
              <w:spacing w:lineRule="exact" w:line="360" w:before="0" w:after="0"/>
              <w:jc w:val="center"/>
              <w:adjustRightInd w:val="0"/>
              <w:snapToGrid w:val="0"/>
            </w:pPr>
            <w:r>
              <w:rPr>
                <w:rFonts w:ascii="黑体" w:hAnsi="黑体" w:eastAsia="黑体" w:cs="黑体"/>
                <w:b w:val="0"/>
                <w:sz w:val="18"/>
              </w:rPr>
              <w:t>周期</w:t>
            </w:r>
          </w:p>
        </w:tc>
        <w:tc>
          <w:tcPr>
            <w:tcW w:type="dxa" w:w="1587"/>
            <w:vAlign w:val="center"/>
            <w:shd w:val="clear" w:color="auto" w:fill="DCE6F1"/>
          </w:tcPr>
          <w:p>
            <w:pPr>
              <w:spacing w:lineRule="exact" w:line="360" w:before="0" w:after="0"/>
              <w:jc w:val="center"/>
              <w:adjustRightInd w:val="0"/>
              <w:snapToGrid w:val="0"/>
            </w:pPr>
            <w:r>
              <w:rPr>
                <w:rFonts w:ascii="黑体" w:hAnsi="黑体" w:eastAsia="黑体" w:cs="黑体"/>
                <w:b w:val="0"/>
                <w:sz w:val="18"/>
              </w:rPr>
              <w:t>建设目标</w:t>
            </w:r>
          </w:p>
        </w:tc>
        <w:tc>
          <w:tcPr>
            <w:tcW w:type="dxa" w:w="2835"/>
            <w:vAlign w:val="center"/>
            <w:shd w:val="clear" w:color="auto" w:fill="DCE6F1"/>
          </w:tcPr>
          <w:p>
            <w:pPr>
              <w:spacing w:lineRule="exact" w:line="360" w:before="0" w:after="0"/>
              <w:jc w:val="center"/>
              <w:adjustRightInd w:val="0"/>
              <w:snapToGrid w:val="0"/>
            </w:pPr>
            <w:r>
              <w:rPr>
                <w:rFonts w:ascii="黑体" w:hAnsi="黑体" w:eastAsia="黑体" w:cs="黑体"/>
                <w:b w:val="0"/>
                <w:sz w:val="18"/>
              </w:rPr>
              <w:t>关键任务</w:t>
            </w:r>
          </w:p>
        </w:tc>
        <w:tc>
          <w:tcPr>
            <w:tcW w:type="dxa" w:w="1701"/>
            <w:vAlign w:val="center"/>
            <w:shd w:val="clear" w:color="auto" w:fill="DCE6F1"/>
          </w:tcPr>
          <w:p>
            <w:pPr>
              <w:spacing w:lineRule="exact" w:line="360" w:before="0" w:after="0"/>
              <w:jc w:val="center"/>
              <w:adjustRightInd w:val="0"/>
              <w:snapToGrid w:val="0"/>
            </w:pPr>
            <w:r>
              <w:rPr>
                <w:rFonts w:ascii="黑体" w:hAnsi="黑体" w:eastAsia="黑体" w:cs="黑体"/>
                <w:b w:val="0"/>
                <w:sz w:val="18"/>
              </w:rPr>
              <w:t>阶段交付物</w:t>
            </w:r>
          </w:p>
        </w:tc>
      </w:tr>
      <w:tr>
        <w:tc>
          <w:tcPr>
            <w:tcW w:type="dxa" w:w="907"/>
            <w:vAlign w:val="center"/>
          </w:tcPr>
          <w:p>
            <w:pPr>
              <w:spacing w:lineRule="exact" w:line="340" w:before="0" w:after="0"/>
              <w:jc w:val="center"/>
              <w:adjustRightInd w:val="0"/>
              <w:snapToGrid w:val="0"/>
            </w:pPr>
            <w:r>
              <w:rPr>
                <w:rFonts w:ascii="仿宋" w:hAnsi="仿宋" w:eastAsia="仿宋" w:cs="仿宋"/>
                <w:b w:val="0"/>
                <w:sz w:val="18"/>
              </w:rPr>
              <w:t>第一阶段</w:t>
            </w:r>
          </w:p>
        </w:tc>
        <w:tc>
          <w:tcPr>
            <w:tcW w:type="dxa" w:w="1020"/>
            <w:vAlign w:val="center"/>
          </w:tcPr>
          <w:p>
            <w:pPr>
              <w:spacing w:lineRule="exact" w:line="340" w:before="0" w:after="0"/>
              <w:jc w:val="left"/>
              <w:adjustRightInd w:val="0"/>
              <w:snapToGrid w:val="0"/>
            </w:pPr>
            <w:r>
              <w:rPr>
                <w:rFonts w:ascii="仿宋" w:hAnsi="仿宋" w:eastAsia="仿宋" w:cs="仿宋"/>
                <w:b w:val="0"/>
                <w:sz w:val="18"/>
              </w:rPr>
              <w:t>第 1–2 月</w:t>
            </w:r>
          </w:p>
        </w:tc>
        <w:tc>
          <w:tcPr>
            <w:tcW w:type="dxa" w:w="1587"/>
            <w:vAlign w:val="center"/>
          </w:tcPr>
          <w:p>
            <w:pPr>
              <w:spacing w:lineRule="exact" w:line="340" w:before="0" w:after="0"/>
              <w:jc w:val="left"/>
              <w:adjustRightInd w:val="0"/>
              <w:snapToGrid w:val="0"/>
            </w:pPr>
            <w:r>
              <w:rPr>
                <w:rFonts w:ascii="仿宋" w:hAnsi="仿宋" w:eastAsia="仿宋" w:cs="仿宋"/>
                <w:b w:val="0"/>
                <w:sz w:val="18"/>
              </w:rPr>
              <w:t>核心业务算法落地</w:t>
            </w:r>
          </w:p>
        </w:tc>
        <w:tc>
          <w:tcPr>
            <w:tcW w:type="dxa" w:w="2835"/>
            <w:vAlign w:val="center"/>
          </w:tcPr>
          <w:p>
            <w:pPr>
              <w:spacing w:lineRule="exact" w:line="340" w:before="0" w:after="0"/>
              <w:jc w:val="left"/>
              <w:adjustRightInd w:val="0"/>
              <w:snapToGrid w:val="0"/>
            </w:pPr>
            <w:r>
              <w:rPr>
                <w:rFonts w:ascii="仿宋" w:hAnsi="仿宋" w:eastAsia="仿宋" w:cs="仿宋"/>
                <w:b w:val="0"/>
                <w:sz w:val="18"/>
              </w:rPr>
              <w:t>排课冲突求解与教室智能匹配；选课规则引擎、多轮次与抽签；考务座位与监考编排；成绩复核回写与统计/评教聚合</w:t>
            </w:r>
          </w:p>
        </w:tc>
        <w:tc>
          <w:tcPr>
            <w:tcW w:type="dxa" w:w="1701"/>
            <w:vAlign w:val="center"/>
          </w:tcPr>
          <w:p>
            <w:pPr>
              <w:spacing w:lineRule="exact" w:line="340" w:before="0" w:after="0"/>
              <w:jc w:val="left"/>
              <w:adjustRightInd w:val="0"/>
              <w:snapToGrid w:val="0"/>
            </w:pPr>
            <w:r>
              <w:rPr>
                <w:rFonts w:ascii="仿宋" w:hAnsi="仿宋" w:eastAsia="仿宋" w:cs="仿宋"/>
                <w:b w:val="0"/>
                <w:sz w:val="18"/>
              </w:rPr>
              <w:t>可用排课/选课/考务引擎；成绩与评教聚合服务</w:t>
            </w:r>
          </w:p>
        </w:tc>
      </w:tr>
      <w:tr>
        <w:tc>
          <w:tcPr>
            <w:tcW w:type="dxa" w:w="907"/>
            <w:vAlign w:val="center"/>
          </w:tcPr>
          <w:p>
            <w:pPr>
              <w:spacing w:lineRule="exact" w:line="340" w:before="0" w:after="0"/>
              <w:jc w:val="center"/>
              <w:adjustRightInd w:val="0"/>
              <w:snapToGrid w:val="0"/>
            </w:pPr>
            <w:r>
              <w:rPr>
                <w:rFonts w:ascii="仿宋" w:hAnsi="仿宋" w:eastAsia="仿宋" w:cs="仿宋"/>
                <w:b w:val="0"/>
                <w:sz w:val="18"/>
              </w:rPr>
              <w:t>第二阶段</w:t>
            </w:r>
          </w:p>
        </w:tc>
        <w:tc>
          <w:tcPr>
            <w:tcW w:type="dxa" w:w="1020"/>
            <w:vAlign w:val="center"/>
          </w:tcPr>
          <w:p>
            <w:pPr>
              <w:spacing w:lineRule="exact" w:line="340" w:before="0" w:after="0"/>
              <w:jc w:val="left"/>
              <w:adjustRightInd w:val="0"/>
              <w:snapToGrid w:val="0"/>
            </w:pPr>
            <w:r>
              <w:rPr>
                <w:rFonts w:ascii="仿宋" w:hAnsi="仿宋" w:eastAsia="仿宋" w:cs="仿宋"/>
                <w:b w:val="0"/>
                <w:sz w:val="18"/>
              </w:rPr>
              <w:t>第 2–3 月</w:t>
            </w:r>
          </w:p>
        </w:tc>
        <w:tc>
          <w:tcPr>
            <w:tcW w:type="dxa" w:w="1587"/>
            <w:vAlign w:val="center"/>
          </w:tcPr>
          <w:p>
            <w:pPr>
              <w:spacing w:lineRule="exact" w:line="340" w:before="0" w:after="0"/>
              <w:jc w:val="left"/>
              <w:adjustRightInd w:val="0"/>
              <w:snapToGrid w:val="0"/>
            </w:pPr>
            <w:r>
              <w:rPr>
                <w:rFonts w:ascii="仿宋" w:hAnsi="仿宋" w:eastAsia="仿宋" w:cs="仿宋"/>
                <w:b w:val="0"/>
                <w:sz w:val="18"/>
              </w:rPr>
              <w:t>流程自动化与数据集成</w:t>
            </w:r>
          </w:p>
        </w:tc>
        <w:tc>
          <w:tcPr>
            <w:tcW w:type="dxa" w:w="2835"/>
            <w:vAlign w:val="center"/>
          </w:tcPr>
          <w:p>
            <w:pPr>
              <w:spacing w:lineRule="exact" w:line="340" w:before="0" w:after="0"/>
              <w:jc w:val="left"/>
              <w:adjustRightInd w:val="0"/>
              <w:snapToGrid w:val="0"/>
            </w:pPr>
            <w:r>
              <w:rPr>
                <w:rFonts w:ascii="仿宋" w:hAnsi="仿宋" w:eastAsia="仿宋" w:cs="仿宋"/>
                <w:b w:val="0"/>
                <w:sz w:val="18"/>
              </w:rPr>
              <w:t>OA 多流程模板与自审批漏洞修复；DIS 执行引擎（HTTP 客户端、重试、对账）；SAM 出勤预警与毕业/学位自动校验；门户 CMS/搜索增强</w:t>
            </w:r>
          </w:p>
        </w:tc>
        <w:tc>
          <w:tcPr>
            <w:tcW w:type="dxa" w:w="1701"/>
            <w:vAlign w:val="center"/>
          </w:tcPr>
          <w:p>
            <w:pPr>
              <w:spacing w:lineRule="exact" w:line="340" w:before="0" w:after="0"/>
              <w:jc w:val="left"/>
              <w:adjustRightInd w:val="0"/>
              <w:snapToGrid w:val="0"/>
            </w:pPr>
            <w:r>
              <w:rPr>
                <w:rFonts w:ascii="仿宋" w:hAnsi="仿宋" w:eastAsia="仿宋" w:cs="仿宋"/>
                <w:b w:val="0"/>
                <w:sz w:val="18"/>
              </w:rPr>
              <w:t>流程中心；数据集成运行态；预警补全</w:t>
            </w:r>
          </w:p>
        </w:tc>
      </w:tr>
      <w:tr>
        <w:tc>
          <w:tcPr>
            <w:tcW w:type="dxa" w:w="907"/>
            <w:vAlign w:val="center"/>
          </w:tcPr>
          <w:p>
            <w:pPr>
              <w:spacing w:lineRule="exact" w:line="340" w:before="0" w:after="0"/>
              <w:jc w:val="center"/>
              <w:adjustRightInd w:val="0"/>
              <w:snapToGrid w:val="0"/>
            </w:pPr>
            <w:r>
              <w:rPr>
                <w:rFonts w:ascii="仿宋" w:hAnsi="仿宋" w:eastAsia="仿宋" w:cs="仿宋"/>
                <w:b w:val="0"/>
                <w:sz w:val="18"/>
              </w:rPr>
              <w:t>第三阶段</w:t>
            </w:r>
          </w:p>
        </w:tc>
        <w:tc>
          <w:tcPr>
            <w:tcW w:type="dxa" w:w="1020"/>
            <w:vAlign w:val="center"/>
          </w:tcPr>
          <w:p>
            <w:pPr>
              <w:spacing w:lineRule="exact" w:line="340" w:before="0" w:after="0"/>
              <w:jc w:val="left"/>
              <w:adjustRightInd w:val="0"/>
              <w:snapToGrid w:val="0"/>
            </w:pPr>
            <w:r>
              <w:rPr>
                <w:rFonts w:ascii="仿宋" w:hAnsi="仿宋" w:eastAsia="仿宋" w:cs="仿宋"/>
                <w:b w:val="0"/>
                <w:sz w:val="18"/>
              </w:rPr>
              <w:t>第 3–4 月</w:t>
            </w:r>
          </w:p>
        </w:tc>
        <w:tc>
          <w:tcPr>
            <w:tcW w:type="dxa" w:w="1587"/>
            <w:vAlign w:val="center"/>
          </w:tcPr>
          <w:p>
            <w:pPr>
              <w:spacing w:lineRule="exact" w:line="340" w:before="0" w:after="0"/>
              <w:jc w:val="left"/>
              <w:adjustRightInd w:val="0"/>
              <w:snapToGrid w:val="0"/>
            </w:pPr>
            <w:r>
              <w:rPr>
                <w:rFonts w:ascii="仿宋" w:hAnsi="仿宋" w:eastAsia="仿宋" w:cs="仿宋"/>
                <w:b w:val="0"/>
                <w:sz w:val="18"/>
              </w:rPr>
              <w:t>智能化升级与数据治理</w:t>
            </w:r>
          </w:p>
        </w:tc>
        <w:tc>
          <w:tcPr>
            <w:tcW w:type="dxa" w:w="2835"/>
            <w:vAlign w:val="center"/>
          </w:tcPr>
          <w:p>
            <w:pPr>
              <w:spacing w:lineRule="exact" w:line="340" w:before="0" w:after="0"/>
              <w:jc w:val="left"/>
              <w:adjustRightInd w:val="0"/>
              <w:snapToGrid w:val="0"/>
            </w:pPr>
            <w:r>
              <w:rPr>
                <w:rFonts w:ascii="仿宋" w:hAnsi="仿宋" w:eastAsia="仿宋" w:cs="仿宋"/>
                <w:b w:val="0"/>
                <w:sz w:val="18"/>
              </w:rPr>
              <w:t>学业预警模型升级、智能选课推荐；索引补全、menu_id 冲突修复、del_flag 统一、字符集统一；数据中台雏形</w:t>
            </w:r>
          </w:p>
        </w:tc>
        <w:tc>
          <w:tcPr>
            <w:tcW w:type="dxa" w:w="1701"/>
            <w:vAlign w:val="center"/>
          </w:tcPr>
          <w:p>
            <w:pPr>
              <w:spacing w:lineRule="exact" w:line="340" w:before="0" w:after="0"/>
              <w:jc w:val="left"/>
              <w:adjustRightInd w:val="0"/>
              <w:snapToGrid w:val="0"/>
            </w:pPr>
            <w:r>
              <w:rPr>
                <w:rFonts w:ascii="仿宋" w:hAnsi="仿宋" w:eastAsia="仿宋" w:cs="仿宋"/>
                <w:b w:val="0"/>
                <w:sz w:val="18"/>
              </w:rPr>
              <w:t>数据治理报告；智能化增值能力；数据中台 MVP</w:t>
            </w:r>
          </w:p>
        </w:tc>
      </w:tr>
      <w:tr>
        <w:tc>
          <w:tcPr>
            <w:tcW w:type="dxa" w:w="907"/>
            <w:vAlign w:val="center"/>
          </w:tcPr>
          <w:p>
            <w:pPr>
              <w:spacing w:lineRule="exact" w:line="340" w:before="0" w:after="0"/>
              <w:jc w:val="center"/>
              <w:adjustRightInd w:val="0"/>
              <w:snapToGrid w:val="0"/>
            </w:pPr>
            <w:r>
              <w:rPr>
                <w:rFonts w:ascii="仿宋" w:hAnsi="仿宋" w:eastAsia="仿宋" w:cs="仿宋"/>
                <w:b w:val="0"/>
                <w:sz w:val="18"/>
              </w:rPr>
              <w:t>第四阶段</w:t>
            </w:r>
          </w:p>
        </w:tc>
        <w:tc>
          <w:tcPr>
            <w:tcW w:type="dxa" w:w="1020"/>
            <w:vAlign w:val="center"/>
          </w:tcPr>
          <w:p>
            <w:pPr>
              <w:spacing w:lineRule="exact" w:line="340" w:before="0" w:after="0"/>
              <w:jc w:val="left"/>
              <w:adjustRightInd w:val="0"/>
              <w:snapToGrid w:val="0"/>
            </w:pPr>
            <w:r>
              <w:rPr>
                <w:rFonts w:ascii="仿宋" w:hAnsi="仿宋" w:eastAsia="仿宋" w:cs="仿宋"/>
                <w:b w:val="0"/>
                <w:sz w:val="18"/>
              </w:rPr>
              <w:t>第 4–6 月</w:t>
            </w:r>
          </w:p>
        </w:tc>
        <w:tc>
          <w:tcPr>
            <w:tcW w:type="dxa" w:w="1587"/>
            <w:vAlign w:val="center"/>
          </w:tcPr>
          <w:p>
            <w:pPr>
              <w:spacing w:lineRule="exact" w:line="340" w:before="0" w:after="0"/>
              <w:jc w:val="left"/>
              <w:adjustRightInd w:val="0"/>
              <w:snapToGrid w:val="0"/>
            </w:pPr>
            <w:r>
              <w:rPr>
                <w:rFonts w:ascii="仿宋" w:hAnsi="仿宋" w:eastAsia="仿宋" w:cs="仿宋"/>
                <w:b w:val="0"/>
                <w:sz w:val="18"/>
              </w:rPr>
              <w:t>质量合规与信创适配</w:t>
            </w:r>
          </w:p>
        </w:tc>
        <w:tc>
          <w:tcPr>
            <w:tcW w:type="dxa" w:w="2835"/>
            <w:vAlign w:val="center"/>
          </w:tcPr>
          <w:p>
            <w:pPr>
              <w:spacing w:lineRule="exact" w:line="340" w:before="0" w:after="0"/>
              <w:jc w:val="left"/>
              <w:adjustRightInd w:val="0"/>
              <w:snapToGrid w:val="0"/>
            </w:pPr>
            <w:r>
              <w:rPr>
                <w:rFonts w:ascii="仿宋" w:hAnsi="仿宋" w:eastAsia="仿宋" w:cs="仿宋"/>
                <w:b w:val="0"/>
                <w:sz w:val="18"/>
              </w:rPr>
              <w:t>等保二级/三级合规落地；选课高并发压测演练；信创适配评估；移动端/小程序延伸；文档与培训</w:t>
            </w:r>
          </w:p>
        </w:tc>
        <w:tc>
          <w:tcPr>
            <w:tcW w:type="dxa" w:w="1701"/>
            <w:vAlign w:val="center"/>
          </w:tcPr>
          <w:p>
            <w:pPr>
              <w:spacing w:lineRule="exact" w:line="340" w:before="0" w:after="0"/>
              <w:jc w:val="left"/>
              <w:adjustRightInd w:val="0"/>
              <w:snapToGrid w:val="0"/>
            </w:pPr>
            <w:r>
              <w:rPr>
                <w:rFonts w:ascii="仿宋" w:hAnsi="仿宋" w:eastAsia="仿宋" w:cs="仿宋"/>
                <w:b w:val="0"/>
                <w:sz w:val="18"/>
              </w:rPr>
              <w:t>等保测评材料；压测报告；信创适配方案</w:t>
            </w:r>
          </w:p>
        </w:tc>
      </w:tr>
    </w:tbl>
    <w:p>
      <w:pPr>
        <w:spacing w:lineRule="exact" w:line="160" w:before="0" w:after="0"/>
        <w:adjustRightInd w:val="0"/>
        <w:snapToGrid w:val="0"/>
      </w:pP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第一阶段　核心业务算法落地（第 1–2 月）</w:t>
      </w:r>
    </w:p>
    <w:p>
      <w:pPr>
        <w:spacing w:lineRule="exact" w:line="560" w:before="0" w:after="0"/>
        <w:ind w:firstLine="640"/>
        <w:jc w:val="both"/>
        <w:adjustRightInd w:val="0"/>
        <w:snapToGrid w:val="0"/>
      </w:pPr>
      <w:r>
        <w:rPr>
          <w:rFonts w:ascii="仿宋" w:hAnsi="仿宋" w:eastAsia="仿宋" w:cs="仿宋"/>
          <w:b w:val="0"/>
          <w:sz w:val="32"/>
        </w:rPr>
        <w:t>本阶段聚焦“骨架转产能”。排课引擎补全教师时间、班级时间、教室容量三维约束的冲突检测与回溯求解，并完善教室智能匹配；选课引擎落地轮次状态机、多维规则引擎与超容量抽签算法，将学分上限改为读取配置项；考务实现座位编排与监考智能派发及冲突回避；成绩与评教补齐复核回写、统计聚合与结果聚合。</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第二阶段　流程自动化与数据集成（第 2–3 月）</w:t>
      </w:r>
    </w:p>
    <w:p>
      <w:pPr>
        <w:spacing w:lineRule="exact" w:line="560" w:before="0" w:after="0"/>
        <w:ind w:firstLine="640"/>
        <w:jc w:val="both"/>
        <w:adjustRightInd w:val="0"/>
        <w:snapToGrid w:val="0"/>
      </w:pPr>
      <w:r>
        <w:rPr>
          <w:rFonts w:ascii="仿宋" w:hAnsi="仿宋" w:eastAsia="仿宋" w:cs="仿宋"/>
          <w:b w:val="0"/>
          <w:sz w:val="32"/>
        </w:rPr>
        <w:t>本阶段打通“流程与数据”。OA 扩展公文、会议、审批等多类 BPMN 模板并修复自审批缺陷，引入会签与退回规范；DIS 建设具备 HTTP 调用、失败重试、增量/全量同步与对账能力的执行引擎；SAM 补全出勤预警并构建毕业/学位条件自动校验；门户 CMS 与全文搜索增强师生信息服务质量。</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第三阶段　智能化升级与数据治理（第 3–4 月）</w:t>
      </w:r>
    </w:p>
    <w:p>
      <w:pPr>
        <w:spacing w:lineRule="exact" w:line="560" w:before="0" w:after="0"/>
        <w:ind w:firstLine="640"/>
        <w:jc w:val="both"/>
        <w:adjustRightInd w:val="0"/>
        <w:snapToGrid w:val="0"/>
      </w:pPr>
      <w:r>
        <w:rPr>
          <w:rFonts w:ascii="仿宋" w:hAnsi="仿宋" w:eastAsia="仿宋" w:cs="仿宋"/>
          <w:b w:val="0"/>
          <w:sz w:val="32"/>
        </w:rPr>
        <w:t>本阶段做“提智与夯基”。在既有 GPA/学分预警基础上，引入多维学业预警模型与个性化选课推荐；同步开展系统性数据治理——补充高频查询索引、修复 menu_id 冲突、统一 del_flag 软删除约定、统一字符集，并搭建统一数据标准与血缘可追溯的数据中台雏形。</w:t>
      </w:r>
    </w:p>
    <w:p>
      <w:pPr>
        <w:pStyle w:val="Heading2"/>
        <w:keepNext/>
        <w:keepLines/>
        <w:spacing w:lineRule="exact" w:line="600" w:before="120" w:after="60"/>
        <w:ind w:firstLine="640"/>
        <w:jc w:val="left"/>
        <w:adjustRightInd w:val="0"/>
        <w:snapToGrid w:val="0"/>
      </w:pPr>
      <w:r>
        <w:rPr>
          <w:rFonts w:ascii="楷体" w:hAnsi="楷体" w:eastAsia="楷体" w:cs="楷体"/>
          <w:b/>
          <w:color w:val="000000"/>
          <w:sz w:val="32"/>
        </w:rPr>
        <w:t>第四阶段　质量合规与信创适配（第 4–6 月）</w:t>
      </w:r>
    </w:p>
    <w:p>
      <w:pPr>
        <w:spacing w:lineRule="exact" w:line="560" w:before="0" w:after="0"/>
        <w:ind w:firstLine="640"/>
        <w:jc w:val="both"/>
        <w:adjustRightInd w:val="0"/>
        <w:snapToGrid w:val="0"/>
      </w:pPr>
      <w:r>
        <w:rPr>
          <w:rFonts w:ascii="仿宋" w:hAnsi="仿宋" w:eastAsia="仿宋" w:cs="仿宋"/>
          <w:b w:val="0"/>
          <w:sz w:val="32"/>
        </w:rPr>
        <w:t>本阶段求“稳与远”。依据等保基本要求开展合规整改与测评准备；对选课峰值场景进行高并发压测与容量演练；评估国产数据库、中间件、操作系统的适配改造成本，形成信创演进路线；将门户能力向小程序或原生应用延伸；完成全套文档归档与用户培训。</w:t>
      </w: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五、重点工程任务分解</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（一）智能排课引擎</w:t>
      </w:r>
    </w:p>
    <w:p>
      <w:pPr>
        <w:spacing w:lineRule="exact" w:line="560" w:before="0" w:after="0"/>
        <w:ind w:firstLine="640"/>
        <w:jc w:val="both"/>
        <w:adjustRightInd w:val="0"/>
        <w:snapToGrid w:val="0"/>
      </w:pPr>
      <w:r>
        <w:rPr>
          <w:rFonts w:ascii="仿宋" w:hAnsi="仿宋" w:eastAsia="仿宋" w:cs="仿宋"/>
          <w:b w:val="0"/>
          <w:sz w:val="32"/>
        </w:rPr>
        <w:t>基于 ScheduleOptimizationServiceImpl 现有最佳适配分配，引入约束满足（CSP）或遗传/启发式求解器，实现教师、班级、教室三维硬约束校验与软约束优化（如连堂、午休、跨校区距离），输出无冲突课表与冲突报告，并支持手动微调后自动复检。</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（二）选课规则引擎与高并发</w:t>
      </w:r>
    </w:p>
    <w:p>
      <w:pPr>
        <w:spacing w:lineRule="exact" w:line="560" w:before="0" w:after="0"/>
        <w:ind w:firstLine="640"/>
        <w:jc w:val="both"/>
        <w:adjustRightInd w:val="0"/>
        <w:snapToGrid w:val="0"/>
      </w:pPr>
      <w:r>
        <w:rPr>
          <w:rFonts w:ascii="仿宋" w:hAnsi="仿宋" w:eastAsia="仿宋" w:cs="仿宋"/>
          <w:b w:val="0"/>
          <w:sz w:val="32"/>
        </w:rPr>
        <w:t>设计轮次状态机（未开始/进行中/抽签中/已结束）与多维规则引擎（专业、年级、先修、人数、冲突检测），超容量课程采用公平抽签；以 Redis 原子扣减保证课余量一致性，配合令牌桶限流与熔断，保障选课峰值下的稳定与公平。</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（三）考务智能编排</w:t>
      </w:r>
    </w:p>
    <w:p>
      <w:pPr>
        <w:spacing w:lineRule="exact" w:line="560" w:before="0" w:after="0"/>
        <w:ind w:firstLine="640"/>
        <w:jc w:val="both"/>
        <w:adjustRightInd w:val="0"/>
        <w:snapToGrid w:val="0"/>
      </w:pPr>
      <w:r>
        <w:rPr>
          <w:rFonts w:ascii="仿宋" w:hAnsi="仿宋" w:eastAsia="仿宋" w:cs="仿宋"/>
          <w:b w:val="0"/>
          <w:sz w:val="32"/>
        </w:rPr>
        <w:t>依据考试安排自动生成考场座位（按学号/随机，并保证同考场考生错开相邻座位），智能派发监考并回避同一教师多场时间冲突，输出座位标签与监考任务单。</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（四）成绩与评教聚合</w:t>
      </w:r>
    </w:p>
    <w:p>
      <w:pPr>
        <w:spacing w:lineRule="exact" w:line="560" w:before="0" w:after="0"/>
        <w:ind w:firstLine="640"/>
        <w:jc w:val="both"/>
        <w:adjustRightInd w:val="0"/>
        <w:snapToGrid w:val="0"/>
      </w:pPr>
      <w:r>
        <w:rPr>
          <w:rFonts w:ascii="仿宋" w:hAnsi="仿宋" w:eastAsia="仿宋" w:cs="仿宋"/>
          <w:b w:val="0"/>
          <w:sz w:val="32"/>
        </w:rPr>
        <w:t>成绩复核审核通过后回写成绩并触发 GPA 重算；按课程/班级/学期聚合最高分、最低分、平均分、及格率、优秀率；评教按教师/课程/院系聚合统计并落实匿名保护。</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（五）学业预警补全</w:t>
      </w:r>
    </w:p>
    <w:p>
      <w:pPr>
        <w:spacing w:lineRule="exact" w:line="560" w:before="0" w:after="0"/>
        <w:ind w:firstLine="640"/>
        <w:jc w:val="both"/>
        <w:adjustRightInd w:val="0"/>
        <w:snapToGrid w:val="0"/>
      </w:pPr>
      <w:r>
        <w:rPr>
          <w:rFonts w:ascii="仿宋" w:hAnsi="仿宋" w:eastAsia="仿宋" w:cs="仿宋"/>
          <w:b w:val="0"/>
          <w:sz w:val="32"/>
        </w:rPr>
        <w:t>补全 ATTENDANCE_LOW 出勤预警（对接考勤数据），联动 GPA_LOW、CREDIT_LOW 形成综合预警；将学业预警定时任务（每日 02:00、批量 200）纳入常态化调度并补充失败告警；毕业/学位审核由人工校验升级为自动条件校验加人工确认。</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（六）流程与集成补齐</w:t>
      </w:r>
    </w:p>
    <w:p>
      <w:pPr>
        <w:spacing w:lineRule="exact" w:line="560" w:before="0" w:after="0"/>
        <w:ind w:firstLine="640"/>
        <w:jc w:val="both"/>
        <w:adjustRightInd w:val="0"/>
        <w:snapToGrid w:val="0"/>
      </w:pPr>
      <w:r>
        <w:rPr>
          <w:rFonts w:ascii="仿宋" w:hAnsi="仿宋" w:eastAsia="仿宋" w:cs="仿宋"/>
          <w:b w:val="0"/>
          <w:sz w:val="32"/>
        </w:rPr>
        <w:t>OA 建设多流程模板并修复自审批漏洞；DIS 执行引擎实现外部系统（GRADUATE/FINANCE/CARD/AUTH）的真实数据交换、重试与对账，使数据集成由“配置态”进入“运行态”。</w:t>
      </w:r>
    </w:p>
    <w:p>
      <w:pPr>
        <w:pStyle w:val="Heading3"/>
        <w:keepNext/>
        <w:keepLines/>
        <w:spacing w:lineRule="exact" w:line="560" w:before="60" w:after="0"/>
        <w:ind w:firstLine="640"/>
        <w:jc w:val="left"/>
        <w:adjustRightInd w:val="0"/>
        <w:snapToGrid w:val="0"/>
      </w:pPr>
      <w:r>
        <w:rPr>
          <w:rFonts w:ascii="仿宋" w:hAnsi="仿宋" w:eastAsia="仿宋" w:cs="仿宋"/>
          <w:b/>
          <w:color w:val="000000"/>
          <w:sz w:val="32"/>
        </w:rPr>
        <w:t>（七）数据治理</w:t>
      </w:r>
    </w:p>
    <w:p>
      <w:pPr>
        <w:spacing w:lineRule="exact" w:line="560" w:before="0" w:after="0"/>
        <w:ind w:firstLine="640"/>
        <w:jc w:val="both"/>
        <w:adjustRightInd w:val="0"/>
        <w:snapToGrid w:val="0"/>
      </w:pPr>
      <w:r>
        <w:rPr>
          <w:rFonts w:ascii="仿宋" w:hAnsi="仿宋" w:eastAsia="仿宋" w:cs="仿宋"/>
          <w:b w:val="0"/>
          <w:sz w:val="32"/>
        </w:rPr>
        <w:t>梳理高频查询与联表路径补充索引；统一 del_flag 软删除约定并全表落地；修复 menu_id 2600 冲突；统一数据库与 Flowable 字符集为 utf8mb4/utf8mb4_bin；建立数据字典与变更规范。</w:t>
      </w: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六、里程碑与交付计划</w:t>
      </w:r>
    </w:p>
    <w:p>
      <w:pPr>
        <w:keepNext/>
        <w:keepLines/>
        <w:spacing w:lineRule="exact" w:line="480" w:before="120" w:after="0"/>
        <w:jc w:val="center"/>
        <w:adjustRightInd w:val="0"/>
        <w:snapToGrid w:val="0"/>
      </w:pPr>
      <w:r>
        <w:rPr>
          <w:rFonts w:ascii="黑体" w:hAnsi="黑体" w:eastAsia="黑体" w:cs="黑体"/>
          <w:b w:val="0"/>
          <w:sz w:val="24"/>
        </w:rPr>
        <w:t>表6-1　关键里程碑与准入标准</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1361"/>
            <w:vAlign w:val="center"/>
            <w:shd w:val="clear" w:color="auto" w:fill="DCE6F1"/>
          </w:tcPr>
          <w:p>
            <w:pPr>
              <w:spacing w:lineRule="exact" w:line="360" w:before="0" w:after="0"/>
              <w:jc w:val="center"/>
              <w:adjustRightInd w:val="0"/>
              <w:snapToGrid w:val="0"/>
            </w:pPr>
            <w:r>
              <w:rPr>
                <w:rFonts w:ascii="黑体" w:hAnsi="黑体" w:eastAsia="黑体" w:cs="黑体"/>
                <w:b w:val="0"/>
                <w:sz w:val="18"/>
              </w:rPr>
              <w:t>里程碑</w:t>
            </w:r>
          </w:p>
        </w:tc>
        <w:tc>
          <w:tcPr>
            <w:tcW w:type="dxa" w:w="1247"/>
            <w:vAlign w:val="center"/>
            <w:shd w:val="clear" w:color="auto" w:fill="DCE6F1"/>
          </w:tcPr>
          <w:p>
            <w:pPr>
              <w:spacing w:lineRule="exact" w:line="360" w:before="0" w:after="0"/>
              <w:jc w:val="center"/>
              <w:adjustRightInd w:val="0"/>
              <w:snapToGrid w:val="0"/>
            </w:pPr>
            <w:r>
              <w:rPr>
                <w:rFonts w:ascii="黑体" w:hAnsi="黑体" w:eastAsia="黑体" w:cs="黑体"/>
                <w:b w:val="0"/>
                <w:sz w:val="18"/>
              </w:rPr>
              <w:t>时间节点</w:t>
            </w:r>
          </w:p>
        </w:tc>
        <w:tc>
          <w:tcPr>
            <w:tcW w:type="dxa" w:w="3061"/>
            <w:vAlign w:val="center"/>
            <w:shd w:val="clear" w:color="auto" w:fill="DCE6F1"/>
          </w:tcPr>
          <w:p>
            <w:pPr>
              <w:spacing w:lineRule="exact" w:line="360" w:before="0" w:after="0"/>
              <w:jc w:val="center"/>
              <w:adjustRightInd w:val="0"/>
              <w:snapToGrid w:val="0"/>
            </w:pPr>
            <w:r>
              <w:rPr>
                <w:rFonts w:ascii="黑体" w:hAnsi="黑体" w:eastAsia="黑体" w:cs="黑体"/>
                <w:b w:val="0"/>
                <w:sz w:val="18"/>
              </w:rPr>
              <w:t>准入标准</w:t>
            </w:r>
          </w:p>
        </w:tc>
        <w:tc>
          <w:tcPr>
            <w:tcW w:type="dxa" w:w="2381"/>
            <w:vAlign w:val="center"/>
            <w:shd w:val="clear" w:color="auto" w:fill="DCE6F1"/>
          </w:tcPr>
          <w:p>
            <w:pPr>
              <w:spacing w:lineRule="exact" w:line="360" w:before="0" w:after="0"/>
              <w:jc w:val="center"/>
              <w:adjustRightInd w:val="0"/>
              <w:snapToGrid w:val="0"/>
            </w:pPr>
            <w:r>
              <w:rPr>
                <w:rFonts w:ascii="黑体" w:hAnsi="黑体" w:eastAsia="黑体" w:cs="黑体"/>
                <w:b w:val="0"/>
                <w:sz w:val="18"/>
              </w:rPr>
              <w:t>主要交付物</w:t>
            </w:r>
          </w:p>
        </w:tc>
      </w:tr>
      <w:tr>
        <w:tc>
          <w:tcPr>
            <w:tcW w:type="dxa" w:w="1361"/>
            <w:vAlign w:val="center"/>
          </w:tcPr>
          <w:p>
            <w:pPr>
              <w:spacing w:lineRule="exact" w:line="340" w:before="0" w:after="0"/>
              <w:jc w:val="left"/>
              <w:adjustRightInd w:val="0"/>
              <w:snapToGrid w:val="0"/>
            </w:pPr>
            <w:r>
              <w:rPr>
                <w:rFonts w:ascii="仿宋" w:hAnsi="仿宋" w:eastAsia="仿宋" w:cs="仿宋"/>
                <w:b w:val="0"/>
                <w:sz w:val="18"/>
              </w:rPr>
              <w:t>M1 算法可用</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第 2 月末</w:t>
            </w:r>
          </w:p>
        </w:tc>
        <w:tc>
          <w:tcPr>
            <w:tcW w:type="dxa" w:w="3061"/>
            <w:vAlign w:val="center"/>
          </w:tcPr>
          <w:p>
            <w:pPr>
              <w:spacing w:lineRule="exact" w:line="340" w:before="0" w:after="0"/>
              <w:jc w:val="left"/>
              <w:adjustRightInd w:val="0"/>
              <w:snapToGrid w:val="0"/>
            </w:pPr>
            <w:r>
              <w:rPr>
                <w:rFonts w:ascii="仿宋" w:hAnsi="仿宋" w:eastAsia="仿宋" w:cs="仿宋"/>
                <w:b w:val="0"/>
                <w:sz w:val="18"/>
              </w:rPr>
              <w:t>排课/选课/考务核心算法通过单元与场景测试</w:t>
            </w:r>
          </w:p>
        </w:tc>
        <w:tc>
          <w:tcPr>
            <w:tcW w:type="dxa" w:w="2381"/>
            <w:vAlign w:val="center"/>
          </w:tcPr>
          <w:p>
            <w:pPr>
              <w:spacing w:lineRule="exact" w:line="340" w:before="0" w:after="0"/>
              <w:jc w:val="left"/>
              <w:adjustRightInd w:val="0"/>
              <w:snapToGrid w:val="0"/>
            </w:pPr>
            <w:r>
              <w:rPr>
                <w:rFonts w:ascii="仿宋" w:hAnsi="仿宋" w:eastAsia="仿宋" w:cs="仿宋"/>
                <w:b w:val="0"/>
                <w:sz w:val="18"/>
              </w:rPr>
              <w:t>三大引擎 + 聚合服务</w:t>
            </w:r>
          </w:p>
        </w:tc>
      </w:tr>
      <w:tr>
        <w:tc>
          <w:tcPr>
            <w:tcW w:type="dxa" w:w="1361"/>
            <w:vAlign w:val="center"/>
          </w:tcPr>
          <w:p>
            <w:pPr>
              <w:spacing w:lineRule="exact" w:line="340" w:before="0" w:after="0"/>
              <w:jc w:val="left"/>
              <w:adjustRightInd w:val="0"/>
              <w:snapToGrid w:val="0"/>
            </w:pPr>
            <w:r>
              <w:rPr>
                <w:rFonts w:ascii="仿宋" w:hAnsi="仿宋" w:eastAsia="仿宋" w:cs="仿宋"/>
                <w:b w:val="0"/>
                <w:sz w:val="18"/>
              </w:rPr>
              <w:t>M2 流程贯通</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第 3 月末</w:t>
            </w:r>
          </w:p>
        </w:tc>
        <w:tc>
          <w:tcPr>
            <w:tcW w:type="dxa" w:w="3061"/>
            <w:vAlign w:val="center"/>
          </w:tcPr>
          <w:p>
            <w:pPr>
              <w:spacing w:lineRule="exact" w:line="340" w:before="0" w:after="0"/>
              <w:jc w:val="left"/>
              <w:adjustRightInd w:val="0"/>
              <w:snapToGrid w:val="0"/>
            </w:pPr>
            <w:r>
              <w:rPr>
                <w:rFonts w:ascii="仿宋" w:hAnsi="仿宋" w:eastAsia="仿宋" w:cs="仿宋"/>
                <w:b w:val="0"/>
                <w:sz w:val="18"/>
              </w:rPr>
              <w:t>流程与集成完成端到端联调</w:t>
            </w:r>
          </w:p>
        </w:tc>
        <w:tc>
          <w:tcPr>
            <w:tcW w:type="dxa" w:w="2381"/>
            <w:vAlign w:val="center"/>
          </w:tcPr>
          <w:p>
            <w:pPr>
              <w:spacing w:lineRule="exact" w:line="340" w:before="0" w:after="0"/>
              <w:jc w:val="left"/>
              <w:adjustRightInd w:val="0"/>
              <w:snapToGrid w:val="0"/>
            </w:pPr>
            <w:r>
              <w:rPr>
                <w:rFonts w:ascii="仿宋" w:hAnsi="仿宋" w:eastAsia="仿宋" w:cs="仿宋"/>
                <w:b w:val="0"/>
                <w:sz w:val="18"/>
              </w:rPr>
              <w:t>流程中心 + 集成运行态</w:t>
            </w:r>
          </w:p>
        </w:tc>
      </w:tr>
      <w:tr>
        <w:tc>
          <w:tcPr>
            <w:tcW w:type="dxa" w:w="1361"/>
            <w:vAlign w:val="center"/>
          </w:tcPr>
          <w:p>
            <w:pPr>
              <w:spacing w:lineRule="exact" w:line="340" w:before="0" w:after="0"/>
              <w:jc w:val="left"/>
              <w:adjustRightInd w:val="0"/>
              <w:snapToGrid w:val="0"/>
            </w:pPr>
            <w:r>
              <w:rPr>
                <w:rFonts w:ascii="仿宋" w:hAnsi="仿宋" w:eastAsia="仿宋" w:cs="仿宋"/>
                <w:b w:val="0"/>
                <w:sz w:val="18"/>
              </w:rPr>
              <w:t>M3 治理达标</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第 4 月末</w:t>
            </w:r>
          </w:p>
        </w:tc>
        <w:tc>
          <w:tcPr>
            <w:tcW w:type="dxa" w:w="3061"/>
            <w:vAlign w:val="center"/>
          </w:tcPr>
          <w:p>
            <w:pPr>
              <w:spacing w:lineRule="exact" w:line="340" w:before="0" w:after="0"/>
              <w:jc w:val="left"/>
              <w:adjustRightInd w:val="0"/>
              <w:snapToGrid w:val="0"/>
            </w:pPr>
            <w:r>
              <w:rPr>
                <w:rFonts w:ascii="仿宋" w:hAnsi="仿宋" w:eastAsia="仿宋" w:cs="仿宋"/>
                <w:b w:val="0"/>
                <w:sz w:val="18"/>
              </w:rPr>
              <w:t>索引/约定/冲突/字符集治理完成</w:t>
            </w:r>
          </w:p>
        </w:tc>
        <w:tc>
          <w:tcPr>
            <w:tcW w:type="dxa" w:w="2381"/>
            <w:vAlign w:val="center"/>
          </w:tcPr>
          <w:p>
            <w:pPr>
              <w:spacing w:lineRule="exact" w:line="340" w:before="0" w:after="0"/>
              <w:jc w:val="left"/>
              <w:adjustRightInd w:val="0"/>
              <w:snapToGrid w:val="0"/>
            </w:pPr>
            <w:r>
              <w:rPr>
                <w:rFonts w:ascii="仿宋" w:hAnsi="仿宋" w:eastAsia="仿宋" w:cs="仿宋"/>
                <w:b w:val="0"/>
                <w:sz w:val="18"/>
              </w:rPr>
              <w:t>数据治理报告 + 中台 MVP</w:t>
            </w:r>
          </w:p>
        </w:tc>
      </w:tr>
      <w:tr>
        <w:tc>
          <w:tcPr>
            <w:tcW w:type="dxa" w:w="1361"/>
            <w:vAlign w:val="center"/>
          </w:tcPr>
          <w:p>
            <w:pPr>
              <w:spacing w:lineRule="exact" w:line="340" w:before="0" w:after="0"/>
              <w:jc w:val="left"/>
              <w:adjustRightInd w:val="0"/>
              <w:snapToGrid w:val="0"/>
            </w:pPr>
            <w:r>
              <w:rPr>
                <w:rFonts w:ascii="仿宋" w:hAnsi="仿宋" w:eastAsia="仿宋" w:cs="仿宋"/>
                <w:b w:val="0"/>
                <w:sz w:val="18"/>
              </w:rPr>
              <w:t>M4 合规上线</w:t>
            </w:r>
          </w:p>
        </w:tc>
        <w:tc>
          <w:tcPr>
            <w:tcW w:type="dxa" w:w="1247"/>
            <w:vAlign w:val="center"/>
          </w:tcPr>
          <w:p>
            <w:pPr>
              <w:spacing w:lineRule="exact" w:line="340" w:before="0" w:after="0"/>
              <w:jc w:val="center"/>
              <w:adjustRightInd w:val="0"/>
              <w:snapToGrid w:val="0"/>
            </w:pPr>
            <w:r>
              <w:rPr>
                <w:rFonts w:ascii="仿宋" w:hAnsi="仿宋" w:eastAsia="仿宋" w:cs="仿宋"/>
                <w:b w:val="0"/>
                <w:sz w:val="18"/>
              </w:rPr>
              <w:t>第 6 月末</w:t>
            </w:r>
          </w:p>
        </w:tc>
        <w:tc>
          <w:tcPr>
            <w:tcW w:type="dxa" w:w="3061"/>
            <w:vAlign w:val="center"/>
          </w:tcPr>
          <w:p>
            <w:pPr>
              <w:spacing w:lineRule="exact" w:line="340" w:before="0" w:after="0"/>
              <w:jc w:val="left"/>
              <w:adjustRightInd w:val="0"/>
              <w:snapToGrid w:val="0"/>
            </w:pPr>
            <w:r>
              <w:rPr>
                <w:rFonts w:ascii="仿宋" w:hAnsi="仿宋" w:eastAsia="仿宋" w:cs="仿宋"/>
                <w:b w:val="0"/>
                <w:sz w:val="18"/>
              </w:rPr>
              <w:t>通过等保测评准备、压测达标</w:t>
            </w:r>
          </w:p>
        </w:tc>
        <w:tc>
          <w:tcPr>
            <w:tcW w:type="dxa" w:w="2381"/>
            <w:vAlign w:val="center"/>
          </w:tcPr>
          <w:p>
            <w:pPr>
              <w:spacing w:lineRule="exact" w:line="340" w:before="0" w:after="0"/>
              <w:jc w:val="left"/>
              <w:adjustRightInd w:val="0"/>
              <w:snapToGrid w:val="0"/>
            </w:pPr>
            <w:r>
              <w:rPr>
                <w:rFonts w:ascii="仿宋" w:hAnsi="仿宋" w:eastAsia="仿宋" w:cs="仿宋"/>
                <w:b w:val="0"/>
                <w:sz w:val="18"/>
              </w:rPr>
              <w:t>测评材料 + 压测报告 + 信创方案</w:t>
            </w:r>
          </w:p>
        </w:tc>
      </w:tr>
    </w:tbl>
    <w:p>
      <w:pPr>
        <w:spacing w:lineRule="exact" w:line="160" w:before="0" w:after="0"/>
        <w:adjustRightInd w:val="0"/>
        <w:snapToGrid w:val="0"/>
      </w:pP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七、资源保障与组织分工</w:t>
      </w:r>
    </w:p>
    <w:p>
      <w:pPr>
        <w:keepNext/>
        <w:keepLines/>
        <w:spacing w:lineRule="exact" w:line="480" w:before="120" w:after="0"/>
        <w:jc w:val="center"/>
        <w:adjustRightInd w:val="0"/>
        <w:snapToGrid w:val="0"/>
      </w:pPr>
      <w:r>
        <w:rPr>
          <w:rFonts w:ascii="黑体" w:hAnsi="黑体" w:eastAsia="黑体" w:cs="黑体"/>
          <w:b w:val="0"/>
          <w:sz w:val="24"/>
        </w:rPr>
        <w:t>表7-1　组织分工与职责</w:t>
      </w:r>
    </w:p>
    <w:tbl>
      <w:tblPr>
        <w:tblStyle w:val="TableGrid"/>
        <w:tblW w:type="auto" w:w="0"/>
        <w:jc w:val="center"/>
        <w:tblLayout w:type="fixed"/>
        <w:tblLook w:firstColumn="1" w:firstRow="1" w:lastColumn="0" w:lastRow="0" w:noHBand="0" w:noVBand="1" w:val="04A0"/>
      </w:tblPr>
      <w:tblGrid>
        <w:gridCol w:w="4422"/>
        <w:gridCol w:w="4422"/>
      </w:tblGrid>
      <w:tr>
        <w:trPr>
          <w:tblHeader w:val="true"/>
        </w:trPr>
        <w:tc>
          <w:tcPr>
            <w:tcW w:type="dxa" w:w="2268"/>
            <w:vAlign w:val="center"/>
            <w:shd w:val="clear" w:color="auto" w:fill="DCE6F1"/>
          </w:tcPr>
          <w:p>
            <w:pPr>
              <w:spacing w:lineRule="exact" w:line="360" w:before="0" w:after="0"/>
              <w:jc w:val="center"/>
              <w:adjustRightInd w:val="0"/>
              <w:snapToGrid w:val="0"/>
            </w:pPr>
            <w:r>
              <w:rPr>
                <w:rFonts w:ascii="黑体" w:hAnsi="黑体" w:eastAsia="黑体" w:cs="黑体"/>
                <w:b w:val="0"/>
                <w:sz w:val="18"/>
              </w:rPr>
              <w:t>角色/小组</w:t>
            </w:r>
          </w:p>
        </w:tc>
        <w:tc>
          <w:tcPr>
            <w:tcW w:type="dxa" w:w="5669"/>
            <w:vAlign w:val="center"/>
            <w:shd w:val="clear" w:color="auto" w:fill="DCE6F1"/>
          </w:tcPr>
          <w:p>
            <w:pPr>
              <w:spacing w:lineRule="exact" w:line="360" w:before="0" w:after="0"/>
              <w:jc w:val="center"/>
              <w:adjustRightInd w:val="0"/>
              <w:snapToGrid w:val="0"/>
            </w:pPr>
            <w:r>
              <w:rPr>
                <w:rFonts w:ascii="黑体" w:hAnsi="黑体" w:eastAsia="黑体" w:cs="黑体"/>
                <w:b w:val="0"/>
                <w:sz w:val="18"/>
              </w:rPr>
              <w:t>职责</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项目组（研发组）</w:t>
            </w:r>
          </w:p>
        </w:tc>
        <w:tc>
          <w:tcPr>
            <w:tcW w:type="dxa" w:w="5669"/>
            <w:vAlign w:val="center"/>
          </w:tcPr>
          <w:p>
            <w:pPr>
              <w:spacing w:lineRule="exact" w:line="340" w:before="0" w:after="0"/>
              <w:jc w:val="left"/>
              <w:adjustRightInd w:val="0"/>
              <w:snapToGrid w:val="0"/>
            </w:pPr>
            <w:r>
              <w:rPr>
                <w:rFonts w:ascii="仿宋" w:hAnsi="仿宋" w:eastAsia="仿宋" w:cs="仿宋"/>
                <w:b w:val="0"/>
                <w:sz w:val="18"/>
              </w:rPr>
              <w:t>负责算法引擎、流程与集成、数据治理的编码实现与自测</w:t>
            </w:r>
          </w:p>
        </w:tc>
      </w:tr>
      <w:tr>
        <w:tc>
          <w:tcPr>
            <w:tcW w:type="dxa" w:w="2268"/>
            <w:vAlign w:val="center"/>
          </w:tcPr>
          <w:p>
            <w:pPr>
              <w:spacing w:lineRule="exact" w:line="340" w:before="0" w:after="0"/>
              <w:jc w:val="center"/>
              <w:adjustRightInd w:val="0"/>
              <w:snapToGrid w:val="0"/>
            </w:pPr>
            <w:r>
              <w:rPr>
                <w:rFonts w:ascii="仿宋" w:hAnsi="仿宋" w:eastAsia="仿宋" w:cs="仿宋"/>
                <w:b w:val="0"/>
                <w:sz w:val="18"/>
              </w:rPr>
              <w:t>教务处业务方</w:t>
            </w:r>
          </w:p>
        </w:tc>
        <w:tc>
          <w:tcPr>
            <w:tcW w:type="dxa" w:w="5669"/>
            <w:vAlign w:val="center"/>
          </w:tcPr>
          <w:p>
            <w:pPr>
              <w:spacing w:lineRule="exact" w:line="340" w:before="0" w:after="0"/>
              <w:jc w:val="left"/>
              <w:adjustRightInd w:val="0"/>
              <w:snapToGrid w:val="0"/>
            </w:pPr>
            <w:r>
              <w:rPr>
                <w:rFonts w:ascii="仿宋" w:hAnsi="仿宋" w:eastAsia="仿宋" w:cs="仿宋"/>
                <w:b w:val="0"/>
                <w:sz w:val="18"/>
              </w:rPr>
              <w:t>提供业务规则、阈值与流程定义，参与验收与场景评审</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信息化建设办公室</w:t>
            </w:r>
          </w:p>
        </w:tc>
        <w:tc>
          <w:tcPr>
            <w:tcW w:type="dxa" w:w="5669"/>
            <w:vAlign w:val="center"/>
          </w:tcPr>
          <w:p>
            <w:pPr>
              <w:spacing w:lineRule="exact" w:line="340" w:before="0" w:after="0"/>
              <w:jc w:val="left"/>
              <w:adjustRightInd w:val="0"/>
              <w:snapToGrid w:val="0"/>
            </w:pPr>
            <w:r>
              <w:rPr>
                <w:rFonts w:ascii="仿宋" w:hAnsi="仿宋" w:eastAsia="仿宋" w:cs="仿宋"/>
                <w:b w:val="0"/>
                <w:sz w:val="18"/>
              </w:rPr>
              <w:t>统筹计划、协调外部系统对接、组织等保与测评</w:t>
            </w:r>
          </w:p>
        </w:tc>
      </w:tr>
      <w:tr>
        <w:tc>
          <w:tcPr>
            <w:tcW w:type="dxa" w:w="2268"/>
            <w:vAlign w:val="center"/>
          </w:tcPr>
          <w:p>
            <w:pPr>
              <w:spacing w:lineRule="exact" w:line="340" w:before="0" w:after="0"/>
              <w:jc w:val="center"/>
              <w:adjustRightInd w:val="0"/>
              <w:snapToGrid w:val="0"/>
            </w:pPr>
            <w:r>
              <w:rPr>
                <w:rFonts w:ascii="仿宋" w:hAnsi="仿宋" w:eastAsia="仿宋" w:cs="仿宋"/>
                <w:b w:val="0"/>
                <w:sz w:val="18"/>
              </w:rPr>
              <w:t>测试与运维</w:t>
            </w:r>
          </w:p>
        </w:tc>
        <w:tc>
          <w:tcPr>
            <w:tcW w:type="dxa" w:w="5669"/>
            <w:vAlign w:val="center"/>
          </w:tcPr>
          <w:p>
            <w:pPr>
              <w:spacing w:lineRule="exact" w:line="340" w:before="0" w:after="0"/>
              <w:jc w:val="left"/>
              <w:adjustRightInd w:val="0"/>
              <w:snapToGrid w:val="0"/>
            </w:pPr>
            <w:r>
              <w:rPr>
                <w:rFonts w:ascii="仿宋" w:hAnsi="仿宋" w:eastAsia="仿宋" w:cs="仿宋"/>
                <w:b w:val="0"/>
                <w:sz w:val="18"/>
              </w:rPr>
              <w:t>负责高并发压测、等保整改验证、生产部署与监控</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校外/厂商支持</w:t>
            </w:r>
          </w:p>
        </w:tc>
        <w:tc>
          <w:tcPr>
            <w:tcW w:type="dxa" w:w="5669"/>
            <w:vAlign w:val="center"/>
          </w:tcPr>
          <w:p>
            <w:pPr>
              <w:spacing w:lineRule="exact" w:line="340" w:before="0" w:after="0"/>
              <w:jc w:val="left"/>
              <w:adjustRightInd w:val="0"/>
              <w:snapToGrid w:val="0"/>
            </w:pPr>
            <w:r>
              <w:rPr>
                <w:rFonts w:ascii="仿宋" w:hAnsi="仿宋" w:eastAsia="仿宋" w:cs="仿宋"/>
                <w:b w:val="0"/>
                <w:sz w:val="18"/>
              </w:rPr>
              <w:t>必要时提供信创适配、流程引擎深度定制的技术支撑</w:t>
            </w:r>
          </w:p>
        </w:tc>
      </w:tr>
    </w:tbl>
    <w:p>
      <w:pPr>
        <w:spacing w:lineRule="exact" w:line="160" w:before="0" w:after="0"/>
        <w:adjustRightInd w:val="0"/>
        <w:snapToGrid w:val="0"/>
      </w:pP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八、风险分析与应对策略</w:t>
      </w:r>
    </w:p>
    <w:p>
      <w:pPr>
        <w:keepNext/>
        <w:keepLines/>
        <w:spacing w:lineRule="exact" w:line="480" w:before="120" w:after="0"/>
        <w:jc w:val="center"/>
        <w:adjustRightInd w:val="0"/>
        <w:snapToGrid w:val="0"/>
      </w:pPr>
      <w:r>
        <w:rPr>
          <w:rFonts w:ascii="黑体" w:hAnsi="黑体" w:eastAsia="黑体" w:cs="黑体"/>
          <w:b w:val="0"/>
          <w:sz w:val="24"/>
        </w:rPr>
        <w:t>表8-1　风险登记与应对</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2268"/>
            <w:vAlign w:val="center"/>
            <w:shd w:val="clear" w:color="auto" w:fill="DCE6F1"/>
          </w:tcPr>
          <w:p>
            <w:pPr>
              <w:spacing w:lineRule="exact" w:line="360" w:before="0" w:after="0"/>
              <w:jc w:val="center"/>
              <w:adjustRightInd w:val="0"/>
              <w:snapToGrid w:val="0"/>
            </w:pPr>
            <w:r>
              <w:rPr>
                <w:rFonts w:ascii="黑体" w:hAnsi="黑体" w:eastAsia="黑体" w:cs="黑体"/>
                <w:b w:val="0"/>
                <w:sz w:val="18"/>
              </w:rPr>
              <w:t>风险项</w:t>
            </w:r>
          </w:p>
        </w:tc>
        <w:tc>
          <w:tcPr>
            <w:tcW w:type="dxa" w:w="907"/>
            <w:vAlign w:val="center"/>
            <w:shd w:val="clear" w:color="auto" w:fill="DCE6F1"/>
          </w:tcPr>
          <w:p>
            <w:pPr>
              <w:spacing w:lineRule="exact" w:line="360" w:before="0" w:after="0"/>
              <w:jc w:val="center"/>
              <w:adjustRightInd w:val="0"/>
              <w:snapToGrid w:val="0"/>
            </w:pPr>
            <w:r>
              <w:rPr>
                <w:rFonts w:ascii="黑体" w:hAnsi="黑体" w:eastAsia="黑体" w:cs="黑体"/>
                <w:b w:val="0"/>
                <w:sz w:val="18"/>
              </w:rPr>
              <w:t>可能性</w:t>
            </w:r>
          </w:p>
        </w:tc>
        <w:tc>
          <w:tcPr>
            <w:tcW w:type="dxa" w:w="907"/>
            <w:vAlign w:val="center"/>
            <w:shd w:val="clear" w:color="auto" w:fill="DCE6F1"/>
          </w:tcPr>
          <w:p>
            <w:pPr>
              <w:spacing w:lineRule="exact" w:line="360" w:before="0" w:after="0"/>
              <w:jc w:val="center"/>
              <w:adjustRightInd w:val="0"/>
              <w:snapToGrid w:val="0"/>
            </w:pPr>
            <w:r>
              <w:rPr>
                <w:rFonts w:ascii="黑体" w:hAnsi="黑体" w:eastAsia="黑体" w:cs="黑体"/>
                <w:b w:val="0"/>
                <w:sz w:val="18"/>
              </w:rPr>
              <w:t>影响</w:t>
            </w:r>
          </w:p>
        </w:tc>
        <w:tc>
          <w:tcPr>
            <w:tcW w:type="dxa" w:w="3855"/>
            <w:vAlign w:val="center"/>
            <w:shd w:val="clear" w:color="auto" w:fill="DCE6F1"/>
          </w:tcPr>
          <w:p>
            <w:pPr>
              <w:spacing w:lineRule="exact" w:line="360" w:before="0" w:after="0"/>
              <w:jc w:val="center"/>
              <w:adjustRightInd w:val="0"/>
              <w:snapToGrid w:val="0"/>
            </w:pPr>
            <w:r>
              <w:rPr>
                <w:rFonts w:ascii="黑体" w:hAnsi="黑体" w:eastAsia="黑体" w:cs="黑体"/>
                <w:b w:val="0"/>
                <w:sz w:val="18"/>
              </w:rPr>
              <w:t>应对策略</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核心算法复杂度高、工期超预期</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c>
          <w:tcPr>
            <w:tcW w:type="dxa" w:w="3855"/>
            <w:vAlign w:val="center"/>
          </w:tcPr>
          <w:p>
            <w:pPr>
              <w:spacing w:lineRule="exact" w:line="340" w:before="0" w:after="0"/>
              <w:jc w:val="left"/>
              <w:adjustRightInd w:val="0"/>
              <w:snapToGrid w:val="0"/>
            </w:pPr>
            <w:r>
              <w:rPr>
                <w:rFonts w:ascii="仿宋" w:hAnsi="仿宋" w:eastAsia="仿宋" w:cs="仿宋"/>
                <w:b w:val="0"/>
                <w:sz w:val="18"/>
              </w:rPr>
              <w:t>采用分阶段、可演示的增量交付，优先保证最小可用闭环</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选课高并发引发超卖/雪崩</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c>
          <w:tcPr>
            <w:tcW w:type="dxa" w:w="3855"/>
            <w:vAlign w:val="center"/>
          </w:tcPr>
          <w:p>
            <w:pPr>
              <w:spacing w:lineRule="exact" w:line="340" w:before="0" w:after="0"/>
              <w:jc w:val="left"/>
              <w:adjustRightInd w:val="0"/>
              <w:snapToGrid w:val="0"/>
            </w:pPr>
            <w:r>
              <w:rPr>
                <w:rFonts w:ascii="仿宋" w:hAnsi="仿宋" w:eastAsia="仿宋" w:cs="仿宋"/>
                <w:b w:val="0"/>
                <w:sz w:val="18"/>
              </w:rPr>
              <w:t>Redis 原子扣减 + 限流熔断 + 压测演练 + 灰度发布</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数据治理改动引发回归</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3855"/>
            <w:vAlign w:val="center"/>
          </w:tcPr>
          <w:p>
            <w:pPr>
              <w:spacing w:lineRule="exact" w:line="340" w:before="0" w:after="0"/>
              <w:jc w:val="left"/>
              <w:adjustRightInd w:val="0"/>
              <w:snapToGrid w:val="0"/>
            </w:pPr>
            <w:r>
              <w:rPr>
                <w:rFonts w:ascii="仿宋" w:hAnsi="仿宋" w:eastAsia="仿宋" w:cs="仿宋"/>
                <w:b w:val="0"/>
                <w:sz w:val="18"/>
              </w:rPr>
              <w:t>先建索引与约定，配套回归测试与备份，分批上线</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外部系统对接受阻</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3855"/>
            <w:vAlign w:val="center"/>
          </w:tcPr>
          <w:p>
            <w:pPr>
              <w:spacing w:lineRule="exact" w:line="340" w:before="0" w:after="0"/>
              <w:jc w:val="left"/>
              <w:adjustRightInd w:val="0"/>
              <w:snapToGrid w:val="0"/>
            </w:pPr>
            <w:r>
              <w:rPr>
                <w:rFonts w:ascii="仿宋" w:hAnsi="仿宋" w:eastAsia="仿宋" w:cs="仿宋"/>
                <w:b w:val="0"/>
                <w:sz w:val="18"/>
              </w:rPr>
              <w:t>DIS 执行引擎做好重试与对账，降级为人工导入兜底</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等保合规整改工作量大</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高</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3855"/>
            <w:vAlign w:val="center"/>
          </w:tcPr>
          <w:p>
            <w:pPr>
              <w:spacing w:lineRule="exact" w:line="340" w:before="0" w:after="0"/>
              <w:jc w:val="left"/>
              <w:adjustRightInd w:val="0"/>
              <w:snapToGrid w:val="0"/>
            </w:pPr>
            <w:r>
              <w:rPr>
                <w:rFonts w:ascii="仿宋" w:hAnsi="仿宋" w:eastAsia="仿宋" w:cs="仿宋"/>
                <w:b w:val="0"/>
                <w:sz w:val="18"/>
              </w:rPr>
              <w:t>合规要求前置到设计阶段，避免后期返工</w:t>
            </w:r>
          </w:p>
        </w:tc>
      </w:tr>
      <w:tr>
        <w:tc>
          <w:tcPr>
            <w:tcW w:type="dxa" w:w="2268"/>
            <w:vAlign w:val="center"/>
          </w:tcPr>
          <w:p>
            <w:pPr>
              <w:spacing w:lineRule="exact" w:line="340" w:before="0" w:after="0"/>
              <w:jc w:val="left"/>
              <w:adjustRightInd w:val="0"/>
              <w:snapToGrid w:val="0"/>
            </w:pPr>
            <w:r>
              <w:rPr>
                <w:rFonts w:ascii="仿宋" w:hAnsi="仿宋" w:eastAsia="仿宋" w:cs="仿宋"/>
                <w:b w:val="0"/>
                <w:sz w:val="18"/>
              </w:rPr>
              <w:t>信创适配成本不确定</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907"/>
            <w:vAlign w:val="center"/>
          </w:tcPr>
          <w:p>
            <w:pPr>
              <w:spacing w:lineRule="exact" w:line="340" w:before="0" w:after="0"/>
              <w:jc w:val="center"/>
              <w:adjustRightInd w:val="0"/>
              <w:snapToGrid w:val="0"/>
            </w:pPr>
            <w:r>
              <w:rPr>
                <w:rFonts w:ascii="仿宋" w:hAnsi="仿宋" w:eastAsia="仿宋" w:cs="仿宋"/>
                <w:b w:val="0"/>
                <w:sz w:val="18"/>
              </w:rPr>
              <w:t>中</w:t>
            </w:r>
          </w:p>
        </w:tc>
        <w:tc>
          <w:tcPr>
            <w:tcW w:type="dxa" w:w="3855"/>
            <w:vAlign w:val="center"/>
          </w:tcPr>
          <w:p>
            <w:pPr>
              <w:spacing w:lineRule="exact" w:line="340" w:before="0" w:after="0"/>
              <w:jc w:val="left"/>
              <w:adjustRightInd w:val="0"/>
              <w:snapToGrid w:val="0"/>
            </w:pPr>
            <w:r>
              <w:rPr>
                <w:rFonts w:ascii="仿宋" w:hAnsi="仿宋" w:eastAsia="仿宋" w:cs="仿宋"/>
                <w:b w:val="0"/>
                <w:sz w:val="18"/>
              </w:rPr>
              <w:t>先评估后改造，技术选型预留适配空间，控制范围</w:t>
            </w:r>
          </w:p>
        </w:tc>
      </w:tr>
    </w:tbl>
    <w:p>
      <w:pPr>
        <w:spacing w:lineRule="exact" w:line="160" w:before="0" w:after="0"/>
        <w:adjustRightInd w:val="0"/>
        <w:snapToGrid w:val="0"/>
      </w:pPr>
    </w:p>
    <w:p>
      <w:pPr>
        <w:spacing w:lineRule="exact" w:line="20" w:before="0" w:after="0"/>
        <w:adjustRightInd w:val="0"/>
        <w:snapToGrid w:val="0"/>
      </w:pPr>
      <w:r>
        <w:br w:type="page"/>
      </w:r>
    </w:p>
    <w:p>
      <w:pPr>
        <w:pStyle w:val="Heading1"/>
        <w:keepNext/>
        <w:keepLines/>
        <w:spacing w:lineRule="exact" w:line="720" w:before="240" w:after="240"/>
        <w:jc w:val="center"/>
        <w:adjustRightInd w:val="0"/>
        <w:snapToGrid w:val="0"/>
      </w:pPr>
      <w:r>
        <w:rPr>
          <w:rFonts w:ascii="黑体" w:hAnsi="黑体" w:eastAsia="黑体" w:cs="黑体"/>
          <w:b w:val="0"/>
          <w:color w:val="000000"/>
          <w:sz w:val="36"/>
        </w:rPr>
        <w:t>九、结论</w:t>
      </w:r>
    </w:p>
    <w:p>
      <w:pPr>
        <w:spacing w:lineRule="exact" w:line="560" w:before="0" w:after="0"/>
        <w:ind w:firstLine="640"/>
        <w:jc w:val="both"/>
        <w:adjustRightInd w:val="0"/>
        <w:snapToGrid w:val="0"/>
      </w:pPr>
      <w:r>
        <w:rPr>
          <w:rFonts w:ascii="仿宋" w:hAnsi="仿宋" w:eastAsia="仿宋" w:cs="仿宋"/>
          <w:b w:val="0"/>
          <w:sz w:val="32"/>
        </w:rPr>
        <w:t>CjluJwc 已建成较完整的工程基座与业务骨架，但核心算法、流程自动化、数据集成与数据治理仍是制约其从“原型”走向“生产可用”的关键短板。本计划以四阶段迭代路线，优先补齐排课、选课、考务三类核心算法，贯通流程与数据集成，系统开展数据治理，并前瞻性布局安全合规与信创演进，力争在六个月内将系统整体实现度提升至 85% 以上，形成稳定、可信、可持续演进的校级教务管理平台。</w:t>
      </w:r>
    </w:p>
    <w:p>
      <w:pPr>
        <w:spacing w:lineRule="exact" w:line="280" w:before="0" w:after="0"/>
        <w:adjustRightInd w:val="0"/>
        <w:snapToGrid w:val="0"/>
      </w:pPr>
    </w:p>
    <w:p>
      <w:pPr>
        <w:spacing w:lineRule="exact" w:line="280" w:before="0" w:after="0"/>
        <w:adjustRightInd w:val="0"/>
        <w:snapToGrid w:val="0"/>
      </w:pPr>
    </w:p>
    <w:p>
      <w:pPr>
        <w:spacing w:lineRule="exact" w:line="280" w:before="0" w:after="0"/>
        <w:adjustRightInd w:val="0"/>
        <w:snapToGrid w:val="0"/>
      </w:pPr>
    </w:p>
    <w:p>
      <w:pPr>
        <w:spacing w:lineRule="exact" w:line="600" w:before="0" w:after="0"/>
        <w:jc w:val="right"/>
        <w:adjustRightInd w:val="0"/>
        <w:snapToGrid w:val="0"/>
      </w:pPr>
      <w:r>
        <w:rPr>
          <w:rFonts w:ascii="仿宋" w:hAnsi="仿宋" w:eastAsia="仿宋" w:cs="仿宋"/>
          <w:b w:val="0"/>
          <w:sz w:val="32"/>
        </w:rPr>
        <w:t xml:space="preserve">长江大学教务处　　</w:t>
      </w:r>
    </w:p>
    <w:p>
      <w:pPr>
        <w:spacing w:lineRule="exact" w:line="600" w:before="0" w:after="0"/>
        <w:jc w:val="right"/>
        <w:adjustRightInd w:val="0"/>
        <w:snapToGrid w:val="0"/>
      </w:pPr>
      <w:r>
        <w:rPr>
          <w:rFonts w:ascii="仿宋" w:hAnsi="仿宋" w:eastAsia="仿宋" w:cs="仿宋"/>
          <w:b w:val="0"/>
          <w:sz w:val="32"/>
        </w:rPr>
        <w:t xml:space="preserve">二〇二六年八月四日　　</w:t>
      </w:r>
    </w:p>
    <w:sectPr w:rsidR="00FC693F" w:rsidRPr="0006063C" w:rsidSect="00034616">
      <w:footerReference w:type="default" r:id="rId9"/>
      <w:headerReference w:type="default" r:id="rId10"/>
      <w:pgSz w:w="11906" w:h="16838"/>
      <w:pgMar w:top="2098" w:right="1474" w:bottom="1984" w:left="1587" w:header="1134"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00" w:before="0" w:after="0"/>
      <w:jc w:val="center"/>
      <w:adjustRightInd w:val="0"/>
      <w:snapToGrid w:val="0"/>
    </w:pPr>
    <w:r/>
    <w:r>
      <w:rPr>
        <w:rFonts w:ascii="宋体" w:hAnsi="宋体" w:eastAsia="宋体" w:cs="宋体"/>
        <w:b w:val="0"/>
        <w:sz w:val="28"/>
      </w:rPr>
      <w:t xml:space="preserve">— </w:t>
    </w:r>
    <w:r>
      <w:rPr>
        <w:rFonts w:ascii="宋体" w:hAnsi="宋体" w:eastAsia="宋体" w:cs="宋体"/>
        <w:b w:val="0"/>
        <w:sz w:val="28"/>
      </w:rPr>
      <w:fldChar w:fldCharType="begin"/>
    </w:r>
    <w:r>
      <w:rPr>
        <w:rFonts w:ascii="宋体" w:hAnsi="宋体" w:eastAsia="宋体" w:cs="宋体"/>
        <w:b w:val="0"/>
        <w:sz w:val="28"/>
      </w:rPr>
      <w:instrText xml:space="preserve"> PAGE </w:instrText>
    </w:r>
    <w:r>
      <w:rPr>
        <w:rFonts w:ascii="宋体" w:hAnsi="宋体" w:eastAsia="宋体" w:cs="宋体"/>
        <w:b w:val="0"/>
        <w:sz w:val="28"/>
      </w:rPr>
      <w:fldChar w:fldCharType="separate"/>
    </w:r>
    <w:r>
      <w:rPr>
        <w:rFonts w:ascii="宋体" w:hAnsi="宋体" w:eastAsia="宋体" w:cs="宋体"/>
        <w:b w:val="0"/>
        <w:sz w:val="28"/>
      </w:rPr>
      <w:t>1</w:t>
    </w:r>
    <w:r>
      <w:rPr>
        <w:rFonts w:ascii="宋体" w:hAnsi="宋体" w:eastAsia="宋体" w:cs="宋体"/>
        <w:b w:val="0"/>
        <w:sz w:val="28"/>
      </w:rPr>
      <w:fldChar w:fldCharType="end"/>
    </w:r>
    <w:r>
      <w:rPr>
        <w:rFonts w:ascii="宋体" w:hAnsi="宋体" w:eastAsia="宋体" w:cs="宋体"/>
        <w:b w:val="0"/>
        <w:sz w:val="2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Rule="exact" w:line="360" w:before="0" w:after="0"/>
      <w:jc w:val="center"/>
      <w:adjustRightInd w:val="0"/>
      <w:snapToGrid w:val="0"/>
      <w:pBdr>
        <w:bottom w:val="single" w:sz="6" w:space="1" w:color="808080"/>
      </w:pBdr>
    </w:pPr>
    <w:r/>
    <w:r>
      <w:rPr>
        <w:rFonts w:ascii="宋体" w:hAnsi="宋体" w:eastAsia="宋体" w:cs="宋体"/>
        <w:b w:val="0"/>
        <w:sz w:val="18"/>
      </w:rPr>
      <w:t>长江大学教务管理系统下一步开发计划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before="0" w:after="0"/>
    </w:pPr>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