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October 1, 2026</w:t>
      </w:r>
    </w:p>
    <w:p/>
    <w:p>
      <w:r>
        <w:t>Dear Editor-in-Chief,</w:t>
      </w:r>
    </w:p>
    <w:p>
      <w:r>
        <w:rPr>
          <w:i/>
        </w:rPr>
        <w:t>Environmental Science and Pollution Research</w:t>
      </w:r>
    </w:p>
    <w:p/>
    <w:p>
      <w:pPr>
        <w:jc w:val="both"/>
      </w:pPr>
      <w:r>
        <w:t xml:space="preserve">We would like to submit the manuscript entitled </w:t>
      </w:r>
      <w:r>
        <w:rPr>
          <w:b/>
        </w:rPr>
        <w:t>"Enzymatic Biodegradation of Plastics and Microplastics: A Bibliometric Analysis of Recent Advances (2020–2025)"</w:t>
      </w:r>
      <w:r>
        <w:t xml:space="preserve"> for consideration in </w:t>
      </w:r>
      <w:r>
        <w:rPr>
          <w:i/>
        </w:rPr>
        <w:t>Environmental Science and Pollution Research</w:t>
      </w:r>
      <w:r>
        <w:t>. The work is original, has not been published previously, and is not under review by any other journal.</w:t>
      </w:r>
    </w:p>
    <w:p>
      <w:pPr>
        <w:jc w:val="both"/>
      </w:pPr>
      <w:r>
        <w:t>The study presents a bibliometric analysis of 169 experimental articles on enzymatic degradation of plastics and microplastics published between 2020 and 2025, with data retrieved from Scopus and Web of Science. Over the analyzed period, we observed an 11.5-fold increase in annual publications, reflecting a growing scientific interest in biotechnological alternatives for plastic pollution. PETase stood out as the most investigated enzyme, appearing in 37.3% of the articles, while cutinases and hydrolases gained traction from 2022 onward, signaling a diversification of the biocatalytic repertoire. Keyword co-occurrence analysis revealed six thematic clusters connecting microbiology, protein engineering, environmental toxicology, and bioinformatics. The study also identifies persistent technological gaps, including the absence of industrial-scale processes, enzyme immobilization strategies for reuse, and effective biocatalytic routes for recalcitrant polymers such as polyethylene and polypropylene.</w:t>
      </w:r>
    </w:p>
    <w:p>
      <w:pPr>
        <w:jc w:val="both"/>
      </w:pPr>
      <w:r>
        <w:t xml:space="preserve">We believe the manuscript fits well within the scope of </w:t>
      </w:r>
      <w:r>
        <w:rPr>
          <w:i/>
        </w:rPr>
        <w:t>Environmental Science and Pollution Research</w:t>
      </w:r>
      <w:r>
        <w:t>, given the environmental and societal relevance of the topic, particularly in light of the ongoing international negotiations toward a global plastics treaty. Unlike previous bibliometric studies in this area, our work focuses exclusively on the most recent period (2020–2025), capturing advances such as FAST-PETase and LCC-ICCG, the integration of artificial intelligence and metagenomics into enzyme discovery, and the expanding research focus beyond PET. We also provide a comparative overview of the performance of the main enzymes described in the literature, which may help guide future lines of investigation.</w:t>
      </w:r>
    </w:p>
    <w:p>
      <w:pPr>
        <w:jc w:val="both"/>
      </w:pPr>
      <w:r>
        <w:t>The authors declare no competing interests. As this is a bibliometric study, no human subjects or animals were involved, and no ethics approval was required. All authors have read and approved the final version of the manuscript. The study was supported by UFRRJ, and publication is covered by the CAPES–Springer Nature Transformative Agreement (2026–2028).</w:t>
      </w:r>
    </w:p>
    <w:p>
      <w:pPr>
        <w:jc w:val="both"/>
      </w:pPr>
      <w:r>
        <w:t>We remain available for any clarification or adjustment needed during the review process.</w:t>
      </w:r>
    </w:p>
    <w:p/>
    <w:p>
      <w:r>
        <w:t>Sincerely,</w:t>
      </w:r>
    </w:p>
    <w:p/>
    <w:p>
      <w:r>
        <w:rPr>
          <w:b/>
        </w:rPr>
        <w:t>Weng Carlos da Tan Li</w:t>
      </w:r>
      <w:r>
        <w:t xml:space="preserve"> (Corresponding Author)</w:t>
      </w:r>
    </w:p>
    <w:p>
      <w:r>
        <w:t>Department of Chemical Engineering</w:t>
      </w:r>
    </w:p>
    <w:p>
      <w:r>
        <w:t>Universidade Federal Rural do Rio de Janeiro (UFRRJ)</w:t>
      </w:r>
    </w:p>
    <w:p>
      <w:r>
        <w:t>Seropédica, RJ, Brazil</w:t>
      </w:r>
    </w:p>
    <w:p>
      <w:r>
        <w:t>Email: wengcarlos@ufrrj.br</w:t>
      </w:r>
    </w:p>
    <w:p>
      <w:r>
        <w:t>ORCID: 0009-0002-4042-2083</w:t>
      </w:r>
    </w:p>
    <w:p/>
    <w:p>
      <w:r>
        <w:t>Co-authors:</w:t>
      </w:r>
    </w:p>
    <w:p>
      <w:r>
        <w:t>Marisa Fernandes Mendes – UFRRJ</w:t>
      </w:r>
    </w:p>
    <w:p>
      <w:r>
        <w:t>Eliane Pereira Cipolatti – UFRRJ</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