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Times New Roman" w:cs="Times New Roman" w:eastAsia="Times New Roman" w:hAnsi="Times New Roman"/>
          <w:b/>
          <w:bCs/>
          <w:i w:val="false"/>
          <w:iCs w:val="false"/>
          <w:sz w:val="28"/>
          <w:szCs w:val="28"/>
        </w:rPr>
        <w:t xml:space="preserve">UNIVERSITY OF BUEA</w:t>
      </w:r>
    </w:p>
    <w:p>
      <w:pPr>
        <w:spacing w:after="200" w:before="0"/>
        <w:jc w:val="center"/>
      </w:pPr>
      <w:r>
        <w:rPr>
          <w:rFonts w:ascii="Times New Roman" w:cs="Times New Roman" w:eastAsia="Times New Roman" w:hAnsi="Times New Roman"/>
          <w:b/>
          <w:bCs/>
          <w:i w:val="false"/>
          <w:iCs w:val="false"/>
          <w:sz w:val="24"/>
          <w:szCs w:val="24"/>
        </w:rPr>
        <w:t xml:space="preserve">FACULTY OF ENGINEERING AND TECHNOLOGY (FET)</w:t>
      </w:r>
    </w:p>
    <w:p>
      <w:pPr>
        <w:spacing w:after="500" w:before="0"/>
        <w:jc w:val="center"/>
      </w:pPr>
      <w:r>
        <w:rPr>
          <w:rFonts w:ascii="Times New Roman" w:cs="Times New Roman" w:eastAsia="Times New Roman" w:hAnsi="Times New Roman"/>
          <w:b/>
          <w:bCs/>
          <w:i w:val="false"/>
          <w:iCs w:val="false"/>
          <w:sz w:val="24"/>
          <w:szCs w:val="24"/>
        </w:rPr>
        <w:t xml:space="preserve">DEPARTMENT OF COMPUTER ENGINEERING</w:t>
      </w:r>
    </w:p>
    <w:p>
      <w:pPr>
        <w:spacing w:after="200" w:before="0"/>
        <w:jc w:val="center"/>
      </w:pPr>
      <w:r>
        <w:rPr>
          <w:rFonts w:ascii="Times New Roman" w:cs="Times New Roman" w:eastAsia="Times New Roman" w:hAnsi="Times New Roman"/>
          <w:b w:val="false"/>
          <w:bCs w:val="false"/>
          <w:i/>
          <w:iCs/>
          <w:sz w:val="20"/>
          <w:szCs w:val="20"/>
        </w:rPr>
        <w:t xml:space="preserve">in collaboration with</w:t>
      </w:r>
    </w:p>
    <w:p>
      <w:pPr>
        <w:spacing w:after="700" w:before="0"/>
        <w:jc w:val="center"/>
      </w:pPr>
      <w:r>
        <w:rPr>
          <w:rFonts w:ascii="Times New Roman" w:cs="Times New Roman" w:eastAsia="Times New Roman" w:hAnsi="Times New Roman"/>
          <w:b/>
          <w:bCs/>
          <w:i w:val="false"/>
          <w:iCs w:val="false"/>
          <w:sz w:val="24"/>
          <w:szCs w:val="24"/>
        </w:rPr>
        <w:t xml:space="preserve">GAZ DU CAMEROUN (GDC)</w:t>
      </w:r>
    </w:p>
    <w:p>
      <w:pPr>
        <w:spacing w:after="100" w:before="0"/>
        <w:jc w:val="center"/>
      </w:pPr>
      <w:r>
        <w:rPr>
          <w:rFonts w:ascii="Times New Roman" w:cs="Times New Roman" w:eastAsia="Times New Roman" w:hAnsi="Times New Roman"/>
          <w:b w:val="false"/>
          <w:bCs w:val="false"/>
          <w:i w:val="false"/>
          <w:iCs w:val="false"/>
          <w:sz w:val="22"/>
          <w:szCs w:val="22"/>
        </w:rPr>
        <w:t xml:space="preserve">PROJECT PROPOSAL</w:t>
      </w:r>
    </w:p>
    <w:p>
      <w:pPr>
        <w:spacing w:after="100" w:before="100"/>
        <w:jc w:val="center"/>
      </w:pPr>
      <w:r>
        <w:rPr>
          <w:rFonts w:ascii="Times New Roman" w:cs="Times New Roman" w:eastAsia="Times New Roman" w:hAnsi="Times New Roman"/>
          <w:b/>
          <w:bCs/>
          <w:i w:val="false"/>
          <w:iCs w:val="false"/>
          <w:color w:val="1F3864"/>
          <w:sz w:val="32"/>
          <w:szCs w:val="32"/>
        </w:rPr>
        <w:t xml:space="preserve">INTELLIGENT QHSSE SAFETY MANAGEMENT SYSTEM</w:t>
      </w:r>
    </w:p>
    <w:p>
      <w:pPr>
        <w:spacing w:after="400" w:before="0"/>
        <w:jc w:val="center"/>
      </w:pPr>
      <w:r>
        <w:rPr>
          <w:rFonts w:ascii="Times New Roman" w:cs="Times New Roman" w:eastAsia="Times New Roman" w:hAnsi="Times New Roman"/>
          <w:b w:val="false"/>
          <w:bCs w:val="false"/>
          <w:i/>
          <w:iCs/>
          <w:sz w:val="22"/>
          <w:szCs w:val="22"/>
        </w:rPr>
        <w:t xml:space="preserve">A Digital Platform for Incident Tracking, Audit Management, and Predictive Risk Classification</w:t>
      </w:r>
    </w:p>
    <w:p>
      <w:pPr>
        <w:spacing w:after="600" w:before="0"/>
        <w:jc w:val="center"/>
      </w:pPr>
      <w:r>
        <w:rPr>
          <w:rFonts w:ascii="Times New Roman" w:cs="Times New Roman" w:eastAsia="Times New Roman" w:hAnsi="Times New Roman"/>
          <w:b w:val="false"/>
          <w:bCs w:val="false"/>
          <w:i w:val="false"/>
          <w:iCs w:val="false"/>
          <w:sz w:val="20"/>
          <w:szCs w:val="20"/>
        </w:rPr>
        <w:t xml:space="preserve">Submitted in Partial Fulfilment of the Requirements for the Internship Defense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2"/>
                <w:szCs w:val="22"/>
              </w:rPr>
              <w:t xml:space="preserve">Prepared by:</w:t>
            </w:r>
          </w:p>
        </w:tc>
        <w:tc>
          <w:tcPr>
            <w:tcW w:type="dxa" w:w="58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Karl Jonas</w:t>
            </w:r>
          </w:p>
        </w:tc>
      </w:tr>
      <w:tr>
        <w:tc>
          <w:tcPr>
            <w:tcW w:type="dxa" w:w="3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2"/>
                <w:szCs w:val="22"/>
              </w:rPr>
              <w:t xml:space="preserve">Matriculation Number:</w:t>
            </w:r>
          </w:p>
        </w:tc>
        <w:tc>
          <w:tcPr>
            <w:tcW w:type="dxa" w:w="58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[Matriculation Number]</w:t>
            </w:r>
          </w:p>
        </w:tc>
      </w:tr>
      <w:tr>
        <w:tc>
          <w:tcPr>
            <w:tcW w:type="dxa" w:w="3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2"/>
                <w:szCs w:val="22"/>
              </w:rPr>
              <w:t xml:space="preserve">Host Company:</w:t>
            </w:r>
          </w:p>
        </w:tc>
        <w:tc>
          <w:tcPr>
            <w:tcW w:type="dxa" w:w="58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Gaz du Cameroun (GDC) — Logbaba Gas Field, Douala</w:t>
            </w:r>
          </w:p>
        </w:tc>
      </w:tr>
      <w:tr>
        <w:tc>
          <w:tcPr>
            <w:tcW w:type="dxa" w:w="3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2"/>
                <w:szCs w:val="22"/>
              </w:rPr>
              <w:t xml:space="preserve">Host Department:</w:t>
            </w:r>
          </w:p>
        </w:tc>
        <w:tc>
          <w:tcPr>
            <w:tcW w:type="dxa" w:w="58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QHSSE / Integrated Management System (IMS)</w:t>
            </w:r>
          </w:p>
        </w:tc>
      </w:tr>
      <w:tr>
        <w:tc>
          <w:tcPr>
            <w:tcW w:type="dxa" w:w="3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2"/>
                <w:szCs w:val="22"/>
              </w:rPr>
              <w:t xml:space="preserve">Academic Supervisor:</w:t>
            </w:r>
          </w:p>
        </w:tc>
        <w:tc>
          <w:tcPr>
            <w:tcW w:type="dxa" w:w="58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[Academic Supervisor's Name]</w:t>
            </w:r>
          </w:p>
        </w:tc>
      </w:tr>
      <w:tr>
        <w:tc>
          <w:tcPr>
            <w:tcW w:type="dxa" w:w="3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2"/>
                <w:szCs w:val="22"/>
              </w:rPr>
              <w:t xml:space="preserve">Industry Supervisor:</w:t>
            </w:r>
          </w:p>
        </w:tc>
        <w:tc>
          <w:tcPr>
            <w:tcW w:type="dxa" w:w="58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[Industry Supervisor's Name, GDC]</w:t>
            </w:r>
          </w:p>
        </w:tc>
      </w:tr>
      <w:tr>
        <w:tc>
          <w:tcPr>
            <w:tcW w:type="dxa" w:w="3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2"/>
                <w:szCs w:val="22"/>
              </w:rPr>
              <w:t xml:space="preserve">Academic Year:</w:t>
            </w:r>
          </w:p>
        </w:tc>
        <w:tc>
          <w:tcPr>
            <w:tcW w:type="dxa" w:w="58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2025 / 2026</w:t>
            </w:r>
          </w:p>
        </w:tc>
      </w:tr>
      <w:tr>
        <w:tc>
          <w:tcPr>
            <w:tcW w:type="dxa" w:w="3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2"/>
                <w:szCs w:val="22"/>
              </w:rPr>
              <w:t xml:space="preserve">Date:</w:t>
            </w:r>
          </w:p>
        </w:tc>
        <w:tc>
          <w:tcPr>
            <w:tcW w:type="dxa" w:w="58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August 2026</w:t>
            </w:r>
          </w:p>
        </w:tc>
      </w:tr>
    </w:tbl>
    <w:p>
      <w:r>
        <w:br w:type="page"/>
      </w:r>
    </w:p>
    <w:p>
      <w:pPr>
        <w:spacing w:after="400" w:before="200"/>
        <w:jc w:val="center"/>
      </w:pPr>
      <w:r>
        <w:rPr>
          <w:rFonts w:ascii="Times New Roman" w:cs="Times New Roman" w:eastAsia="Times New Roman" w:hAnsi="Times New Roman"/>
          <w:b/>
          <w:bCs/>
          <w:i w:val="false"/>
          <w:iCs w:val="false"/>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200" w:line="276"/>
        <w:jc w:val="both"/>
      </w:pPr>
      <w:r>
        <w:rPr>
          <w:rFonts w:ascii="Times New Roman" w:cs="Times New Roman" w:eastAsia="Times New Roman" w:hAnsi="Times New Roman"/>
          <w:sz w:val="24"/>
          <w:szCs w:val="24"/>
        </w:rPr>
        <w:t xml:space="preserve">Gaz du Cameroun (GDC) is a natural gas production and distribution company operating the Logbaba gas field in Douala, Cameroon, supplying gas to industrial customers and power generation facilities through a dedicated pipeline network. As part of the internship requirement for the Computer Engineering programme at the University of Buea, the author was attached to GDC's Quality, Health, Safety, Security and Environment / Integrated Management System (QHSSE/IMS) department.</w:t>
      </w:r>
    </w:p>
    <w:p>
      <w:pPr>
        <w:spacing w:after="200" w:line="276"/>
        <w:jc w:val="both"/>
      </w:pPr>
      <w:r>
        <w:rPr>
          <w:rFonts w:ascii="Times New Roman" w:cs="Times New Roman" w:eastAsia="Times New Roman" w:hAnsi="Times New Roman"/>
          <w:sz w:val="24"/>
          <w:szCs w:val="24"/>
        </w:rPr>
        <w:t xml:space="preserve">Rather than treating this placement as disconnected from a computer engineering background, this project uses it to design and build a digital system that directly supports the QHSSE/IMS function while demonstrating software engineering and applied machine learning competencies. The result is the Intelligent QHSSE Safety Management System (IQSMS) — a web-based platform combining incident and near-miss tracking, digital audit/inspection management, workflow-based corrective-action management, and real-time predictive risk classification.</w:t>
      </w:r>
    </w:p>
    <w:p>
      <w:pPr>
        <w:pStyle w:val="Heading1"/>
      </w:pPr>
      <w:r>
        <w:t xml:space="preserve">2. Background and Context</w:t>
      </w:r>
    </w:p>
    <w:p>
      <w:pPr>
        <w:spacing w:after="200" w:line="276"/>
        <w:jc w:val="both"/>
      </w:pPr>
      <w:r>
        <w:rPr>
          <w:rFonts w:ascii="Times New Roman" w:cs="Times New Roman" w:eastAsia="Times New Roman" w:hAnsi="Times New Roman"/>
          <w:sz w:val="24"/>
          <w:szCs w:val="24"/>
        </w:rPr>
        <w:t xml:space="preserve">QHSSE departments in energy companies maintain regulatory compliance and international certification aligned with the ISO 9001:2015, ISO 14001:2015, and ISO 45001:2018 management-system standards. Handling pressurised, flammable natural gas means that near-miss reporting, corrective-action tracking, and preventive risk analysis have a direct bearing on personnel safety, environmental integrity, and continuity of supply.</w:t>
      </w:r>
    </w:p>
    <w:p>
      <w:pPr>
        <w:spacing w:after="200" w:line="276"/>
        <w:jc w:val="both"/>
      </w:pPr>
      <w:r>
        <w:rPr>
          <w:rFonts w:ascii="Times New Roman" w:cs="Times New Roman" w:eastAsia="Times New Roman" w:hAnsi="Times New Roman"/>
          <w:sz w:val="24"/>
          <w:szCs w:val="24"/>
        </w:rPr>
        <w:t xml:space="preserve">Across industrial operations, elements of QHSSE record-keeping are frequently supported by paper forms, spreadsheets, and email-based workflows. This fragmented approach slows corrective-action closure and inhibits trend analysis. IQSMS is deliberately designed so that its functional modules map onto specific clauses of these ISO management-system standards, giving the platform a defensible link to real certification requirements rather than an arbitrary feature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Module</w:t>
            </w:r>
          </w:p>
        </w:tc>
        <w:tc>
          <w:tcPr>
            <w:tcW w:type="dxa" w:w="3000"/>
            <w:shd w:fill="2E539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ISO Standard &amp; Clause</w:t>
            </w:r>
          </w:p>
        </w:tc>
        <w:tc>
          <w:tcPr>
            <w:tcW w:type="dxa" w:w="3000"/>
            <w:shd w:fill="2E539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Focus</w:t>
            </w:r>
          </w:p>
        </w:tc>
      </w:tr>
      <w:tr>
        <w:tc>
          <w:tcPr>
            <w:tcW w:type="dxa" w:w="30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Incident &amp; Near-Miss Management</w:t>
            </w:r>
          </w:p>
        </w:tc>
        <w:tc>
          <w:tcPr>
            <w:tcW w:type="dxa" w:w="30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ISO 45001:2018, Clause 10.2</w:t>
            </w:r>
          </w:p>
        </w:tc>
        <w:tc>
          <w:tcPr>
            <w:tcW w:type="dxa" w:w="30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Incident, nonconformity and corrective action</w:t>
            </w:r>
          </w:p>
        </w:tc>
      </w:tr>
      <w:tr>
        <w:tc>
          <w:tcPr>
            <w:tcW w:type="dxa" w:w="30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Audit &amp; Inspection Management</w:t>
            </w:r>
          </w:p>
        </w:tc>
        <w:tc>
          <w:tcPr>
            <w:tcW w:type="dxa" w:w="30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ISO 9001:2015, Clause 9.2</w:t>
            </w:r>
          </w:p>
        </w:tc>
        <w:tc>
          <w:tcPr>
            <w:tcW w:type="dxa" w:w="30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Internal audit</w:t>
            </w:r>
          </w:p>
        </w:tc>
      </w:tr>
      <w:tr>
        <w:tc>
          <w:tcPr>
            <w:tcW w:type="dxa" w:w="30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Predictive Risk Module</w:t>
            </w:r>
          </w:p>
        </w:tc>
        <w:tc>
          <w:tcPr>
            <w:tcW w:type="dxa" w:w="30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ISO 14001:2015, Clause 6.1</w:t>
            </w:r>
          </w:p>
        </w:tc>
        <w:tc>
          <w:tcPr>
            <w:tcW w:type="dxa" w:w="30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Actions to address risks and opportunities</w:t>
            </w:r>
          </w:p>
        </w:tc>
      </w:tr>
    </w:tbl>
    <w:p/>
    <w:p>
      <w:pPr>
        <w:pStyle w:val="Heading1"/>
      </w:pPr>
      <w:r>
        <w:t xml:space="preserve">3. Problem Statement</w:t>
      </w:r>
    </w:p>
    <w:p>
      <w:pPr>
        <w:spacing w:after="200" w:line="276"/>
        <w:jc w:val="both"/>
      </w:pPr>
      <w:r>
        <w:rPr>
          <w:rFonts w:ascii="Times New Roman" w:cs="Times New Roman" w:eastAsia="Times New Roman" w:hAnsi="Times New Roman"/>
          <w:sz w:val="24"/>
          <w:szCs w:val="24"/>
        </w:rPr>
        <w:t xml:space="preserve">Three related problems motivate this project:</w:t>
      </w:r>
    </w:p>
    <w:p>
      <w:pPr>
        <w:pStyle w:val="ListParagraph"/>
        <w:numPr>
          <w:ilvl w:val="0"/>
          <w:numId w:val="2"/>
        </w:numPr>
        <w:spacing w:after="100" w:line="276"/>
      </w:pPr>
      <w:r>
        <w:rPr>
          <w:rFonts w:ascii="Times New Roman" w:cs="Times New Roman" w:eastAsia="Times New Roman" w:hAnsi="Times New Roman"/>
          <w:sz w:val="24"/>
          <w:szCs w:val="24"/>
        </w:rPr>
        <w:t xml:space="preserve">Fragmented record-keeping — incident reports, near-miss logs, and audit findings reside in isolated spreadsheets, preventing a unified, real-time view of operational risk.</w:t>
      </w:r>
    </w:p>
    <w:p>
      <w:pPr>
        <w:pStyle w:val="ListParagraph"/>
        <w:numPr>
          <w:ilvl w:val="0"/>
          <w:numId w:val="2"/>
        </w:numPr>
        <w:spacing w:after="100" w:line="276"/>
      </w:pPr>
      <w:r>
        <w:rPr>
          <w:rFonts w:ascii="Times New Roman" w:cs="Times New Roman" w:eastAsia="Times New Roman" w:hAnsi="Times New Roman"/>
          <w:sz w:val="24"/>
          <w:szCs w:val="24"/>
        </w:rPr>
        <w:t xml:space="preserve">Reactive rather than predictive safety management — without systematic analytics on historical data, safety teams respond to incidents after they occur rather than identifying elevated-risk conditions beforehand.</w:t>
      </w:r>
    </w:p>
    <w:p>
      <w:pPr>
        <w:pStyle w:val="ListParagraph"/>
        <w:numPr>
          <w:ilvl w:val="0"/>
          <w:numId w:val="2"/>
        </w:numPr>
        <w:spacing w:after="100" w:line="276"/>
      </w:pPr>
      <w:r>
        <w:rPr>
          <w:rFonts w:ascii="Times New Roman" w:cs="Times New Roman" w:eastAsia="Times New Roman" w:hAnsi="Times New Roman"/>
          <w:sz w:val="24"/>
          <w:szCs w:val="24"/>
        </w:rPr>
        <w:t xml:space="preserve">Slow corrective-action follow-through — without structured workflow states and audit trails, corrective actions raised during audits or investigations are delayed or lost.</w:t>
      </w:r>
    </w:p>
    <w:p>
      <w:pPr>
        <w:pStyle w:val="Heading1"/>
      </w:pPr>
      <w:r>
        <w:t xml:space="preserve">4. Objectives</w:t>
      </w:r>
    </w:p>
    <w:p>
      <w:pPr>
        <w:pStyle w:val="Heading2"/>
      </w:pPr>
      <w:r>
        <w:t xml:space="preserve">4.1 General Objective</w:t>
      </w:r>
    </w:p>
    <w:p>
      <w:pPr>
        <w:spacing w:after="200" w:line="276"/>
        <w:jc w:val="both"/>
      </w:pPr>
      <w:r>
        <w:rPr>
          <w:rFonts w:ascii="Times New Roman" w:cs="Times New Roman" w:eastAsia="Times New Roman" w:hAnsi="Times New Roman"/>
          <w:sz w:val="24"/>
          <w:szCs w:val="24"/>
        </w:rPr>
        <w:t xml:space="preserve">To design, implement, and evaluate a digital QHSSE management platform integrating workflow-based incident and audit management, role-based access control with immutable audit logging, an interactive KPI dashboard, and machine-learning-based risk classification, using Gaz du Cameroun's QHSSE/IMS function as the applied context.</w:t>
      </w:r>
    </w:p>
    <w:p>
      <w:pPr>
        <w:pStyle w:val="Heading2"/>
      </w:pPr>
      <w:r>
        <w:t xml:space="preserve">4.2 Specific Objectives</w:t>
      </w:r>
    </w:p>
    <w:p>
      <w:pPr>
        <w:pStyle w:val="ListParagraph"/>
        <w:numPr>
          <w:ilvl w:val="0"/>
          <w:numId w:val="3"/>
        </w:numPr>
        <w:spacing w:after="140" w:line="276"/>
      </w:pPr>
      <w:r>
        <w:rPr>
          <w:rFonts w:ascii="Times New Roman" w:cs="Times New Roman" w:eastAsia="Times New Roman" w:hAnsi="Times New Roman"/>
          <w:sz w:val="24"/>
          <w:szCs w:val="24"/>
        </w:rPr>
        <w:t xml:space="preserve">Review and model the QHSSE workflow into a structured state machine supporting incident, audit, and corrective-action lifecycles.</w:t>
      </w:r>
    </w:p>
    <w:p>
      <w:pPr>
        <w:pStyle w:val="ListParagraph"/>
        <w:numPr>
          <w:ilvl w:val="0"/>
          <w:numId w:val="3"/>
        </w:numPr>
        <w:spacing w:after="140" w:line="276"/>
      </w:pPr>
      <w:r>
        <w:rPr>
          <w:rFonts w:ascii="Times New Roman" w:cs="Times New Roman" w:eastAsia="Times New Roman" w:hAnsi="Times New Roman"/>
          <w:sz w:val="24"/>
          <w:szCs w:val="24"/>
        </w:rPr>
        <w:t xml:space="preserve">Design a relational database schema in PostgreSQL, via Prisma ORM, with role-based access control and an immutable audit-log table for compliance traceability.</w:t>
      </w:r>
    </w:p>
    <w:p>
      <w:pPr>
        <w:pStyle w:val="ListParagraph"/>
        <w:numPr>
          <w:ilvl w:val="0"/>
          <w:numId w:val="3"/>
        </w:numPr>
        <w:spacing w:after="140" w:line="276"/>
      </w:pPr>
      <w:r>
        <w:rPr>
          <w:rFonts w:ascii="Times New Roman" w:cs="Times New Roman" w:eastAsia="Times New Roman" w:hAnsi="Times New Roman"/>
          <w:sz w:val="24"/>
          <w:szCs w:val="24"/>
        </w:rPr>
        <w:t xml:space="preserve">Define and implement QHSSE KPIs — corrective-action closure rate, mean time to close, and near-miss frequency rate — within an interactive dashboard.</w:t>
      </w:r>
    </w:p>
    <w:p>
      <w:pPr>
        <w:pStyle w:val="ListParagraph"/>
        <w:numPr>
          <w:ilvl w:val="0"/>
          <w:numId w:val="3"/>
        </w:numPr>
        <w:spacing w:after="140" w:line="276"/>
      </w:pPr>
      <w:r>
        <w:rPr>
          <w:rFonts w:ascii="Times New Roman" w:cs="Times New Roman" w:eastAsia="Times New Roman" w:hAnsi="Times New Roman"/>
          <w:sz w:val="24"/>
          <w:szCs w:val="24"/>
        </w:rPr>
        <w:t xml:space="preserve">Acquire and preprocess the public PHMSA gas-pipeline incident dataset as a proxy for GDC's operational risk data, mapping raw PHMSA fields onto platform form fields.</w:t>
      </w:r>
    </w:p>
    <w:p>
      <w:pPr>
        <w:pStyle w:val="ListParagraph"/>
        <w:numPr>
          <w:ilvl w:val="0"/>
          <w:numId w:val="3"/>
        </w:numPr>
        <w:spacing w:after="140" w:line="276"/>
      </w:pPr>
      <w:r>
        <w:rPr>
          <w:rFonts w:ascii="Times New Roman" w:cs="Times New Roman" w:eastAsia="Times New Roman" w:hAnsi="Times New Roman"/>
          <w:sz w:val="24"/>
          <w:szCs w:val="24"/>
        </w:rPr>
        <w:t xml:space="preserve">Construct a data-driven incident-severity classification target from the PHMSA dataset, with the cutoff set from the observed distribution of damage cost, injuries/fatalities, and gas volume released, rather than a fixed threshold that duplicates PHMSA's own incident-reportability criteria.</w:t>
      </w:r>
    </w:p>
    <w:p>
      <w:pPr>
        <w:pStyle w:val="ListParagraph"/>
        <w:numPr>
          <w:ilvl w:val="0"/>
          <w:numId w:val="3"/>
        </w:numPr>
        <w:spacing w:after="140" w:line="276"/>
      </w:pPr>
      <w:r>
        <w:rPr>
          <w:rFonts w:ascii="Times New Roman" w:cs="Times New Roman" w:eastAsia="Times New Roman" w:hAnsi="Times New Roman"/>
          <w:sz w:val="24"/>
          <w:szCs w:val="24"/>
        </w:rPr>
        <w:t xml:space="preserve">Train and compare Logistic Regression, Random Forest, and Support Vector Machine classifiers, addressing class imbalance with SMOTE and/or class-weighting as warranted by the observed class distribution.</w:t>
      </w:r>
    </w:p>
    <w:p>
      <w:pPr>
        <w:pStyle w:val="ListParagraph"/>
        <w:numPr>
          <w:ilvl w:val="0"/>
          <w:numId w:val="3"/>
        </w:numPr>
        <w:spacing w:after="140" w:line="276"/>
      </w:pPr>
      <w:r>
        <w:rPr>
          <w:rFonts w:ascii="Times New Roman" w:cs="Times New Roman" w:eastAsia="Times New Roman" w:hAnsi="Times New Roman"/>
          <w:sz w:val="24"/>
          <w:szCs w:val="24"/>
        </w:rPr>
        <w:t xml:space="preserve">Evaluate the trained models using accuracy, precision, recall, F1-score, confusion matrices, and PRC-AUC, and deploy the best-performing model as a FastAPI microservice for real-time scoring during data entry.</w:t>
      </w:r>
    </w:p>
    <w:p>
      <w:pPr>
        <w:pStyle w:val="ListParagraph"/>
        <w:numPr>
          <w:ilvl w:val="0"/>
          <w:numId w:val="3"/>
        </w:numPr>
        <w:spacing w:after="140" w:line="276"/>
      </w:pPr>
      <w:r>
        <w:rPr>
          <w:rFonts w:ascii="Times New Roman" w:cs="Times New Roman" w:eastAsia="Times New Roman" w:hAnsi="Times New Roman"/>
          <w:sz w:val="24"/>
          <w:szCs w:val="24"/>
        </w:rPr>
        <w:t xml:space="preserve">Document the complete architecture and present the system for the internship defense.</w:t>
      </w:r>
    </w:p>
    <w:p>
      <w:pPr>
        <w:pStyle w:val="Heading1"/>
      </w:pPr>
      <w:r>
        <w:t xml:space="preserve">5. Justification and Significance</w:t>
      </w:r>
    </w:p>
    <w:p>
      <w:pPr>
        <w:spacing w:after="200" w:line="276"/>
        <w:jc w:val="both"/>
      </w:pPr>
      <w:r>
        <w:rPr>
          <w:rFonts w:ascii="Times New Roman" w:cs="Times New Roman" w:eastAsia="Times New Roman" w:hAnsi="Times New Roman"/>
          <w:b/>
          <w:bCs/>
          <w:sz w:val="24"/>
          <w:szCs w:val="24"/>
        </w:rPr>
        <w:t xml:space="preserve">For Gaz du Cameroun: </w:t>
      </w:r>
      <w:r>
        <w:rPr>
          <w:rFonts w:ascii="Times New Roman" w:cs="Times New Roman" w:eastAsia="Times New Roman" w:hAnsi="Times New Roman"/>
          <w:sz w:val="24"/>
          <w:szCs w:val="24"/>
        </w:rPr>
        <w:t xml:space="preserve">a scalable, low-cost proof of concept for digitising QHSSE workflows and enabling earlier identification of risk conditions in gas production and distribution.</w:t>
      </w:r>
    </w:p>
    <w:p>
      <w:pPr>
        <w:spacing w:after="200" w:line="276"/>
        <w:jc w:val="both"/>
      </w:pPr>
      <w:r>
        <w:rPr>
          <w:rFonts w:ascii="Times New Roman" w:cs="Times New Roman" w:eastAsia="Times New Roman" w:hAnsi="Times New Roman"/>
          <w:b/>
          <w:bCs/>
          <w:sz w:val="24"/>
          <w:szCs w:val="24"/>
        </w:rPr>
        <w:t xml:space="preserve">For the University of Buea: </w:t>
      </w:r>
      <w:r>
        <w:rPr>
          <w:rFonts w:ascii="Times New Roman" w:cs="Times New Roman" w:eastAsia="Times New Roman" w:hAnsi="Times New Roman"/>
          <w:sz w:val="24"/>
          <w:szCs w:val="24"/>
        </w:rPr>
        <w:t xml:space="preserve">a demonstration of applied full-stack software development, database engineering, and machine learning applied to a real, safety-relevant industrial domain.</w:t>
      </w:r>
    </w:p>
    <w:p>
      <w:pPr>
        <w:spacing w:after="200" w:line="276"/>
        <w:jc w:val="both"/>
      </w:pPr>
      <w:r>
        <w:rPr>
          <w:rFonts w:ascii="Times New Roman" w:cs="Times New Roman" w:eastAsia="Times New Roman" w:hAnsi="Times New Roman"/>
          <w:b/>
          <w:bCs/>
          <w:sz w:val="24"/>
          <w:szCs w:val="24"/>
        </w:rPr>
        <w:t xml:space="preserve">For the author: </w:t>
      </w:r>
      <w:r>
        <w:rPr>
          <w:rFonts w:ascii="Times New Roman" w:cs="Times New Roman" w:eastAsia="Times New Roman" w:hAnsi="Times New Roman"/>
          <w:sz w:val="24"/>
          <w:szCs w:val="24"/>
        </w:rPr>
        <w:t xml:space="preserve">a bridge between an industrial QHSSE placement and the core competencies of the Computer Engineering programme.</w:t>
      </w:r>
    </w:p>
    <w:p>
      <w:pPr>
        <w:pStyle w:val="Heading1"/>
      </w:pPr>
      <w:r>
        <w:t xml:space="preserve">6. Scope and Limitations</w:t>
      </w:r>
    </w:p>
    <w:p>
      <w:pPr>
        <w:spacing w:after="200" w:line="276"/>
        <w:jc w:val="both"/>
      </w:pPr>
      <w:r>
        <w:rPr>
          <w:rFonts w:ascii="Times New Roman" w:cs="Times New Roman" w:eastAsia="Times New Roman" w:hAnsi="Times New Roman"/>
          <w:b/>
          <w:bCs/>
          <w:sz w:val="24"/>
          <w:szCs w:val="24"/>
        </w:rPr>
        <w:t xml:space="preserve">In scope: </w:t>
      </w:r>
      <w:r>
        <w:rPr>
          <w:rFonts w:ascii="Times New Roman" w:cs="Times New Roman" w:eastAsia="Times New Roman" w:hAnsi="Times New Roman"/>
          <w:sz w:val="24"/>
          <w:szCs w:val="24"/>
        </w:rPr>
        <w:t xml:space="preserve">the project covers the following.</w:t>
      </w:r>
    </w:p>
    <w:p>
      <w:pPr>
        <w:pStyle w:val="ListParagraph"/>
        <w:numPr>
          <w:ilvl w:val="0"/>
          <w:numId w:val="2"/>
        </w:numPr>
        <w:spacing w:after="100" w:line="276"/>
      </w:pPr>
      <w:r>
        <w:rPr>
          <w:rFonts w:ascii="Times New Roman" w:cs="Times New Roman" w:eastAsia="Times New Roman" w:hAnsi="Times New Roman"/>
          <w:sz w:val="24"/>
          <w:szCs w:val="24"/>
        </w:rPr>
        <w:t xml:space="preserve">A full-stack web application (Next.js, Express.js, PostgreSQL/Prisma).</w:t>
      </w:r>
    </w:p>
    <w:p>
      <w:pPr>
        <w:pStyle w:val="ListParagraph"/>
        <w:numPr>
          <w:ilvl w:val="0"/>
          <w:numId w:val="2"/>
        </w:numPr>
        <w:spacing w:after="100" w:line="276"/>
      </w:pPr>
      <w:r>
        <w:rPr>
          <w:rFonts w:ascii="Times New Roman" w:cs="Times New Roman" w:eastAsia="Times New Roman" w:hAnsi="Times New Roman"/>
          <w:sz w:val="24"/>
          <w:szCs w:val="24"/>
        </w:rPr>
        <w:t xml:space="preserve">Role-based access control and an immutable audit-log table.</w:t>
      </w:r>
    </w:p>
    <w:p>
      <w:pPr>
        <w:pStyle w:val="ListParagraph"/>
        <w:numPr>
          <w:ilvl w:val="0"/>
          <w:numId w:val="2"/>
        </w:numPr>
        <w:spacing w:after="100" w:line="276"/>
      </w:pPr>
      <w:r>
        <w:rPr>
          <w:rFonts w:ascii="Times New Roman" w:cs="Times New Roman" w:eastAsia="Times New Roman" w:hAnsi="Times New Roman"/>
          <w:sz w:val="24"/>
          <w:szCs w:val="24"/>
        </w:rPr>
        <w:t xml:space="preserve">A formally defined state machine for incident, audit, and corrective-action lifecycles, enforced primarily at the application layer (Section 9.2).</w:t>
      </w:r>
    </w:p>
    <w:p>
      <w:pPr>
        <w:pStyle w:val="ListParagraph"/>
        <w:numPr>
          <w:ilvl w:val="0"/>
          <w:numId w:val="2"/>
        </w:numPr>
        <w:spacing w:after="100" w:line="276"/>
      </w:pPr>
      <w:r>
        <w:rPr>
          <w:rFonts w:ascii="Times New Roman" w:cs="Times New Roman" w:eastAsia="Times New Roman" w:hAnsi="Times New Roman"/>
          <w:sz w:val="24"/>
          <w:szCs w:val="24"/>
        </w:rPr>
        <w:t xml:space="preserve">Microservice integration with a Python machine-learning inference service (FastAPI).</w:t>
      </w:r>
    </w:p>
    <w:p>
      <w:pPr>
        <w:pStyle w:val="ListParagraph"/>
        <w:numPr>
          <w:ilvl w:val="0"/>
          <w:numId w:val="2"/>
        </w:numPr>
        <w:spacing w:after="100" w:line="276"/>
      </w:pPr>
      <w:r>
        <w:rPr>
          <w:rFonts w:ascii="Times New Roman" w:cs="Times New Roman" w:eastAsia="Times New Roman" w:hAnsi="Times New Roman"/>
          <w:sz w:val="24"/>
          <w:szCs w:val="24"/>
        </w:rPr>
        <w:t xml:space="preserve">A predictive model trained on the PHMSA gas-incident dataset, using a data-driven severity target (Section 8.2).</w:t>
      </w:r>
    </w:p>
    <w:p>
      <w:pPr>
        <w:spacing w:after="200" w:line="276"/>
        <w:jc w:val="both"/>
      </w:pPr>
      <w:r>
        <w:rPr>
          <w:rFonts w:ascii="Times New Roman" w:cs="Times New Roman" w:eastAsia="Times New Roman" w:hAnsi="Times New Roman"/>
          <w:b/>
          <w:bCs/>
          <w:sz w:val="24"/>
          <w:szCs w:val="24"/>
        </w:rPr>
        <w:t xml:space="preserve">Out of scope: </w:t>
      </w:r>
      <w:r>
        <w:rPr>
          <w:rFonts w:ascii="Times New Roman" w:cs="Times New Roman" w:eastAsia="Times New Roman" w:hAnsi="Times New Roman"/>
          <w:sz w:val="24"/>
          <w:szCs w:val="24"/>
        </w:rPr>
        <w:t xml:space="preserve">the following are explicitly excluded from this iteration of the project.</w:t>
      </w:r>
    </w:p>
    <w:p>
      <w:pPr>
        <w:pStyle w:val="ListParagraph"/>
        <w:numPr>
          <w:ilvl w:val="0"/>
          <w:numId w:val="2"/>
        </w:numPr>
        <w:spacing w:after="100" w:line="276"/>
      </w:pPr>
      <w:r>
        <w:rPr>
          <w:rFonts w:ascii="Times New Roman" w:cs="Times New Roman" w:eastAsia="Times New Roman" w:hAnsi="Times New Roman"/>
          <w:sz w:val="24"/>
          <w:szCs w:val="24"/>
        </w:rPr>
        <w:t xml:space="preserve">Direct SCADA or physical field-instrumentation hardware integration.</w:t>
      </w:r>
    </w:p>
    <w:p>
      <w:pPr>
        <w:pStyle w:val="ListParagraph"/>
        <w:numPr>
          <w:ilvl w:val="0"/>
          <w:numId w:val="2"/>
        </w:numPr>
        <w:spacing w:after="100" w:line="276"/>
      </w:pPr>
      <w:r>
        <w:rPr>
          <w:rFonts w:ascii="Times New Roman" w:cs="Times New Roman" w:eastAsia="Times New Roman" w:hAnsi="Times New Roman"/>
          <w:sz w:val="24"/>
          <w:szCs w:val="24"/>
        </w:rPr>
        <w:t xml:space="preserve">Native mobile app development — a responsive, touch-friendly web UI is used instead.</w:t>
      </w:r>
    </w:p>
    <w:p>
      <w:pPr>
        <w:pStyle w:val="ListParagraph"/>
        <w:numPr>
          <w:ilvl w:val="0"/>
          <w:numId w:val="2"/>
        </w:numPr>
        <w:spacing w:after="100" w:line="276"/>
      </w:pPr>
      <w:r>
        <w:rPr>
          <w:rFonts w:ascii="Times New Roman" w:cs="Times New Roman" w:eastAsia="Times New Roman" w:hAnsi="Times New Roman"/>
          <w:sz w:val="24"/>
          <w:szCs w:val="24"/>
        </w:rPr>
        <w:t xml:space="preserve">Use of confidential or proprietary internal GDC records.</w:t>
      </w:r>
    </w:p>
    <w:p>
      <w:pPr>
        <w:pStyle w:val="ListParagraph"/>
        <w:numPr>
          <w:ilvl w:val="0"/>
          <w:numId w:val="2"/>
        </w:numPr>
        <w:spacing w:after="100" w:line="276"/>
      </w:pPr>
      <w:r>
        <w:rPr>
          <w:rFonts w:ascii="Times New Roman" w:cs="Times New Roman" w:eastAsia="Times New Roman" w:hAnsi="Times New Roman"/>
          <w:sz w:val="24"/>
          <w:szCs w:val="24"/>
        </w:rPr>
        <w:t xml:space="preserve">Database-level (trigger-enforced) state-transition constraints — a possible hardening step if time allows, not a committed deliverable (Section 9.2).</w:t>
      </w:r>
    </w:p>
    <w:p>
      <w:pPr>
        <w:spacing w:after="200" w:line="276"/>
        <w:jc w:val="both"/>
      </w:pPr>
      <w:r>
        <w:rPr>
          <w:rFonts w:ascii="Times New Roman" w:cs="Times New Roman" w:eastAsia="Times New Roman" w:hAnsi="Times New Roman"/>
          <w:b/>
          <w:bCs/>
          <w:sz w:val="24"/>
          <w:szCs w:val="24"/>
        </w:rPr>
        <w:t xml:space="preserve">Key limitation: </w:t>
      </w:r>
      <w:r>
        <w:rPr>
          <w:rFonts w:ascii="Times New Roman" w:cs="Times New Roman" w:eastAsia="Times New Roman" w:hAnsi="Times New Roman"/>
          <w:sz w:val="24"/>
          <w:szCs w:val="24"/>
        </w:rPr>
        <w:t xml:space="preserve">internal GDC incident records are confidential and are not expected to be available for academic use. Training therefore relies on the public PHMSA dataset as a proxy, structured so that GDC's own historical data could later replace it with minimal changes to the pipeline.</w:t>
      </w:r>
    </w:p>
    <w:p>
      <w:pPr>
        <w:pStyle w:val="Heading1"/>
      </w:pPr>
      <w:r>
        <w:t xml:space="preserve">7. Related Work and Technology Context</w:t>
      </w:r>
    </w:p>
    <w:p>
      <w:pPr>
        <w:spacing w:after="200" w:line="276"/>
        <w:jc w:val="both"/>
      </w:pPr>
      <w:r>
        <w:rPr>
          <w:rFonts w:ascii="Times New Roman" w:cs="Times New Roman" w:eastAsia="Times New Roman" w:hAnsi="Times New Roman"/>
          <w:sz w:val="24"/>
          <w:szCs w:val="24"/>
        </w:rPr>
        <w:t xml:space="preserve">Commercial Environment, Health and Safety (EHS) platforms such as Intelex, Cority, and Enablon confirm the industrial relevance of digital QHSSE tracking. In machine learning, Logistic Regression, Random Forest, and Support Vector Machine classifiers are standard choices for structured-data risk prediction, and the Synthetic Minority Over-sampling Technique (SMOTE) is a well-established method for the class-imbalance problems common in safety datasets, where high-severity events are comparatively rare. Building on prior coursework applying these algorithms to a medical risk-classification problem, this project adapts the same principles to pipeline and operational safety risk.</w:t>
      </w:r>
    </w:p>
    <w:p>
      <w:pPr>
        <w:pStyle w:val="Heading1"/>
      </w:pPr>
      <w:r>
        <w:t xml:space="preserve">8. Methodology</w:t>
      </w:r>
    </w:p>
    <w:p>
      <w:pPr>
        <w:pStyle w:val="Heading2"/>
      </w:pPr>
      <w:r>
        <w:t xml:space="preserve">8.1 Software Engineering Approach</w:t>
      </w:r>
    </w:p>
    <w:p>
      <w:pPr>
        <w:spacing w:after="200" w:line="276"/>
        <w:jc w:val="both"/>
      </w:pPr>
      <w:r>
        <w:rPr>
          <w:rFonts w:ascii="Times New Roman" w:cs="Times New Roman" w:eastAsia="Times New Roman" w:hAnsi="Times New Roman"/>
          <w:sz w:val="24"/>
          <w:szCs w:val="24"/>
        </w:rPr>
        <w:t xml:space="preserve">An iterative, Agile-style process is used, proceeding through requirements engineering, database design, backend REST API development, frontend component development, ML service integration, and end-to-end testing — appropriate for a solo internship project delivered over a limited timeframe.</w:t>
      </w:r>
    </w:p>
    <w:p>
      <w:pPr>
        <w:pStyle w:val="Heading2"/>
      </w:pPr>
      <w:r>
        <w:t xml:space="preserve">8.2 Machine Learning and Data Pipeline Methodology</w:t>
      </w:r>
    </w:p>
    <w:p>
      <w:pPr>
        <w:spacing w:after="200" w:line="276"/>
        <w:jc w:val="both"/>
      </w:pPr>
      <w:r>
        <w:rPr>
          <w:rFonts w:ascii="Times New Roman" w:cs="Times New Roman" w:eastAsia="Times New Roman" w:hAnsi="Times New Roman"/>
          <w:b/>
          <w:bCs/>
          <w:sz w:val="24"/>
          <w:szCs w:val="24"/>
        </w:rPr>
        <w:t xml:space="preserve">Target engineering: </w:t>
      </w:r>
      <w:r>
        <w:rPr>
          <w:rFonts w:ascii="Times New Roman" w:cs="Times New Roman" w:eastAsia="Times New Roman" w:hAnsi="Times New Roman"/>
          <w:sz w:val="24"/>
          <w:szCs w:val="24"/>
        </w:rPr>
        <w:t xml:space="preserve">a central risk in reusing regulator-defined thresholds as a machine-learning label is that PHMSA's own incident-reportability rule already filters the dataset to events meeting at least one of: a fatality or hospitalisation, property damage above an inflation-adjusted threshold (USD 149,700 as of July 2025, originally USD 50,000 in 1984), or an unintentional gas loss of three million cubic feet or more. Because nearly every record in the dataset already satisfies one of these conditions, defining a “high severity” label on the same criteria would produce little to no useful class separation. To avoid this, severity is instead computed as a normalised index combining property-damage cost, injury/fatality count, and gas volume released, with the classification cutoff set empirically — for example at the upper quartile of the index — once the dataset has been pulled and profiled, rather than assumed in advance.</w:t>
      </w:r>
    </w:p>
    <w:p>
      <w:pPr>
        <w:spacing w:after="200" w:line="276"/>
        <w:jc w:val="both"/>
      </w:pPr>
      <w:r>
        <w:rPr>
          <w:rFonts w:ascii="Times New Roman" w:cs="Times New Roman" w:eastAsia="Times New Roman" w:hAnsi="Times New Roman"/>
          <w:b/>
          <w:bCs/>
          <w:sz w:val="24"/>
          <w:szCs w:val="24"/>
        </w:rPr>
        <w:t xml:space="preserve">Imbalance mitigation: </w:t>
      </w:r>
      <w:r>
        <w:rPr>
          <w:rFonts w:ascii="Times New Roman" w:cs="Times New Roman" w:eastAsia="Times New Roman" w:hAnsi="Times New Roman"/>
          <w:sz w:val="24"/>
          <w:szCs w:val="24"/>
        </w:rPr>
        <w:t xml:space="preserve">the class-balancing strategy — SMOTE, class-weighting, or a combination — is chosen once the actual class split from the step above is known, rather than committed to in advance.</w:t>
      </w:r>
    </w:p>
    <w:p>
      <w:pPr>
        <w:spacing w:after="200" w:line="276"/>
        <w:jc w:val="both"/>
      </w:pPr>
      <w:r>
        <w:rPr>
          <w:rFonts w:ascii="Times New Roman" w:cs="Times New Roman" w:eastAsia="Times New Roman" w:hAnsi="Times New Roman"/>
          <w:b/>
          <w:bCs/>
          <w:sz w:val="24"/>
          <w:szCs w:val="24"/>
        </w:rPr>
        <w:t xml:space="preserve">Evaluation strategy: </w:t>
      </w:r>
      <w:r>
        <w:rPr>
          <w:rFonts w:ascii="Times New Roman" w:cs="Times New Roman" w:eastAsia="Times New Roman" w:hAnsi="Times New Roman"/>
          <w:sz w:val="24"/>
          <w:szCs w:val="24"/>
        </w:rPr>
        <w:t xml:space="preserve">beyond accuracy, evaluation relies on precision, recall, F1-score, confusion matrices, and Precision-Recall Curve Area Under Curve (PRC-AUC), which is more informative than ROC-AUC under class imbalance.</w:t>
      </w:r>
    </w:p>
    <w:p>
      <w:pPr>
        <w:spacing w:after="200" w:line="276"/>
        <w:jc w:val="both"/>
      </w:pPr>
      <w:r>
        <w:rPr>
          <w:rFonts w:ascii="Times New Roman" w:cs="Times New Roman" w:eastAsia="Times New Roman" w:hAnsi="Times New Roman"/>
          <w:b/>
          <w:bCs/>
          <w:sz w:val="24"/>
          <w:szCs w:val="24"/>
        </w:rPr>
        <w:t xml:space="preserve">Model serialisation and serving: </w:t>
      </w:r>
      <w:r>
        <w:rPr>
          <w:rFonts w:ascii="Times New Roman" w:cs="Times New Roman" w:eastAsia="Times New Roman" w:hAnsi="Times New Roman"/>
          <w:sz w:val="24"/>
          <w:szCs w:val="24"/>
        </w:rPr>
        <w:t xml:space="preserve">models are serialised with joblib (or exported to ONNX for portability) and exposed through a FastAPI microservice at a single prediction endpoint, called by the Express backend during incident data entry.</w:t>
      </w:r>
    </w:p>
    <w:p>
      <w:pPr>
        <w:pStyle w:val="Heading1"/>
      </w:pPr>
      <w:r>
        <w:t xml:space="preserve">9. System Architecture and Database Design</w:t>
      </w:r>
    </w:p>
    <w:p>
      <w:pPr>
        <w:pStyle w:val="Heading2"/>
      </w:pPr>
      <w:r>
        <w:t xml:space="preserve">9.1 Architecture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00"/>
      </w:tblGrid>
      <w:tr>
        <w:trPr>
          <w:tblHeader/>
        </w:trPr>
        <w:tc>
          <w:tcPr>
            <w:tcW w:type="dxa" w:w="2000"/>
            <w:shd w:fill="2E539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Layer</w:t>
            </w:r>
          </w:p>
        </w:tc>
        <w:tc>
          <w:tcPr>
            <w:tcW w:type="dxa" w:w="2600"/>
            <w:shd w:fill="2E539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Technology</w:t>
            </w:r>
          </w:p>
        </w:tc>
        <w:tc>
          <w:tcPr>
            <w:tcW w:type="dxa" w:w="4400"/>
            <w:shd w:fill="2E539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Responsibility</w:t>
            </w:r>
          </w:p>
        </w:tc>
      </w:tr>
      <w:tr>
        <w:tc>
          <w:tcPr>
            <w:tcW w:type="dxa" w:w="20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Presentation</w:t>
            </w:r>
          </w:p>
        </w:tc>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Next.js 14, React, TypeScript, Tailwind CSS</w:t>
            </w:r>
          </w:p>
        </w:tc>
        <w:tc>
          <w:tcPr>
            <w:tcW w:type="dxa" w:w="4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User interface for incident/audit entry, dashboards, and admin functions</w:t>
            </w:r>
          </w:p>
        </w:tc>
      </w:tr>
      <w:tr>
        <w:tc>
          <w:tcPr>
            <w:tcW w:type="dxa" w:w="20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API / Application</w:t>
            </w:r>
          </w:p>
        </w:tc>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Express.js (Node.js), Prisma ORM, JWT auth</w:t>
            </w:r>
          </w:p>
        </w:tc>
        <w:tc>
          <w:tcPr>
            <w:tcW w:type="dxa" w:w="4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Business logic, authentication, RBAC middleware, REST endpoints</w:t>
            </w:r>
          </w:p>
        </w:tc>
      </w:tr>
      <w:tr>
        <w:tc>
          <w:tcPr>
            <w:tcW w:type="dxa" w:w="20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Data</w:t>
            </w:r>
          </w:p>
        </w:tc>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PostgreSQL</w:t>
            </w:r>
          </w:p>
        </w:tc>
        <w:tc>
          <w:tcPr>
            <w:tcW w:type="dxa" w:w="4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Persistent storage of incidents, audits, users, and the audit log</w:t>
            </w:r>
          </w:p>
        </w:tc>
      </w:tr>
      <w:tr>
        <w:tc>
          <w:tcPr>
            <w:tcW w:type="dxa" w:w="20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Predictive Service</w:t>
            </w:r>
          </w:p>
        </w:tc>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Python, scikit-learn, FastAPI</w:t>
            </w:r>
          </w:p>
        </w:tc>
        <w:tc>
          <w:tcPr>
            <w:tcW w:type="dxa" w:w="4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Model training and inference, called by the Express API at /api/v1/predict</w:t>
            </w:r>
          </w:p>
        </w:tc>
      </w:tr>
    </w:tbl>
    <w:p>
      <w:pPr>
        <w:pStyle w:val="Heading2"/>
      </w:pPr>
      <w:r>
        <w:t xml:space="preserve">9.2 Workflow State Machine</w:t>
      </w:r>
    </w:p>
    <w:p>
      <w:pPr>
        <w:spacing w:after="200" w:line="276"/>
        <w:jc w:val="both"/>
      </w:pPr>
      <w:r>
        <w:rPr>
          <w:rFonts w:ascii="Times New Roman" w:cs="Times New Roman" w:eastAsia="Times New Roman" w:hAnsi="Times New Roman"/>
          <w:sz w:val="24"/>
          <w:szCs w:val="24"/>
        </w:rPr>
        <w:t xml:space="preserve">Incidents and corrective actions progress through an explicit sequence of states:</w:t>
      </w:r>
    </w:p>
    <w:p>
      <w:pPr>
        <w:spacing w:after="150" w:before="150"/>
        <w:jc w:val="center"/>
      </w:pPr>
      <w:r>
        <w:rPr>
          <w:rFonts w:ascii="Times New Roman" w:cs="Times New Roman" w:eastAsia="Times New Roman" w:hAnsi="Times New Roman"/>
          <w:b/>
          <w:bCs/>
          <w:color w:val="1F3864"/>
          <w:sz w:val="26"/>
          <w:szCs w:val="26"/>
        </w:rPr>
        <w:t xml:space="preserve">DRAFT  →  SUBMITTED  →  UNDER INVESTIGATION  →  CORRECTIVE ACTION PENDING  →  VERIFIED / CLOSED</w:t>
      </w:r>
    </w:p>
    <w:p>
      <w:pPr>
        <w:spacing w:after="200" w:line="276"/>
        <w:jc w:val="both"/>
      </w:pPr>
      <w:r>
        <w:rPr>
          <w:rFonts w:ascii="Times New Roman" w:cs="Times New Roman" w:eastAsia="Times New Roman" w:hAnsi="Times New Roman"/>
          <w:sz w:val="24"/>
          <w:szCs w:val="24"/>
        </w:rPr>
        <w:t xml:space="preserve">For this iteration of the project, valid transitions are enforced at the application layer: the Express API validates that a requested state change is allowed before writing it, and every transition is written to the AuditLog table (Section 9.4). Enforcing the same rule with a PostgreSQL trigger or CHECK constraint is a natural hardening step and is listed as a stretch goal (Section 13) rather than a committed deliverable, given the timeline.</w:t>
      </w:r>
    </w:p>
    <w:p>
      <w:pPr>
        <w:pStyle w:val="Heading2"/>
      </w:pPr>
      <w:r>
        <w:t xml:space="preserve">9.3 Role-Based Access Control (RBAC)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000"/>
        <w:gridCol w:w="2600"/>
      </w:tblGrid>
      <w:tr>
        <w:trPr>
          <w:tblHeader/>
        </w:trPr>
        <w:tc>
          <w:tcPr>
            <w:tcW w:type="dxa" w:w="1900"/>
            <w:shd w:fill="2E539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Role</w:t>
            </w:r>
          </w:p>
        </w:tc>
        <w:tc>
          <w:tcPr>
            <w:tcW w:type="dxa" w:w="2500"/>
            <w:shd w:fill="2E539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Create Incident / Audit</w:t>
            </w:r>
          </w:p>
        </w:tc>
        <w:tc>
          <w:tcPr>
            <w:tcW w:type="dxa" w:w="2000"/>
            <w:shd w:fill="2E539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Dashboard Visibility</w:t>
            </w:r>
          </w:p>
        </w:tc>
        <w:tc>
          <w:tcPr>
            <w:tcW w:type="dxa" w:w="2600"/>
            <w:shd w:fill="2E539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Approve &amp; Verify Actions</w:t>
            </w:r>
          </w:p>
        </w:tc>
      </w:tr>
      <w:tr>
        <w:tc>
          <w:tcPr>
            <w:tcW w:type="dxa" w:w="19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Field Reporter</w:t>
            </w:r>
          </w:p>
        </w:tc>
        <w:tc>
          <w:tcPr>
            <w:tcW w:type="dxa" w:w="25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Yes</w:t>
            </w:r>
          </w:p>
        </w:tc>
        <w:tc>
          <w:tcPr>
            <w:tcW w:type="dxa" w:w="20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Own submissions only</w:t>
            </w:r>
          </w:p>
        </w:tc>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No</w:t>
            </w:r>
          </w:p>
        </w:tc>
      </w:tr>
      <w:tr>
        <w:tc>
          <w:tcPr>
            <w:tcW w:type="dxa" w:w="19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QHSSE Auditor</w:t>
            </w:r>
          </w:p>
        </w:tc>
        <w:tc>
          <w:tcPr>
            <w:tcW w:type="dxa" w:w="25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Yes</w:t>
            </w:r>
          </w:p>
        </w:tc>
        <w:tc>
          <w:tcPr>
            <w:tcW w:type="dxa" w:w="20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Zone-level</w:t>
            </w:r>
          </w:p>
        </w:tc>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Audit-sourced actions only</w:t>
            </w:r>
          </w:p>
        </w:tc>
      </w:tr>
      <w:tr>
        <w:tc>
          <w:tcPr>
            <w:tcW w:type="dxa" w:w="19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Department Lead</w:t>
            </w:r>
          </w:p>
        </w:tc>
        <w:tc>
          <w:tcPr>
            <w:tcW w:type="dxa" w:w="25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Yes</w:t>
            </w:r>
          </w:p>
        </w:tc>
        <w:tc>
          <w:tcPr>
            <w:tcW w:type="dxa" w:w="20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Department-level (all zones)</w:t>
            </w:r>
          </w:p>
        </w:tc>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All actions in department</w:t>
            </w:r>
          </w:p>
        </w:tc>
      </w:tr>
      <w:tr>
        <w:tc>
          <w:tcPr>
            <w:tcW w:type="dxa" w:w="19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System Admin</w:t>
            </w:r>
          </w:p>
        </w:tc>
        <w:tc>
          <w:tcPr>
            <w:tcW w:type="dxa" w:w="25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Yes</w:t>
            </w:r>
          </w:p>
        </w:tc>
        <w:tc>
          <w:tcPr>
            <w:tcW w:type="dxa" w:w="20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Organisation-wide</w:t>
            </w:r>
          </w:p>
        </w:tc>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All actions, plus user &amp; template management</w:t>
            </w:r>
          </w:p>
        </w:tc>
      </w:tr>
    </w:tbl>
    <w:p>
      <w:pPr>
        <w:pStyle w:val="Heading2"/>
      </w:pPr>
      <w:r>
        <w:t xml:space="preserve">9.4 Audit Trail Architecture</w:t>
      </w:r>
    </w:p>
    <w:p>
      <w:pPr>
        <w:spacing w:after="200" w:line="276"/>
        <w:jc w:val="both"/>
      </w:pPr>
      <w:r>
        <w:rPr>
          <w:rFonts w:ascii="Times New Roman" w:cs="Times New Roman" w:eastAsia="Times New Roman" w:hAnsi="Times New Roman"/>
          <w:sz w:val="24"/>
          <w:szCs w:val="24"/>
        </w:rPr>
        <w:t xml:space="preserve">To meet ISO auditability expectations (Section 2), an insert-only AuditLog table records every state mutation across the platform, with fields: id, user_id, action, entity_type, entity_id, previous_state, new_state, timestamp. The table is treated as immutable at the application layer — no update or delete operation is exposed for it through the API.</w:t>
      </w:r>
    </w:p>
    <w:p>
      <w:pPr>
        <w:pStyle w:val="Heading1"/>
      </w:pPr>
      <w:r>
        <w:t xml:space="preserve">10. Data Sources and Domain Feature Mapping</w:t>
      </w:r>
    </w:p>
    <w:p>
      <w:pPr>
        <w:pStyle w:val="Heading2"/>
      </w:pPr>
      <w:r>
        <w:t xml:space="preserve">10.1 Operational Synthetic Data</w:t>
      </w:r>
    </w:p>
    <w:p>
      <w:pPr>
        <w:spacing w:after="200" w:line="276"/>
        <w:jc w:val="both"/>
      </w:pPr>
      <w:r>
        <w:rPr>
          <w:rFonts w:ascii="Times New Roman" w:cs="Times New Roman" w:eastAsia="Times New Roman" w:hAnsi="Times New Roman"/>
          <w:sz w:val="24"/>
          <w:szCs w:val="24"/>
        </w:rPr>
        <w:t xml:space="preserve">Field-tracking modules are populated with synthetic data generated according to GDC's Logbaba operational fields (e.g. gas plant, pipeline sections A–C, PRMS stations), rather than GDC's actual records, for confidentiality reasons.</w:t>
      </w:r>
    </w:p>
    <w:p>
      <w:pPr>
        <w:pStyle w:val="Heading2"/>
      </w:pPr>
      <w:r>
        <w:t xml:space="preserve">10.2 PHMSA Proxy Dataset and Feature Mapping</w:t>
      </w:r>
    </w:p>
    <w:p>
      <w:pPr>
        <w:spacing w:after="200" w:line="276"/>
        <w:jc w:val="both"/>
      </w:pPr>
      <w:r>
        <w:rPr>
          <w:rFonts w:ascii="Times New Roman" w:cs="Times New Roman" w:eastAsia="Times New Roman" w:hAnsi="Times New Roman"/>
          <w:sz w:val="24"/>
          <w:szCs w:val="24"/>
        </w:rPr>
        <w:t xml:space="preserve">Public PHMSA gas-pipeline incident data is mapped onto operational inputs and platform form controls as follows; exact column names will be confirmed against the downloaded file during Phase 1 (Section 13).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2300"/>
        <w:gridCol w:w="3600"/>
      </w:tblGrid>
      <w:tr>
        <w:trPr>
          <w:tblHeader/>
        </w:trPr>
        <w:tc>
          <w:tcPr>
            <w:tcW w:type="dxa" w:w="3100"/>
            <w:shd w:fill="2E539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PHMSA Raw Feature</w:t>
            </w:r>
          </w:p>
        </w:tc>
        <w:tc>
          <w:tcPr>
            <w:tcW w:type="dxa" w:w="2300"/>
            <w:shd w:fill="2E539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Domain Input Parameter</w:t>
            </w:r>
          </w:p>
        </w:tc>
        <w:tc>
          <w:tcPr>
            <w:tcW w:type="dxa" w:w="3600"/>
            <w:shd w:fill="2E539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IQSMS Form Control</w:t>
            </w:r>
          </w:p>
        </w:tc>
      </w:tr>
      <w:tr>
        <w:tc>
          <w:tcPr>
            <w:tcW w:type="dxa" w:w="31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SYSTEM_PART_INVOLVED</w:t>
            </w:r>
          </w:p>
        </w:tc>
        <w:tc>
          <w:tcPr>
            <w:tcW w:type="dxa" w:w="23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Component Type</w:t>
            </w:r>
          </w:p>
        </w:tc>
        <w:tc>
          <w:tcPr>
            <w:tcW w:type="dxa" w:w="3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Dropdown (Pipeline, Valve, Compressor, PRMS)</w:t>
            </w:r>
          </w:p>
        </w:tc>
      </w:tr>
      <w:tr>
        <w:tc>
          <w:tcPr>
            <w:tcW w:type="dxa" w:w="31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CAUSE_CATEGORY</w:t>
            </w:r>
          </w:p>
        </w:tc>
        <w:tc>
          <w:tcPr>
            <w:tcW w:type="dxa" w:w="23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Primary Hazard Cause</w:t>
            </w:r>
          </w:p>
        </w:tc>
        <w:tc>
          <w:tcPr>
            <w:tcW w:type="dxa" w:w="3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Dropdown (Corrosion, Equipment Failure, Excavation, …)</w:t>
            </w:r>
          </w:p>
        </w:tc>
      </w:tr>
      <w:tr>
        <w:tc>
          <w:tcPr>
            <w:tcW w:type="dxa" w:w="31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OPERATING_PRESSURE</w:t>
            </w:r>
          </w:p>
        </w:tc>
        <w:tc>
          <w:tcPr>
            <w:tcW w:type="dxa" w:w="23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Line Pressure (PSI)</w:t>
            </w:r>
          </w:p>
        </w:tc>
        <w:tc>
          <w:tcPr>
            <w:tcW w:type="dxa" w:w="3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Numerical input field</w:t>
            </w:r>
          </w:p>
        </w:tc>
      </w:tr>
      <w:tr>
        <w:tc>
          <w:tcPr>
            <w:tcW w:type="dxa" w:w="31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PIPE_NOMINAL_SIZE</w:t>
            </w:r>
          </w:p>
        </w:tc>
        <w:tc>
          <w:tcPr>
            <w:tcW w:type="dxa" w:w="23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Nominal Diameter (inches)</w:t>
            </w:r>
          </w:p>
        </w:tc>
        <w:tc>
          <w:tcPr>
            <w:tcW w:type="dxa" w:w="3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Numerical input field</w:t>
            </w:r>
          </w:p>
        </w:tc>
      </w:tr>
      <w:tr>
        <w:tc>
          <w:tcPr>
            <w:tcW w:type="dxa" w:w="31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LOCATION_TYPE</w:t>
            </w:r>
          </w:p>
        </w:tc>
        <w:tc>
          <w:tcPr>
            <w:tcW w:type="dxa" w:w="23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Environmental Location</w:t>
            </w:r>
          </w:p>
        </w:tc>
        <w:tc>
          <w:tcPr>
            <w:tcW w:type="dxa" w:w="3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Dropdown (Onshore Plant, Industrial Distribution)</w:t>
            </w:r>
          </w:p>
        </w:tc>
      </w:tr>
    </w:tbl>
    <w:p>
      <w:pPr>
        <w:pStyle w:val="Heading1"/>
      </w:pPr>
      <w:r>
        <w:t xml:space="preserve">11. Standardized Key Performance Indicators (KPIs)</w:t>
      </w:r>
    </w:p>
    <w:p>
      <w:pPr>
        <w:spacing w:after="200" w:line="276"/>
        <w:jc w:val="both"/>
      </w:pPr>
      <w:r>
        <w:rPr>
          <w:rFonts w:ascii="Times New Roman" w:cs="Times New Roman" w:eastAsia="Times New Roman" w:hAnsi="Times New Roman"/>
          <w:sz w:val="24"/>
          <w:szCs w:val="24"/>
        </w:rPr>
        <w:t xml:space="preserve">The management dashboard computes the following metrics directly from the Incident, Audit, and CorrectiveAction tables — none of them are stored redundantly, so the dashboard is never showing stale numbers.</w:t>
      </w:r>
    </w:p>
    <w:p>
      <w:pPr>
        <w:spacing w:after="200" w:line="276"/>
        <w:jc w:val="both"/>
      </w:pPr>
      <w:r>
        <w:rPr>
          <w:rFonts w:ascii="Times New Roman" w:cs="Times New Roman" w:eastAsia="Times New Roman" w:hAnsi="Times New Roman"/>
          <w:sz w:val="24"/>
          <w:szCs w:val="24"/>
        </w:rPr>
        <w:t xml:space="preserve">Corrective Action Closure Rate (CACR) — the share of raised corrective actions that have been closed: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3E0" w:sz="4"/>
              <w:left w:val="single" w:color="C7D3E0" w:sz="4"/>
              <w:bottom w:val="single" w:color="C7D3E0" w:sz="4"/>
              <w:right w:val="single" w:color="C7D3E0" w:sz="4"/>
            </w:tcBorders>
            <w:shd w:fill="EEF2F7" w:val="clear"/>
            <w:tcMar>
              <w:top w:type="dxa" w:w="160"/>
              <w:left w:type="dxa" w:w="220"/>
              <w:bottom w:type="dxa" w:w="160"/>
              <w:right w:type="dxa" w:w="220"/>
            </w:tcMar>
          </w:tcPr>
          <w:p>
            <w:pPr>
              <w:jc w:val="center"/>
            </w:pPr>
            <w:r>
              <w:rPr>
                <w:rFonts w:ascii="Times New Roman" w:cs="Times New Roman" w:eastAsia="Times New Roman" w:hAnsi="Times New Roman"/>
                <w:i/>
                <w:iCs/>
                <w:sz w:val="23"/>
                <w:szCs w:val="23"/>
              </w:rPr>
              <w:t xml:space="preserve">CACR (%)  =  ( Closed corrective actions ÷ Total corrective actions raised )  ×  100</w:t>
            </w:r>
          </w:p>
        </w:tc>
      </w:tr>
    </w:tbl>
    <w:p>
      <w:pPr>
        <w:spacing w:after="200" w:line="276"/>
        <w:jc w:val="both"/>
      </w:pPr>
      <w:r>
        <w:rPr>
          <w:rFonts w:ascii="Times New Roman" w:cs="Times New Roman" w:eastAsia="Times New Roman" w:hAnsi="Times New Roman"/>
          <w:sz w:val="24"/>
          <w:szCs w:val="24"/>
        </w:rPr>
        <w:t xml:space="preserve">Mean Time to Close (MTTC) — the average time, in days, between a corrective action being raised and closed: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3E0" w:sz="4"/>
              <w:left w:val="single" w:color="C7D3E0" w:sz="4"/>
              <w:bottom w:val="single" w:color="C7D3E0" w:sz="4"/>
              <w:right w:val="single" w:color="C7D3E0" w:sz="4"/>
            </w:tcBorders>
            <w:shd w:fill="EEF2F7" w:val="clear"/>
            <w:tcMar>
              <w:top w:type="dxa" w:w="160"/>
              <w:left w:type="dxa" w:w="220"/>
              <w:bottom w:type="dxa" w:w="160"/>
              <w:right w:type="dxa" w:w="220"/>
            </w:tcMar>
          </w:tcPr>
          <w:p>
            <w:pPr>
              <w:jc w:val="center"/>
            </w:pPr>
            <w:r>
              <w:rPr>
                <w:rFonts w:ascii="Times New Roman" w:cs="Times New Roman" w:eastAsia="Times New Roman" w:hAnsi="Times New Roman"/>
                <w:i/>
                <w:iCs/>
                <w:sz w:val="23"/>
                <w:szCs w:val="23"/>
              </w:rPr>
              <w:t xml:space="preserve">MTTC (days)  =  Average of ( Closure date − Date raised ), across all closed corrective actions</w:t>
            </w:r>
          </w:p>
        </w:tc>
      </w:tr>
    </w:tbl>
    <w:p>
      <w:pPr>
        <w:spacing w:after="200" w:line="276"/>
        <w:jc w:val="both"/>
      </w:pPr>
      <w:r>
        <w:rPr>
          <w:rFonts w:ascii="Times New Roman" w:cs="Times New Roman" w:eastAsia="Times New Roman" w:hAnsi="Times New Roman"/>
          <w:sz w:val="24"/>
          <w:szCs w:val="24"/>
        </w:rPr>
        <w:t xml:space="preserve">Near-Miss Frequency Rate (NMFR) — near-misses per 100 employees per year, following the standard OSHA-style incident-rate convention: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3E0" w:sz="4"/>
              <w:left w:val="single" w:color="C7D3E0" w:sz="4"/>
              <w:bottom w:val="single" w:color="C7D3E0" w:sz="4"/>
              <w:right w:val="single" w:color="C7D3E0" w:sz="4"/>
            </w:tcBorders>
            <w:shd w:fill="EEF2F7" w:val="clear"/>
            <w:tcMar>
              <w:top w:type="dxa" w:w="160"/>
              <w:left w:type="dxa" w:w="220"/>
              <w:bottom w:type="dxa" w:w="160"/>
              <w:right w:type="dxa" w:w="220"/>
            </w:tcMar>
          </w:tcPr>
          <w:p>
            <w:pPr>
              <w:jc w:val="center"/>
            </w:pPr>
            <w:r>
              <w:rPr>
                <w:rFonts w:ascii="Times New Roman" w:cs="Times New Roman" w:eastAsia="Times New Roman" w:hAnsi="Times New Roman"/>
                <w:i/>
                <w:iCs/>
                <w:sz w:val="23"/>
                <w:szCs w:val="23"/>
              </w:rPr>
              <w:t xml:space="preserve">NMFR  =  ( Total near-misses logged ÷ Total operational person-hours )  ×  200,000</w:t>
            </w:r>
          </w:p>
        </w:tc>
      </w:tr>
    </w:tbl>
    <w:p>
      <w:pPr>
        <w:spacing w:after="200" w:before="100"/>
      </w:pPr>
      <w:r>
        <w:rPr>
          <w:rFonts w:ascii="Times New Roman" w:cs="Times New Roman" w:eastAsia="Times New Roman" w:hAnsi="Times New Roman"/>
          <w:i/>
          <w:iCs/>
          <w:sz w:val="21"/>
          <w:szCs w:val="21"/>
        </w:rPr>
        <w:t xml:space="preserve">200,000 is the standard normalisation constant (100 full-time employees × 2,000 hours/year), the same convention OSHA uses for recordable incident rates.</w:t>
      </w:r>
    </w:p>
    <w:p>
      <w:pPr>
        <w:pStyle w:val="Heading1"/>
      </w:pPr>
      <w:r>
        <w:t xml:space="preserve">12. Expected Deliverables</w:t>
      </w:r>
    </w:p>
    <w:p>
      <w:pPr>
        <w:pStyle w:val="ListParagraph"/>
        <w:numPr>
          <w:ilvl w:val="0"/>
          <w:numId w:val="2"/>
        </w:numPr>
        <w:spacing w:after="100" w:line="276"/>
      </w:pPr>
      <w:r>
        <w:rPr>
          <w:rFonts w:ascii="Times New Roman" w:cs="Times New Roman" w:eastAsia="Times New Roman" w:hAnsi="Times New Roman"/>
          <w:sz w:val="24"/>
          <w:szCs w:val="24"/>
        </w:rPr>
        <w:t xml:space="preserve">A full-stack web application (Next.js frontend, Express backend, PostgreSQL/Prisma database) covering incident, audit, dashboard, and RBAC modules.</w:t>
      </w:r>
    </w:p>
    <w:p>
      <w:pPr>
        <w:pStyle w:val="ListParagraph"/>
        <w:numPr>
          <w:ilvl w:val="0"/>
          <w:numId w:val="2"/>
        </w:numPr>
        <w:spacing w:after="100" w:line="276"/>
      </w:pPr>
      <w:r>
        <w:rPr>
          <w:rFonts w:ascii="Times New Roman" w:cs="Times New Roman" w:eastAsia="Times New Roman" w:hAnsi="Times New Roman"/>
          <w:sz w:val="24"/>
          <w:szCs w:val="24"/>
        </w:rPr>
        <w:t xml:space="preserve">An insert-only audit-log implementation supporting ISO-aligned traceability.</w:t>
      </w:r>
    </w:p>
    <w:p>
      <w:pPr>
        <w:pStyle w:val="ListParagraph"/>
        <w:numPr>
          <w:ilvl w:val="0"/>
          <w:numId w:val="2"/>
        </w:numPr>
        <w:spacing w:after="100" w:line="276"/>
      </w:pPr>
      <w:r>
        <w:rPr>
          <w:rFonts w:ascii="Times New Roman" w:cs="Times New Roman" w:eastAsia="Times New Roman" w:hAnsi="Times New Roman"/>
          <w:sz w:val="24"/>
          <w:szCs w:val="24"/>
        </w:rPr>
        <w:t xml:space="preserve">A trained and evaluated risk-classification microservice (FastAPI), with a documented model comparison.</w:t>
      </w:r>
    </w:p>
    <w:p>
      <w:pPr>
        <w:pStyle w:val="ListParagraph"/>
        <w:numPr>
          <w:ilvl w:val="0"/>
          <w:numId w:val="2"/>
        </w:numPr>
        <w:spacing w:after="100" w:line="276"/>
      </w:pPr>
      <w:r>
        <w:rPr>
          <w:rFonts w:ascii="Times New Roman" w:cs="Times New Roman" w:eastAsia="Times New Roman" w:hAnsi="Times New Roman"/>
          <w:sz w:val="24"/>
          <w:szCs w:val="24"/>
        </w:rPr>
        <w:t xml:space="preserve">Database migration and seed scripts, including sample workflow states and operational logs.</w:t>
      </w:r>
    </w:p>
    <w:p>
      <w:pPr>
        <w:pStyle w:val="ListParagraph"/>
        <w:numPr>
          <w:ilvl w:val="0"/>
          <w:numId w:val="2"/>
        </w:numPr>
        <w:spacing w:after="100" w:line="276"/>
      </w:pPr>
      <w:r>
        <w:rPr>
          <w:rFonts w:ascii="Times New Roman" w:cs="Times New Roman" w:eastAsia="Times New Roman" w:hAnsi="Times New Roman"/>
          <w:sz w:val="24"/>
          <w:szCs w:val="24"/>
        </w:rPr>
        <w:t xml:space="preserve">Technical documentation covering API endpoints, architecture, and ML evaluation.</w:t>
      </w:r>
    </w:p>
    <w:p>
      <w:pPr>
        <w:pStyle w:val="ListParagraph"/>
        <w:numPr>
          <w:ilvl w:val="0"/>
          <w:numId w:val="2"/>
        </w:numPr>
        <w:spacing w:after="100" w:line="276"/>
      </w:pPr>
      <w:r>
        <w:rPr>
          <w:rFonts w:ascii="Times New Roman" w:cs="Times New Roman" w:eastAsia="Times New Roman" w:hAnsi="Times New Roman"/>
          <w:sz w:val="24"/>
          <w:szCs w:val="24"/>
        </w:rPr>
        <w:t xml:space="preserve">A defense presentation with a live, functional demonstration.</w:t>
      </w:r>
    </w:p>
    <w:p>
      <w:pPr>
        <w:pStyle w:val="Heading1"/>
      </w:pPr>
      <w:r>
        <w:t xml:space="preserve">13. Work Plan and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400"/>
      </w:tblGrid>
      <w:tr>
        <w:trPr>
          <w:tblHeader/>
        </w:trPr>
        <w:tc>
          <w:tcPr>
            <w:tcW w:type="dxa" w:w="3200"/>
            <w:shd w:fill="2E539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Phase</w:t>
            </w:r>
          </w:p>
        </w:tc>
        <w:tc>
          <w:tcPr>
            <w:tcW w:type="dxa" w:w="4400"/>
            <w:shd w:fill="2E539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Key Activities</w:t>
            </w:r>
          </w:p>
        </w:tc>
        <w:tc>
          <w:tcPr>
            <w:tcW w:type="dxa" w:w="1400"/>
            <w:shd w:fill="2E539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Weeks</w:t>
            </w:r>
          </w:p>
        </w:tc>
      </w:tr>
      <w:tr>
        <w:tc>
          <w:tcPr>
            <w:tcW w:type="dxa" w:w="32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1. Requirements &amp; Schema Design</w:t>
            </w:r>
          </w:p>
        </w:tc>
        <w:tc>
          <w:tcPr>
            <w:tcW w:type="dxa" w:w="4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Workflow/state-machine definition, ISO clause mapping, Prisma schema design</w:t>
            </w:r>
          </w:p>
        </w:tc>
        <w:tc>
          <w:tcPr>
            <w:tcW w:type="dxa" w:w="1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1–2</w:t>
            </w:r>
          </w:p>
        </w:tc>
      </w:tr>
      <w:tr>
        <w:tc>
          <w:tcPr>
            <w:tcW w:type="dxa" w:w="32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2. Core Backend &amp; RBAC</w:t>
            </w:r>
          </w:p>
        </w:tc>
        <w:tc>
          <w:tcPr>
            <w:tcW w:type="dxa" w:w="4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Express API, JWT authentication, RBAC middleware, AuditLog table</w:t>
            </w:r>
          </w:p>
        </w:tc>
        <w:tc>
          <w:tcPr>
            <w:tcW w:type="dxa" w:w="1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3–4</w:t>
            </w:r>
          </w:p>
        </w:tc>
      </w:tr>
      <w:tr>
        <w:tc>
          <w:tcPr>
            <w:tcW w:type="dxa" w:w="32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3. Frontend &amp; Responsive UI</w:t>
            </w:r>
          </w:p>
        </w:tc>
        <w:tc>
          <w:tcPr>
            <w:tcW w:type="dxa" w:w="4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Next.js dynamic forms, Tailwind layouts, state-aware UI</w:t>
            </w:r>
          </w:p>
        </w:tc>
        <w:tc>
          <w:tcPr>
            <w:tcW w:type="dxa" w:w="1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5–6</w:t>
            </w:r>
          </w:p>
        </w:tc>
      </w:tr>
      <w:tr>
        <w:tc>
          <w:tcPr>
            <w:tcW w:type="dxa" w:w="32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4. ML Pipeline &amp; API Service</w:t>
            </w:r>
          </w:p>
        </w:tc>
        <w:tc>
          <w:tcPr>
            <w:tcW w:type="dxa" w:w="4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PHMSA feature mapping, data profiling, severity-target definition, SMOTE/weighting, FastAPI endpoint</w:t>
            </w:r>
          </w:p>
        </w:tc>
        <w:tc>
          <w:tcPr>
            <w:tcW w:type="dxa" w:w="1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7–8</w:t>
            </w:r>
          </w:p>
        </w:tc>
      </w:tr>
      <w:tr>
        <w:tc>
          <w:tcPr>
            <w:tcW w:type="dxa" w:w="32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5. Integration &amp; Dashboard</w:t>
            </w:r>
          </w:p>
        </w:tc>
        <w:tc>
          <w:tcPr>
            <w:tcW w:type="dxa" w:w="4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Next.js–FastAPI integration, KPI calculations, end-to-end testing</w:t>
            </w:r>
          </w:p>
        </w:tc>
        <w:tc>
          <w:tcPr>
            <w:tcW w:type="dxa" w:w="1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9–10</w:t>
            </w:r>
          </w:p>
        </w:tc>
      </w:tr>
      <w:tr>
        <w:tc>
          <w:tcPr>
            <w:tcW w:type="dxa" w:w="32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6. Documentation &amp; Defense</w:t>
            </w:r>
          </w:p>
        </w:tc>
        <w:tc>
          <w:tcPr>
            <w:tcW w:type="dxa" w:w="4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Report finalisation, slide preparation, defense dry-run</w:t>
            </w:r>
          </w:p>
        </w:tc>
        <w:tc>
          <w:tcPr>
            <w:tcW w:type="dxa" w:w="1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11–12</w:t>
            </w:r>
          </w:p>
        </w:tc>
      </w:tr>
    </w:tbl>
    <w:p>
      <w:pPr>
        <w:spacing w:after="200" w:before="100"/>
      </w:pPr>
      <w:r>
        <w:rPr>
          <w:rFonts w:ascii="Times New Roman" w:cs="Times New Roman" w:eastAsia="Times New Roman" w:hAnsi="Times New Roman"/>
          <w:i/>
          <w:iCs/>
          <w:sz w:val="21"/>
          <w:szCs w:val="21"/>
        </w:rPr>
        <w:t xml:space="preserve">Stretch goal, time permitting: database-level (trigger-enforced) state-transition constraints, attempted at the end of Phase 2.</w:t>
      </w:r>
    </w:p>
    <w:p>
      <w:pPr>
        <w:pStyle w:val="Heading1"/>
      </w:pPr>
      <w:r>
        <w:t xml:space="preserve">14. Tools and Technologies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E539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Category</w:t>
            </w:r>
          </w:p>
        </w:tc>
        <w:tc>
          <w:tcPr>
            <w:tcW w:type="dxa" w:w="6400"/>
            <w:shd w:fill="2E5395"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Tools &amp; Libraries</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Frontend</w:t>
            </w:r>
          </w:p>
        </w:tc>
        <w:tc>
          <w:tcPr>
            <w:tcW w:type="dxa" w:w="6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Next.js 14 (React), TypeScript, Tailwind CSS</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Backend &amp; ORM</w:t>
            </w:r>
          </w:p>
        </w:tc>
        <w:tc>
          <w:tcPr>
            <w:tcW w:type="dxa" w:w="6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Node.js, Express.js, Prisma ORM, JWT (jsonwebtoken)</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Database</w:t>
            </w:r>
          </w:p>
        </w:tc>
        <w:tc>
          <w:tcPr>
            <w:tcW w:type="dxa" w:w="6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PostgreSQL</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Machine Learning Service</w:t>
            </w:r>
          </w:p>
        </w:tc>
        <w:tc>
          <w:tcPr>
            <w:tcW w:type="dxa" w:w="6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Python 3.11, FastAPI, scikit-learn, pandas, NumPy, joblib, imbalanced-learn (SMOTE)</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DevOps &amp; Tools</w:t>
            </w:r>
          </w:p>
        </w:tc>
        <w:tc>
          <w:tcPr>
            <w:tcW w:type="dxa" w:w="6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20"/>
                <w:szCs w:val="20"/>
              </w:rPr>
              <w:t xml:space="preserve">Git, GitHub, Postman, Visual Studio Code</w:t>
            </w:r>
          </w:p>
        </w:tc>
      </w:tr>
    </w:tbl>
    <w:p>
      <w:pPr>
        <w:pStyle w:val="Heading1"/>
      </w:pPr>
      <w:r>
        <w:t xml:space="preserve">15. Conclusion</w:t>
      </w:r>
    </w:p>
    <w:p>
      <w:pPr>
        <w:spacing w:after="200" w:line="276"/>
        <w:jc w:val="both"/>
      </w:pPr>
      <w:r>
        <w:rPr>
          <w:rFonts w:ascii="Times New Roman" w:cs="Times New Roman" w:eastAsia="Times New Roman" w:hAnsi="Times New Roman"/>
          <w:sz w:val="24"/>
          <w:szCs w:val="24"/>
        </w:rPr>
        <w:t xml:space="preserve">This project turns an internship placement in QHSSE/IMS into a full-stack software and applied machine-learning project with direct relevance to GDC's operational context. By combining workflow-driven incident and audit management, ISO-aligned audit logging, an interactive KPI dashboard, and a predictive risk-classification service built on a methodologically sound, data-driven severity target, the Intelligent QHSSE Safety Management System is intended to demonstrate the software engineering and data-science competencies expected of a computer engineering graduate, while remaining genuinely useful to the department that hosted the internship.</w:t>
      </w:r>
    </w:p>
    <w:p>
      <w:pPr>
        <w:pStyle w:val="Heading1"/>
      </w:pPr>
      <w:r>
        <w:t xml:space="preserve">References</w:t>
      </w:r>
    </w:p>
    <w:p>
      <w:pPr>
        <w:spacing w:after="120"/>
      </w:pPr>
      <w:r>
        <w:rPr>
          <w:rFonts w:ascii="Times New Roman" w:cs="Times New Roman" w:eastAsia="Times New Roman" w:hAnsi="Times New Roman"/>
          <w:sz w:val="22"/>
          <w:szCs w:val="22"/>
        </w:rPr>
        <w:t xml:space="preserve">Pipeline and Hazardous Materials Safety Administration (PHMSA). Data &amp; Statistics. U.S. Department of Transportation. https://www.phmsa.dot.gov/data-and-statistics</w:t>
      </w:r>
    </w:p>
    <w:p>
      <w:pPr>
        <w:spacing w:after="120"/>
      </w:pPr>
      <w:r>
        <w:rPr>
          <w:rFonts w:ascii="Times New Roman" w:cs="Times New Roman" w:eastAsia="Times New Roman" w:hAnsi="Times New Roman"/>
          <w:sz w:val="22"/>
          <w:szCs w:val="22"/>
        </w:rPr>
        <w:t xml:space="preserve">International Organization for Standardization. ISO 9001:2015 — Quality management systems.</w:t>
      </w:r>
    </w:p>
    <w:p>
      <w:pPr>
        <w:spacing w:after="120"/>
      </w:pPr>
      <w:r>
        <w:rPr>
          <w:rFonts w:ascii="Times New Roman" w:cs="Times New Roman" w:eastAsia="Times New Roman" w:hAnsi="Times New Roman"/>
          <w:sz w:val="22"/>
          <w:szCs w:val="22"/>
        </w:rPr>
        <w:t xml:space="preserve">International Organization for Standardization. ISO 14001:2015 — Environmental management systems.</w:t>
      </w:r>
    </w:p>
    <w:p>
      <w:pPr>
        <w:spacing w:after="120"/>
      </w:pPr>
      <w:r>
        <w:rPr>
          <w:rFonts w:ascii="Times New Roman" w:cs="Times New Roman" w:eastAsia="Times New Roman" w:hAnsi="Times New Roman"/>
          <w:sz w:val="22"/>
          <w:szCs w:val="22"/>
        </w:rPr>
        <w:t xml:space="preserve">International Organization for Standardization. ISO 45001:2018 — Occupational health and safety management systems.</w:t>
      </w:r>
    </w:p>
    <w:p>
      <w:pPr>
        <w:spacing w:after="120"/>
      </w:pPr>
      <w:r>
        <w:rPr>
          <w:rFonts w:ascii="Times New Roman" w:cs="Times New Roman" w:eastAsia="Times New Roman" w:hAnsi="Times New Roman"/>
          <w:sz w:val="22"/>
          <w:szCs w:val="22"/>
        </w:rPr>
        <w:t xml:space="preserve">Chawla, N. V., Bowyer, K. W., Hall, L. O., &amp; Kegelmeyer, W. P. (2002). SMOTE: Synthetic Minority Over-sampling Technique. Journal of Artificial Intelligence Research, 16, 321–357.</w:t>
      </w:r>
    </w:p>
    <w:p>
      <w:pPr>
        <w:spacing w:after="120"/>
      </w:pPr>
      <w:r>
        <w:rPr>
          <w:rFonts w:ascii="Times New Roman" w:cs="Times New Roman" w:eastAsia="Times New Roman" w:hAnsi="Times New Roman"/>
          <w:sz w:val="22"/>
          <w:szCs w:val="22"/>
        </w:rPr>
        <w:t xml:space="preserve">Hastie, T., Tibshirani, R., &amp; Friedman, J. (2009). The Elements of Statistical Learning: Data Mining, Inference, and Prediction (2nd ed.). Springer.</w:t>
      </w:r>
    </w:p>
    <w:p>
      <w:pPr>
        <w:spacing w:after="120"/>
      </w:pPr>
      <w:r>
        <w:rPr>
          <w:rFonts w:ascii="Times New Roman" w:cs="Times New Roman" w:eastAsia="Times New Roman" w:hAnsi="Times New Roman"/>
          <w:i/>
          <w:iCs/>
          <w:sz w:val="22"/>
          <w:szCs w:val="22"/>
        </w:rPr>
        <w:t xml:space="preserve">[Add further literature references here as your review develops.]</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08080"/>
        <w:sz w:val="18"/>
        <w:szCs w:val="18"/>
      </w:rPr>
      <w:t xml:space="preserve">Intelligent QHSSE Safety Management System — Project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6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40" w:before="260"/>
      <w:outlineLvl w:val="1"/>
    </w:pPr>
    <w:rPr>
      <w:rFonts w:ascii="Times New Roman" w:cs="Times New Roman" w:eastAsia="Times New Roman" w:hAnsi="Times New Roman"/>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QHSSE Safety Management System — Project Proposal</dc:title>
  <dc:creator>Project Proposal Draft</dc:creator>
  <dc:description>Capstone internship defense project proposal (v2)</dc:description>
  <cp:lastModifiedBy>Un-named</cp:lastModifiedBy>
  <cp:revision>1</cp:revision>
  <dcterms:created xsi:type="dcterms:W3CDTF">2026-08-10T08:39:45.249Z</dcterms:created>
  <dcterms:modified xsi:type="dcterms:W3CDTF">2026-08-10T08:39:45.249Z</dcterms:modified>
</cp:coreProperties>
</file>

<file path=docProps/custom.xml><?xml version="1.0" encoding="utf-8"?>
<Properties xmlns="http://schemas.openxmlformats.org/officeDocument/2006/custom-properties" xmlns:vt="http://schemas.openxmlformats.org/officeDocument/2006/docPropsVTypes"/>
</file>