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</w:p>
    <w:p>
      <w:pPr>
        <w:jc w:val="center"/>
        <w:rPr>
          <w:rFonts w:ascii="黑体" w:hAnsi="黑体" w:eastAsia="黑体" w:cs="Times New Roman"/>
          <w:b/>
          <w:bCs/>
          <w:sz w:val="30"/>
          <w:szCs w:val="30"/>
        </w:rPr>
      </w:pPr>
      <w:r>
        <w:rPr>
          <w:rFonts w:ascii="黑体" w:hAnsi="黑体" w:eastAsia="黑体" w:cs="黑体"/>
          <w:b/>
          <w:bCs/>
          <w:sz w:val="30"/>
          <w:szCs w:val="30"/>
        </w:rPr>
        <w:t>呼叫盒与叉车通信协议</w:t>
      </w:r>
    </w:p>
    <w:p>
      <w:pPr>
        <w:jc w:val="center"/>
        <w:rPr>
          <w:rFonts w:ascii="黑体" w:hAnsi="黑体" w:eastAsia="黑体" w:cs="Times New Roman"/>
          <w:sz w:val="24"/>
          <w:szCs w:val="24"/>
        </w:rPr>
      </w:pPr>
    </w:p>
    <w:p>
      <w:pPr>
        <w:jc w:val="center"/>
        <w:rPr>
          <w:rFonts w:ascii="宋体" w:cs="Times New Roman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版本</w:t>
      </w:r>
      <w:r>
        <w:rPr>
          <w:rFonts w:ascii="宋体" w:hAnsi="宋体" w:cs="宋体"/>
          <w:sz w:val="24"/>
          <w:szCs w:val="24"/>
        </w:rPr>
        <w:t>:1.0.</w:t>
      </w:r>
      <w:r>
        <w:rPr>
          <w:rFonts w:ascii="宋体" w:hAnsi="宋体" w:cs="宋体"/>
          <w:sz w:val="24"/>
          <w:szCs w:val="24"/>
        </w:rPr>
        <w:t>1</w:t>
      </w:r>
    </w:p>
    <w:p>
      <w:pPr>
        <w:widowControl/>
        <w:jc w:val="left"/>
        <w:rPr>
          <w:rFonts w:ascii="黑体" w:hAnsi="黑体" w:eastAsia="黑体" w:cs="Times New Roman"/>
          <w:sz w:val="24"/>
          <w:szCs w:val="24"/>
        </w:rPr>
      </w:pPr>
    </w:p>
    <w:p>
      <w:pPr>
        <w:widowControl/>
        <w:jc w:val="left"/>
        <w:rPr>
          <w:rFonts w:ascii="黑体" w:hAnsi="黑体" w:eastAsia="黑体" w:cs="Times New Roman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版本修改记录</w:t>
      </w:r>
    </w:p>
    <w:tbl>
      <w:tblPr>
        <w:tblStyle w:val="3"/>
        <w:tblW w:w="9736" w:type="dxa"/>
        <w:tblInd w:w="-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3260"/>
        <w:gridCol w:w="1276"/>
        <w:gridCol w:w="2268"/>
        <w:gridCol w:w="1661"/>
      </w:tblGrid>
      <w:tr>
        <w:tc>
          <w:tcPr>
            <w:tcW w:w="1271" w:type="dxa"/>
          </w:tcPr>
          <w:p>
            <w:pPr>
              <w:widowControl/>
              <w:jc w:val="left"/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版本号</w:t>
            </w:r>
          </w:p>
        </w:tc>
        <w:tc>
          <w:tcPr>
            <w:tcW w:w="3260" w:type="dxa"/>
          </w:tcPr>
          <w:p>
            <w:pPr>
              <w:widowControl/>
              <w:jc w:val="left"/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修改内容</w:t>
            </w:r>
          </w:p>
        </w:tc>
        <w:tc>
          <w:tcPr>
            <w:tcW w:w="1276" w:type="dxa"/>
          </w:tcPr>
          <w:p>
            <w:pPr>
              <w:widowControl/>
              <w:jc w:val="left"/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修改人</w:t>
            </w:r>
          </w:p>
        </w:tc>
        <w:tc>
          <w:tcPr>
            <w:tcW w:w="2268" w:type="dxa"/>
          </w:tcPr>
          <w:p>
            <w:pPr>
              <w:widowControl/>
              <w:jc w:val="left"/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参与评审人员</w:t>
            </w:r>
          </w:p>
        </w:tc>
        <w:tc>
          <w:tcPr>
            <w:tcW w:w="1661" w:type="dxa"/>
          </w:tcPr>
          <w:p>
            <w:pPr>
              <w:widowControl/>
              <w:jc w:val="left"/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修改日期</w:t>
            </w:r>
          </w:p>
        </w:tc>
      </w:tr>
      <w:tr>
        <w:tc>
          <w:tcPr>
            <w:tcW w:w="1271" w:type="dxa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1.0.0</w:t>
            </w:r>
          </w:p>
        </w:tc>
        <w:tc>
          <w:tcPr>
            <w:tcW w:w="3260" w:type="dxa"/>
          </w:tcPr>
          <w:p>
            <w:pPr>
              <w:widowControl/>
              <w:jc w:val="left"/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初稿</w:t>
            </w:r>
          </w:p>
        </w:tc>
        <w:tc>
          <w:tcPr>
            <w:tcW w:w="1276" w:type="dxa"/>
          </w:tcPr>
          <w:p>
            <w:pPr>
              <w:widowControl/>
              <w:jc w:val="left"/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钟晓泉</w:t>
            </w:r>
          </w:p>
        </w:tc>
        <w:tc>
          <w:tcPr>
            <w:tcW w:w="2268" w:type="dxa"/>
          </w:tcPr>
          <w:p>
            <w:pPr>
              <w:widowControl/>
              <w:jc w:val="left"/>
              <w:rPr>
                <w:rFonts w:ascii="宋体" w:cs="Times New Roman"/>
                <w:sz w:val="24"/>
                <w:szCs w:val="24"/>
              </w:rPr>
            </w:pPr>
          </w:p>
        </w:tc>
        <w:tc>
          <w:tcPr>
            <w:tcW w:w="1661" w:type="dxa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2016.11.16</w:t>
            </w:r>
          </w:p>
        </w:tc>
      </w:tr>
      <w:tr>
        <w:tc>
          <w:tcPr>
            <w:tcW w:w="1271" w:type="dxa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1.0.1</w:t>
            </w:r>
          </w:p>
        </w:tc>
        <w:tc>
          <w:tcPr>
            <w:tcW w:w="3260" w:type="dxa"/>
          </w:tcPr>
          <w:p>
            <w:pPr>
              <w:widowControl/>
              <w:jc w:val="left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cs="Times New Roman"/>
                <w:sz w:val="24"/>
                <w:szCs w:val="24"/>
              </w:rPr>
              <w:t>AGV设备发现协议增加回应PID</w:t>
            </w:r>
            <w:bookmarkStart w:id="0" w:name="_GoBack"/>
            <w:bookmarkEnd w:id="0"/>
          </w:p>
        </w:tc>
        <w:tc>
          <w:tcPr>
            <w:tcW w:w="1276" w:type="dxa"/>
          </w:tcPr>
          <w:p>
            <w:pPr>
              <w:widowControl/>
              <w:jc w:val="left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cs="Times New Roman"/>
                <w:sz w:val="24"/>
                <w:szCs w:val="24"/>
              </w:rPr>
              <w:t>钟晓泉</w:t>
            </w:r>
          </w:p>
        </w:tc>
        <w:tc>
          <w:tcPr>
            <w:tcW w:w="2268" w:type="dxa"/>
          </w:tcPr>
          <w:p>
            <w:pPr>
              <w:widowControl/>
              <w:jc w:val="left"/>
              <w:rPr>
                <w:rFonts w:ascii="宋体" w:cs="Times New Roman"/>
                <w:sz w:val="24"/>
                <w:szCs w:val="24"/>
              </w:rPr>
            </w:pPr>
          </w:p>
        </w:tc>
        <w:tc>
          <w:tcPr>
            <w:tcW w:w="1661" w:type="dxa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2017.03.17</w:t>
            </w:r>
          </w:p>
        </w:tc>
      </w:tr>
      <w:tr>
        <w:tc>
          <w:tcPr>
            <w:tcW w:w="1271" w:type="dxa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3260" w:type="dxa"/>
          </w:tcPr>
          <w:p>
            <w:pPr>
              <w:widowControl/>
              <w:jc w:val="left"/>
              <w:rPr>
                <w:rFonts w:ascii="宋体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>
            <w:pPr>
              <w:widowControl/>
              <w:jc w:val="left"/>
              <w:rPr>
                <w:rFonts w:ascii="宋体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>
            <w:pPr>
              <w:widowControl/>
              <w:jc w:val="left"/>
              <w:rPr>
                <w:rFonts w:ascii="宋体" w:cs="Times New Roman"/>
                <w:sz w:val="24"/>
                <w:szCs w:val="24"/>
              </w:rPr>
            </w:pPr>
          </w:p>
        </w:tc>
        <w:tc>
          <w:tcPr>
            <w:tcW w:w="1661" w:type="dxa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</w:tr>
      <w:tr>
        <w:tc>
          <w:tcPr>
            <w:tcW w:w="1271" w:type="dxa"/>
          </w:tcPr>
          <w:p>
            <w:pPr>
              <w:widowControl/>
              <w:jc w:val="left"/>
              <w:rPr>
                <w:rFonts w:ascii="宋体" w:cs="Times New Roman"/>
                <w:sz w:val="24"/>
                <w:szCs w:val="24"/>
              </w:rPr>
            </w:pPr>
          </w:p>
        </w:tc>
        <w:tc>
          <w:tcPr>
            <w:tcW w:w="3260" w:type="dxa"/>
          </w:tcPr>
          <w:p>
            <w:pPr>
              <w:widowControl/>
              <w:jc w:val="left"/>
              <w:rPr>
                <w:rFonts w:ascii="宋体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>
            <w:pPr>
              <w:widowControl/>
              <w:jc w:val="left"/>
              <w:rPr>
                <w:rFonts w:ascii="宋体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>
            <w:pPr>
              <w:widowControl/>
              <w:jc w:val="left"/>
              <w:rPr>
                <w:rFonts w:ascii="宋体" w:cs="Times New Roman"/>
                <w:sz w:val="24"/>
                <w:szCs w:val="24"/>
              </w:rPr>
            </w:pPr>
          </w:p>
        </w:tc>
        <w:tc>
          <w:tcPr>
            <w:tcW w:w="1661" w:type="dxa"/>
          </w:tcPr>
          <w:p>
            <w:pPr>
              <w:widowControl/>
              <w:jc w:val="left"/>
              <w:rPr>
                <w:rFonts w:ascii="宋体" w:cs="Times New Roman"/>
                <w:sz w:val="24"/>
                <w:szCs w:val="24"/>
              </w:rPr>
            </w:pPr>
          </w:p>
        </w:tc>
      </w:tr>
    </w:tbl>
    <w:p>
      <w:pPr>
        <w:widowControl/>
        <w:jc w:val="left"/>
        <w:rPr>
          <w:rFonts w:ascii="宋体" w:cs="Times New Roman"/>
          <w:sz w:val="24"/>
          <w:szCs w:val="24"/>
        </w:rPr>
      </w:pPr>
    </w:p>
    <w:p>
      <w:pPr>
        <w:widowControl/>
        <w:jc w:val="left"/>
        <w:rPr>
          <w:rFonts w:ascii="宋体" w:cs="Times New Roman"/>
          <w:sz w:val="24"/>
          <w:szCs w:val="24"/>
        </w:rPr>
      </w:pP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numPr>
          <w:ilvl w:val="0"/>
          <w:numId w:val="1"/>
        </w:numPr>
      </w:pPr>
      <w:r>
        <w:t>数据帧格式：</w:t>
      </w:r>
    </w:p>
    <w:tbl>
      <w:tblPr>
        <w:tblStyle w:val="3"/>
        <w:tblW w:w="694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851"/>
        <w:gridCol w:w="992"/>
        <w:gridCol w:w="1281"/>
        <w:gridCol w:w="986"/>
        <w:gridCol w:w="992"/>
        <w:gridCol w:w="851"/>
      </w:tblGrid>
      <w:tr>
        <w:trPr>
          <w:jc w:val="center"/>
        </w:trPr>
        <w:tc>
          <w:tcPr>
            <w:tcW w:w="988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帧头</w:t>
            </w:r>
          </w:p>
        </w:tc>
        <w:tc>
          <w:tcPr>
            <w:tcW w:w="851" w:type="dxa"/>
          </w:tcPr>
          <w:p>
            <w:pPr>
              <w:rPr>
                <w:rFonts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长度</w:t>
            </w:r>
          </w:p>
        </w:tc>
        <w:tc>
          <w:tcPr>
            <w:tcW w:w="992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校验码</w:t>
            </w:r>
          </w:p>
        </w:tc>
        <w:tc>
          <w:tcPr>
            <w:tcW w:w="1281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协议标识</w:t>
            </w:r>
          </w:p>
        </w:tc>
        <w:tc>
          <w:tcPr>
            <w:tcW w:w="986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指令字</w:t>
            </w:r>
          </w:p>
        </w:tc>
        <w:tc>
          <w:tcPr>
            <w:tcW w:w="992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数据</w:t>
            </w:r>
          </w:p>
        </w:tc>
        <w:tc>
          <w:tcPr>
            <w:tcW w:w="851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帧尾</w:t>
            </w:r>
          </w:p>
        </w:tc>
      </w:tr>
      <w:tr>
        <w:trPr>
          <w:jc w:val="center"/>
        </w:trPr>
        <w:tc>
          <w:tcPr>
            <w:tcW w:w="988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1</w:t>
            </w:r>
            <w:r>
              <w:rPr>
                <w:rFonts w:hint="eastAsia" w:ascii="宋体" w:hAnsi="宋体" w:cs="宋体"/>
                <w:sz w:val="24"/>
                <w:szCs w:val="24"/>
              </w:rPr>
              <w:t>字节</w:t>
            </w:r>
          </w:p>
        </w:tc>
        <w:tc>
          <w:tcPr>
            <w:tcW w:w="851" w:type="dxa"/>
          </w:tcPr>
          <w:p>
            <w:pPr>
              <w:rPr>
                <w:rFonts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2</w:t>
            </w:r>
            <w:r>
              <w:rPr>
                <w:rFonts w:hint="eastAsia" w:ascii="宋体" w:hAnsi="宋体" w:cs="宋体"/>
                <w:sz w:val="24"/>
                <w:szCs w:val="24"/>
              </w:rPr>
              <w:t>字节</w:t>
            </w:r>
          </w:p>
        </w:tc>
        <w:tc>
          <w:tcPr>
            <w:tcW w:w="992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2</w:t>
            </w:r>
            <w:r>
              <w:rPr>
                <w:rFonts w:hint="eastAsia" w:ascii="宋体" w:hAnsi="宋体" w:cs="宋体"/>
                <w:sz w:val="24"/>
                <w:szCs w:val="24"/>
              </w:rPr>
              <w:t>字节</w:t>
            </w:r>
          </w:p>
        </w:tc>
        <w:tc>
          <w:tcPr>
            <w:tcW w:w="1281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2</w:t>
            </w:r>
            <w:r>
              <w:rPr>
                <w:rFonts w:hint="eastAsia" w:ascii="宋体" w:hAnsi="宋体" w:cs="宋体"/>
                <w:sz w:val="24"/>
                <w:szCs w:val="24"/>
              </w:rPr>
              <w:t>字节</w:t>
            </w:r>
          </w:p>
        </w:tc>
        <w:tc>
          <w:tcPr>
            <w:tcW w:w="986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2</w:t>
            </w:r>
            <w:r>
              <w:rPr>
                <w:rFonts w:hint="eastAsia" w:ascii="宋体" w:hAnsi="宋体" w:cs="宋体"/>
                <w:sz w:val="24"/>
                <w:szCs w:val="24"/>
              </w:rPr>
              <w:t>字节</w:t>
            </w:r>
          </w:p>
        </w:tc>
        <w:tc>
          <w:tcPr>
            <w:tcW w:w="992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N</w:t>
            </w:r>
            <w:r>
              <w:rPr>
                <w:rFonts w:hint="eastAsia" w:ascii="宋体" w:hAnsi="宋体" w:cs="宋体"/>
                <w:sz w:val="24"/>
                <w:szCs w:val="24"/>
              </w:rPr>
              <w:t>字节</w:t>
            </w:r>
          </w:p>
        </w:tc>
        <w:tc>
          <w:tcPr>
            <w:tcW w:w="851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1</w:t>
            </w:r>
            <w:r>
              <w:rPr>
                <w:rFonts w:hint="eastAsia" w:ascii="宋体" w:hAnsi="宋体" w:cs="宋体"/>
                <w:sz w:val="24"/>
                <w:szCs w:val="24"/>
              </w:rPr>
              <w:t>字节</w:t>
            </w:r>
          </w:p>
        </w:tc>
      </w:tr>
    </w:tbl>
    <w:p>
      <w:pPr>
        <w:rPr>
          <w:rFonts w:ascii="宋体" w:cs="Times New Roman"/>
          <w:sz w:val="24"/>
          <w:szCs w:val="24"/>
        </w:rPr>
      </w:pPr>
    </w:p>
    <w:p>
      <w:pPr>
        <w:ind w:firstLine="480"/>
        <w:rPr>
          <w:rFonts w:ascii="宋体" w:cs="Times New Roman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1</w:t>
      </w:r>
      <w:r>
        <w:rPr>
          <w:rFonts w:hint="eastAsia" w:ascii="宋体" w:hAnsi="宋体" w:cs="宋体"/>
          <w:sz w:val="24"/>
          <w:szCs w:val="24"/>
        </w:rPr>
        <w:t>）帧头</w:t>
      </w:r>
      <w:r>
        <w:rPr>
          <w:rFonts w:ascii="宋体" w:hAnsi="宋体" w:cs="宋体"/>
          <w:sz w:val="24"/>
          <w:szCs w:val="24"/>
        </w:rPr>
        <w:t>/</w:t>
      </w:r>
      <w:r>
        <w:rPr>
          <w:rFonts w:hint="eastAsia" w:ascii="宋体" w:hAnsi="宋体" w:cs="宋体"/>
          <w:sz w:val="24"/>
          <w:szCs w:val="24"/>
        </w:rPr>
        <w:t>帧尾：</w:t>
      </w:r>
      <w:r>
        <w:rPr>
          <w:rFonts w:ascii="宋体" w:cs="宋体"/>
          <w:sz w:val="24"/>
          <w:szCs w:val="24"/>
        </w:rPr>
        <w:t>0</w:t>
      </w:r>
      <w:r>
        <w:rPr>
          <w:rFonts w:ascii="宋体" w:hAnsi="宋体" w:cs="宋体"/>
          <w:sz w:val="24"/>
          <w:szCs w:val="24"/>
        </w:rPr>
        <w:t>xFF</w:t>
      </w:r>
      <w:r>
        <w:rPr>
          <w:rFonts w:hint="eastAsia" w:ascii="宋体" w:hAnsi="宋体" w:cs="宋体"/>
          <w:sz w:val="24"/>
          <w:szCs w:val="24"/>
        </w:rPr>
        <w:t>，标识帧的开始与结束；</w:t>
      </w:r>
    </w:p>
    <w:p>
      <w:pPr>
        <w:ind w:firstLine="480"/>
        <w:rPr>
          <w:rFonts w:ascii="宋体" w:cs="Times New Roman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2</w:t>
      </w:r>
      <w:r>
        <w:rPr>
          <w:rFonts w:hint="eastAsia" w:ascii="宋体" w:hAnsi="宋体" w:cs="宋体"/>
          <w:sz w:val="24"/>
          <w:szCs w:val="24"/>
        </w:rPr>
        <w:t>）长度：</w:t>
      </w:r>
      <w:r>
        <w:rPr>
          <w:rFonts w:ascii="宋体" w:hAnsi="宋体" w:cs="宋体"/>
          <w:sz w:val="24"/>
          <w:szCs w:val="24"/>
        </w:rPr>
        <w:t>unsigned short</w:t>
      </w:r>
      <w:r>
        <w:rPr>
          <w:rFonts w:hint="eastAsia" w:ascii="宋体" w:hAnsi="宋体" w:cs="宋体"/>
          <w:sz w:val="24"/>
          <w:szCs w:val="24"/>
        </w:rPr>
        <w:t>类型，表示从</w:t>
      </w:r>
      <w:r>
        <w:rPr>
          <w:rFonts w:ascii="宋体" w:hAnsi="宋体" w:cs="宋体"/>
          <w:sz w:val="24"/>
          <w:szCs w:val="24"/>
        </w:rPr>
        <w:t>[</w:t>
      </w:r>
      <w:r>
        <w:rPr>
          <w:rFonts w:hint="eastAsia" w:ascii="宋体" w:hAnsi="宋体" w:cs="宋体"/>
          <w:sz w:val="24"/>
          <w:szCs w:val="24"/>
        </w:rPr>
        <w:t>校验码</w:t>
      </w:r>
      <w:r>
        <w:rPr>
          <w:rFonts w:ascii="宋体" w:hAnsi="宋体" w:cs="宋体"/>
          <w:sz w:val="24"/>
          <w:szCs w:val="24"/>
        </w:rPr>
        <w:t>]</w:t>
      </w:r>
      <w:r>
        <w:rPr>
          <w:rFonts w:hint="eastAsia" w:ascii="宋体" w:hAnsi="宋体" w:cs="宋体"/>
          <w:sz w:val="24"/>
          <w:szCs w:val="24"/>
        </w:rPr>
        <w:t>开始到</w:t>
      </w:r>
      <w:r>
        <w:rPr>
          <w:rFonts w:ascii="宋体" w:hAnsi="宋体" w:cs="宋体"/>
          <w:sz w:val="24"/>
          <w:szCs w:val="24"/>
        </w:rPr>
        <w:t>[</w:t>
      </w:r>
      <w:r>
        <w:rPr>
          <w:rFonts w:hint="eastAsia" w:ascii="宋体" w:hAnsi="宋体" w:cs="宋体"/>
          <w:sz w:val="24"/>
          <w:szCs w:val="24"/>
        </w:rPr>
        <w:t>数据</w:t>
      </w:r>
      <w:r>
        <w:rPr>
          <w:rFonts w:ascii="宋体" w:hAnsi="宋体" w:cs="宋体"/>
          <w:sz w:val="24"/>
          <w:szCs w:val="24"/>
        </w:rPr>
        <w:t>]</w:t>
      </w:r>
      <w:r>
        <w:rPr>
          <w:rFonts w:hint="eastAsia" w:ascii="宋体" w:hAnsi="宋体" w:cs="宋体"/>
          <w:sz w:val="24"/>
          <w:szCs w:val="24"/>
        </w:rPr>
        <w:t>结束的字节数（即</w:t>
      </w:r>
      <w:r>
        <w:rPr>
          <w:rFonts w:ascii="宋体" w:hAnsi="宋体" w:cs="宋体"/>
          <w:sz w:val="24"/>
          <w:szCs w:val="24"/>
        </w:rPr>
        <w:t>N+6</w:t>
      </w:r>
      <w:r>
        <w:rPr>
          <w:rFonts w:hint="eastAsia" w:ascii="宋体" w:hAnsi="宋体" w:cs="宋体"/>
          <w:sz w:val="24"/>
          <w:szCs w:val="24"/>
        </w:rPr>
        <w:t>）；；</w:t>
      </w:r>
    </w:p>
    <w:p>
      <w:pPr>
        <w:ind w:firstLine="480"/>
        <w:rPr>
          <w:rFonts w:ascii="宋体" w:cs="Times New Roman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3</w:t>
      </w:r>
      <w:r>
        <w:rPr>
          <w:rFonts w:hint="eastAsia" w:ascii="宋体" w:hAnsi="宋体" w:cs="宋体"/>
          <w:sz w:val="24"/>
          <w:szCs w:val="24"/>
        </w:rPr>
        <w:t>）校验码算法：</w:t>
      </w:r>
      <w:r>
        <w:rPr>
          <w:rFonts w:ascii="宋体" w:hAnsi="宋体" w:cs="宋体"/>
          <w:sz w:val="24"/>
          <w:szCs w:val="24"/>
        </w:rPr>
        <w:t>CRC16</w:t>
      </w:r>
      <w:r>
        <w:rPr>
          <w:rFonts w:hint="eastAsia" w:ascii="宋体" w:hAnsi="宋体" w:cs="宋体"/>
          <w:sz w:val="24"/>
          <w:szCs w:val="24"/>
        </w:rPr>
        <w:t>，自</w:t>
      </w:r>
      <w:r>
        <w:rPr>
          <w:rFonts w:ascii="宋体" w:hAnsi="宋体" w:cs="宋体"/>
          <w:sz w:val="24"/>
          <w:szCs w:val="24"/>
        </w:rPr>
        <w:t>[</w:t>
      </w:r>
      <w:r>
        <w:rPr>
          <w:rFonts w:hint="eastAsia" w:ascii="宋体" w:hAnsi="宋体" w:cs="宋体"/>
          <w:sz w:val="24"/>
          <w:szCs w:val="24"/>
        </w:rPr>
        <w:t>协议标识</w:t>
      </w:r>
      <w:r>
        <w:rPr>
          <w:rFonts w:ascii="宋体" w:hAnsi="宋体" w:cs="宋体"/>
          <w:sz w:val="24"/>
          <w:szCs w:val="24"/>
        </w:rPr>
        <w:t>]</w:t>
      </w:r>
      <w:r>
        <w:rPr>
          <w:rFonts w:hint="eastAsia" w:ascii="宋体" w:hAnsi="宋体" w:cs="宋体"/>
          <w:sz w:val="24"/>
          <w:szCs w:val="24"/>
        </w:rPr>
        <w:t>到</w:t>
      </w:r>
      <w:r>
        <w:rPr>
          <w:rFonts w:ascii="宋体" w:hAnsi="宋体" w:cs="宋体"/>
          <w:sz w:val="24"/>
          <w:szCs w:val="24"/>
        </w:rPr>
        <w:t>[</w:t>
      </w:r>
      <w:r>
        <w:rPr>
          <w:rFonts w:hint="eastAsia" w:ascii="宋体" w:hAnsi="宋体" w:cs="宋体"/>
          <w:sz w:val="24"/>
          <w:szCs w:val="24"/>
        </w:rPr>
        <w:t>数据</w:t>
      </w:r>
      <w:r>
        <w:rPr>
          <w:rFonts w:ascii="宋体" w:hAnsi="宋体" w:cs="宋体"/>
          <w:sz w:val="24"/>
          <w:szCs w:val="24"/>
        </w:rPr>
        <w:t>]</w:t>
      </w:r>
      <w:r>
        <w:rPr>
          <w:rFonts w:hint="eastAsia" w:ascii="宋体" w:hAnsi="宋体" w:cs="宋体"/>
          <w:sz w:val="24"/>
          <w:szCs w:val="24"/>
        </w:rPr>
        <w:t>的校验值，</w:t>
      </w:r>
    </w:p>
    <w:p>
      <w:pPr>
        <w:ind w:firstLine="480"/>
        <w:rPr>
          <w:rFonts w:ascii="宋体" w:cs="Times New Roman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4</w:t>
      </w:r>
      <w:r>
        <w:rPr>
          <w:rFonts w:hint="eastAsia" w:ascii="宋体" w:hAnsi="宋体" w:cs="宋体"/>
          <w:sz w:val="24"/>
          <w:szCs w:val="24"/>
        </w:rPr>
        <w:t>）协议标识：用于标识不同类型的协议；</w:t>
      </w:r>
    </w:p>
    <w:p>
      <w:pPr>
        <w:ind w:firstLine="480"/>
        <w:rPr>
          <w:rFonts w:ascii="宋体" w:cs="Times New Roman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5</w:t>
      </w:r>
      <w:r>
        <w:rPr>
          <w:rFonts w:hint="eastAsia" w:ascii="宋体" w:hAnsi="宋体" w:cs="宋体"/>
          <w:sz w:val="24"/>
          <w:szCs w:val="24"/>
        </w:rPr>
        <w:t>）指令字：功能码，表示该帧报文的具体功能；</w:t>
      </w:r>
    </w:p>
    <w:p>
      <w:pPr>
        <w:ind w:firstLine="480"/>
        <w:rPr>
          <w:rFonts w:ascii="宋体" w:cs="Times New Roman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6</w:t>
      </w:r>
      <w:r>
        <w:rPr>
          <w:rFonts w:hint="eastAsia" w:ascii="宋体" w:hAnsi="宋体" w:cs="宋体"/>
          <w:sz w:val="24"/>
          <w:szCs w:val="24"/>
        </w:rPr>
        <w:t>）数据：附带的数据内容，具体格式因指令字而异。</w:t>
      </w:r>
    </w:p>
    <w:p>
      <w:pPr>
        <w:ind w:firstLine="420"/>
        <w:rPr>
          <w:rFonts w:ascii="宋体" w:cs="Times New Roman"/>
          <w:sz w:val="24"/>
          <w:szCs w:val="24"/>
        </w:rPr>
      </w:pPr>
    </w:p>
    <w:p>
      <w:pPr>
        <w:ind w:firstLine="420"/>
        <w:rPr>
          <w:rFonts w:ascii="宋体" w:cs="Times New Roman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注意：</w:t>
      </w:r>
    </w:p>
    <w:p>
      <w:pPr>
        <w:ind w:firstLine="420"/>
        <w:rPr>
          <w:rFonts w:ascii="宋体" w:cs="Times New Roman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1</w:t>
      </w:r>
      <w:r>
        <w:rPr>
          <w:rFonts w:hint="eastAsia" w:ascii="宋体" w:hAnsi="宋体" w:cs="宋体"/>
          <w:sz w:val="24"/>
          <w:szCs w:val="24"/>
        </w:rPr>
        <w:t>）因为帧头和帧尾皆使用了</w:t>
      </w:r>
      <w:r>
        <w:rPr>
          <w:rFonts w:ascii="宋体" w:cs="宋体"/>
          <w:sz w:val="24"/>
          <w:szCs w:val="24"/>
        </w:rPr>
        <w:t>0</w:t>
      </w:r>
      <w:r>
        <w:rPr>
          <w:rFonts w:ascii="宋体" w:hAnsi="宋体" w:cs="宋体"/>
          <w:sz w:val="24"/>
          <w:szCs w:val="24"/>
        </w:rPr>
        <w:t>xFF</w:t>
      </w:r>
      <w:r>
        <w:rPr>
          <w:rFonts w:hint="eastAsia" w:ascii="宋体" w:hAnsi="宋体" w:cs="宋体"/>
          <w:sz w:val="24"/>
          <w:szCs w:val="24"/>
        </w:rPr>
        <w:t>，所以</w:t>
      </w:r>
      <w:r>
        <w:rPr>
          <w:rFonts w:ascii="宋体" w:hAnsi="宋体" w:cs="宋体"/>
          <w:sz w:val="24"/>
          <w:szCs w:val="24"/>
        </w:rPr>
        <w:t>[</w:t>
      </w:r>
      <w:r>
        <w:rPr>
          <w:rFonts w:hint="eastAsia" w:ascii="宋体" w:hAnsi="宋体" w:cs="宋体"/>
          <w:sz w:val="24"/>
          <w:szCs w:val="24"/>
        </w:rPr>
        <w:t>帧头</w:t>
      </w:r>
      <w:r>
        <w:rPr>
          <w:rFonts w:ascii="宋体" w:hAnsi="宋体" w:cs="宋体"/>
          <w:sz w:val="24"/>
          <w:szCs w:val="24"/>
        </w:rPr>
        <w:t>]</w:t>
      </w:r>
      <w:r>
        <w:rPr>
          <w:rFonts w:hint="eastAsia" w:ascii="宋体" w:hAnsi="宋体" w:cs="宋体"/>
          <w:sz w:val="24"/>
          <w:szCs w:val="24"/>
        </w:rPr>
        <w:t>与</w:t>
      </w:r>
      <w:r>
        <w:rPr>
          <w:rFonts w:ascii="宋体" w:hAnsi="宋体" w:cs="宋体"/>
          <w:sz w:val="24"/>
          <w:szCs w:val="24"/>
        </w:rPr>
        <w:t>[</w:t>
      </w:r>
      <w:r>
        <w:rPr>
          <w:rFonts w:hint="eastAsia" w:ascii="宋体" w:hAnsi="宋体" w:cs="宋体"/>
          <w:sz w:val="24"/>
          <w:szCs w:val="24"/>
        </w:rPr>
        <w:t>帧尾</w:t>
      </w:r>
      <w:r>
        <w:rPr>
          <w:rFonts w:ascii="宋体" w:hAnsi="宋体" w:cs="宋体"/>
          <w:sz w:val="24"/>
          <w:szCs w:val="24"/>
        </w:rPr>
        <w:t>]</w:t>
      </w:r>
      <w:r>
        <w:rPr>
          <w:rFonts w:hint="eastAsia" w:ascii="宋体" w:hAnsi="宋体" w:cs="宋体"/>
          <w:sz w:val="24"/>
          <w:szCs w:val="24"/>
        </w:rPr>
        <w:t>之间不可出现值为</w:t>
      </w:r>
      <w:r>
        <w:rPr>
          <w:rFonts w:ascii="宋体" w:cs="宋体"/>
          <w:sz w:val="24"/>
          <w:szCs w:val="24"/>
        </w:rPr>
        <w:t>0</w:t>
      </w:r>
      <w:r>
        <w:rPr>
          <w:rFonts w:ascii="宋体" w:hAnsi="宋体" w:cs="宋体"/>
          <w:sz w:val="24"/>
          <w:szCs w:val="24"/>
        </w:rPr>
        <w:t>xFF</w:t>
      </w:r>
      <w:r>
        <w:rPr>
          <w:rFonts w:hint="eastAsia" w:ascii="宋体" w:hAnsi="宋体" w:cs="宋体"/>
          <w:sz w:val="24"/>
          <w:szCs w:val="24"/>
        </w:rPr>
        <w:t>的字节，因而将其余部分的数据需要使用转义字符替代：</w:t>
      </w:r>
    </w:p>
    <w:p>
      <w:pPr>
        <w:ind w:firstLine="420"/>
        <w:rPr>
          <w:rFonts w:ascii="宋体" w:cs="Times New Roman"/>
          <w:sz w:val="24"/>
          <w:szCs w:val="24"/>
        </w:rPr>
      </w:pPr>
      <w:r>
        <w:rPr>
          <w:rFonts w:ascii="宋体" w:cs="宋体"/>
          <w:sz w:val="24"/>
          <w:szCs w:val="24"/>
        </w:rPr>
        <w:t>0</w:t>
      </w:r>
      <w:r>
        <w:rPr>
          <w:rFonts w:ascii="宋体" w:hAnsi="宋体" w:cs="宋体"/>
          <w:sz w:val="24"/>
          <w:szCs w:val="24"/>
        </w:rPr>
        <w:t>xFF --&gt; 0x8586</w:t>
      </w:r>
    </w:p>
    <w:p>
      <w:pPr>
        <w:ind w:firstLine="420"/>
        <w:rPr>
          <w:rFonts w:ascii="宋体" w:cs="Times New Roman"/>
          <w:sz w:val="24"/>
          <w:szCs w:val="24"/>
        </w:rPr>
      </w:pPr>
      <w:r>
        <w:rPr>
          <w:rFonts w:ascii="宋体" w:cs="宋体"/>
          <w:sz w:val="24"/>
          <w:szCs w:val="24"/>
        </w:rPr>
        <w:t>0</w:t>
      </w:r>
      <w:r>
        <w:rPr>
          <w:rFonts w:ascii="宋体" w:hAnsi="宋体" w:cs="宋体"/>
          <w:sz w:val="24"/>
          <w:szCs w:val="24"/>
        </w:rPr>
        <w:t>x85 --&gt; 0x8585</w:t>
      </w:r>
    </w:p>
    <w:p>
      <w:pPr>
        <w:ind w:firstLine="420"/>
        <w:rPr>
          <w:rFonts w:ascii="宋体" w:cs="Times New Roman"/>
          <w:sz w:val="24"/>
          <w:szCs w:val="24"/>
        </w:rPr>
      </w:pPr>
      <w:r>
        <w:rPr>
          <w:rFonts w:ascii="宋体" w:cs="宋体"/>
          <w:sz w:val="24"/>
          <w:szCs w:val="24"/>
        </w:rPr>
        <w:t>0</w:t>
      </w:r>
      <w:r>
        <w:rPr>
          <w:rFonts w:ascii="宋体" w:hAnsi="宋体" w:cs="宋体"/>
          <w:sz w:val="24"/>
          <w:szCs w:val="24"/>
        </w:rPr>
        <w:t>x86 --&gt; 0x8686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numPr>
          <w:ilvl w:val="0"/>
          <w:numId w:val="1"/>
        </w:numPr>
      </w:pPr>
      <w:r>
        <w:t>叉车/AGV 设备发现协议：</w:t>
      </w:r>
    </w:p>
    <w:p>
      <w:pPr>
        <w:widowControl w:val="0"/>
        <w:numPr>
          <w:ilvl w:val="0"/>
          <w:numId w:val="0"/>
        </w:numPr>
        <w:ind w:firstLine="420"/>
        <w:jc w:val="both"/>
      </w:pPr>
      <w:r>
        <w:t>为了方便呼叫盒对多台AGV的管理，避免在连接前需要输入目标IP地址的麻烦，采用呼叫盒发送UDP广播包，AGV在接收到广播包后将自身的设备ID以及IP地址发回给呼叫盒的方式来实现对在线AGV的IP地址搜集。</w:t>
      </w:r>
    </w:p>
    <w:p>
      <w:pPr>
        <w:widowControl w:val="0"/>
        <w:numPr>
          <w:ilvl w:val="0"/>
          <w:numId w:val="2"/>
        </w:numPr>
        <w:ind w:firstLine="420"/>
        <w:jc w:val="both"/>
      </w:pPr>
      <w:r>
        <w:t>通信协议：UDP，监听端口：8200，</w:t>
      </w:r>
    </w:p>
    <w:p>
      <w:pPr>
        <w:widowControl w:val="0"/>
        <w:numPr>
          <w:ilvl w:val="0"/>
          <w:numId w:val="2"/>
        </w:numPr>
        <w:ind w:firstLine="420"/>
        <w:jc w:val="both"/>
      </w:pPr>
      <w:r>
        <w:t>协议标示：0x0002</w:t>
      </w:r>
    </w:p>
    <w:p>
      <w:pPr>
        <w:widowControl w:val="0"/>
        <w:numPr>
          <w:ilvl w:val="0"/>
          <w:numId w:val="2"/>
        </w:numPr>
        <w:ind w:firstLine="420"/>
        <w:jc w:val="both"/>
      </w:pPr>
      <w:r>
        <w:t>呼叫盒查找设备广播包：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</w:pPr>
      <w:r>
        <w:t>指令字： 0x03FF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</w:pPr>
      <w:r>
        <w:t>数  据：2字节</w:t>
      </w:r>
    </w:p>
    <w:tbl>
      <w:tblPr>
        <w:tblStyle w:val="3"/>
        <w:tblW w:w="878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6"/>
        <w:gridCol w:w="1338"/>
        <w:gridCol w:w="1679"/>
        <w:gridCol w:w="1984"/>
        <w:gridCol w:w="2977"/>
      </w:tblGrid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序号</w:t>
            </w: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字段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长度（字节）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类型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说明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1</w:t>
            </w: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ID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2</w:t>
            </w:r>
          </w:p>
        </w:tc>
        <w:tc>
          <w:tcPr>
            <w:tcW w:w="1984" w:type="dxa"/>
          </w:tcPr>
          <w:p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unsigned short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cs="Times New Roman"/>
                <w:sz w:val="24"/>
                <w:szCs w:val="24"/>
              </w:rPr>
              <w:t>呼叫盒ID</w:t>
            </w:r>
          </w:p>
        </w:tc>
      </w:tr>
    </w:tbl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2"/>
        </w:numPr>
        <w:ind w:firstLine="420"/>
        <w:jc w:val="both"/>
      </w:pPr>
      <w:r>
        <w:t>AGV回应广播包：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</w:pPr>
      <w:r>
        <w:t>指令字： 0x01FF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</w:pPr>
      <w:r>
        <w:t xml:space="preserve">数  据： </w:t>
      </w:r>
      <w:r>
        <w:t>34</w:t>
      </w:r>
      <w:r>
        <w:t>字节</w:t>
      </w:r>
    </w:p>
    <w:tbl>
      <w:tblPr>
        <w:tblStyle w:val="3"/>
        <w:tblW w:w="878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6"/>
        <w:gridCol w:w="1338"/>
        <w:gridCol w:w="1679"/>
        <w:gridCol w:w="1984"/>
        <w:gridCol w:w="2977"/>
      </w:tblGrid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序号</w:t>
            </w: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字段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长度（字节）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类型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说明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1</w:t>
            </w: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ID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2</w:t>
            </w:r>
          </w:p>
        </w:tc>
        <w:tc>
          <w:tcPr>
            <w:tcW w:w="1984" w:type="dxa"/>
          </w:tcPr>
          <w:p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unsigned short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cs="Times New Roman"/>
                <w:sz w:val="24"/>
                <w:szCs w:val="24"/>
              </w:rPr>
              <w:t>AGV设备ID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2</w:t>
            </w:r>
          </w:p>
        </w:tc>
        <w:tc>
          <w:tcPr>
            <w:tcW w:w="1338" w:type="dxa"/>
          </w:tcPr>
          <w:p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PID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16</w:t>
            </w:r>
          </w:p>
        </w:tc>
        <w:tc>
          <w:tcPr>
            <w:tcW w:w="1984" w:type="dxa"/>
          </w:tcPr>
          <w:p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字符串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cs="Times New Roman"/>
                <w:sz w:val="24"/>
                <w:szCs w:val="24"/>
              </w:rPr>
              <w:t>AGV设备的PID</w:t>
            </w:r>
          </w:p>
        </w:tc>
      </w:tr>
      <w:tr>
        <w:trPr>
          <w:jc w:val="center"/>
        </w:trPr>
        <w:tc>
          <w:tcPr>
            <w:tcW w:w="806" w:type="dxa"/>
            <w:textDirection w:val="lrTb"/>
            <w:vAlign w:val="top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3</w:t>
            </w:r>
          </w:p>
        </w:tc>
        <w:tc>
          <w:tcPr>
            <w:tcW w:w="1338" w:type="dxa"/>
            <w:textDirection w:val="lrTb"/>
            <w:vAlign w:val="top"/>
          </w:tcPr>
          <w:p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IP地址</w:t>
            </w:r>
          </w:p>
        </w:tc>
        <w:tc>
          <w:tcPr>
            <w:tcW w:w="1679" w:type="dxa"/>
            <w:textDirection w:val="lrTb"/>
            <w:vAlign w:val="top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16</w:t>
            </w:r>
          </w:p>
        </w:tc>
        <w:tc>
          <w:tcPr>
            <w:tcW w:w="1984" w:type="dxa"/>
            <w:textDirection w:val="lrTb"/>
            <w:vAlign w:val="top"/>
          </w:tcPr>
          <w:p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字符串</w:t>
            </w:r>
          </w:p>
        </w:tc>
        <w:tc>
          <w:tcPr>
            <w:tcW w:w="2977" w:type="dxa"/>
            <w:textDirection w:val="lrTb"/>
            <w:vAlign w:val="top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cs="Times New Roman"/>
                <w:sz w:val="24"/>
                <w:szCs w:val="24"/>
              </w:rPr>
              <w:t>AGV当前的IP地址，格式为：192.168.001.200</w:t>
            </w:r>
          </w:p>
        </w:tc>
      </w:tr>
    </w:tbl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t>注：由于Wifi通信网络的不稳定性，呼叫盒需要以一定的500ms间隔发送广播包，AGV收到广播包之后以500ms的间隔发送最多10次的回应广播包。</w:t>
      </w:r>
    </w:p>
    <w:p>
      <w:pPr>
        <w:widowControl w:val="0"/>
        <w:numPr>
          <w:ilvl w:val="0"/>
          <w:numId w:val="0"/>
        </w:numPr>
        <w:jc w:val="both"/>
      </w:pPr>
    </w:p>
    <w:p>
      <w:pPr>
        <w:numPr>
          <w:ilvl w:val="0"/>
          <w:numId w:val="1"/>
        </w:numPr>
      </w:pPr>
      <w:r>
        <w:t>叉车/AGV控制指令：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numPr>
          <w:ilvl w:val="0"/>
          <w:numId w:val="1"/>
        </w:numPr>
      </w:pPr>
      <w:r>
        <w:t>AGV路点编辑：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t>功  能：主动获取上个路点的坐标</w:t>
      </w:r>
    </w:p>
    <w:p>
      <w:pPr>
        <w:widowControl w:val="0"/>
        <w:numPr>
          <w:ilvl w:val="0"/>
          <w:numId w:val="0"/>
        </w:numPr>
        <w:jc w:val="both"/>
      </w:pPr>
      <w:r>
        <w:t xml:space="preserve">    命  令：0x03F0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t>数  据：</w:t>
      </w:r>
    </w:p>
    <w:tbl>
      <w:tblPr>
        <w:tblStyle w:val="3"/>
        <w:tblW w:w="878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6"/>
        <w:gridCol w:w="1338"/>
        <w:gridCol w:w="1679"/>
        <w:gridCol w:w="1984"/>
        <w:gridCol w:w="2977"/>
      </w:tblGrid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序号</w:t>
            </w: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字段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长度（字节）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类型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说明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1</w:t>
            </w: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ID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2</w:t>
            </w:r>
          </w:p>
        </w:tc>
        <w:tc>
          <w:tcPr>
            <w:tcW w:w="1984" w:type="dxa"/>
          </w:tcPr>
          <w:p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unsigned short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cs="Times New Roman"/>
                <w:sz w:val="24"/>
                <w:szCs w:val="24"/>
              </w:rPr>
              <w:t>呼叫盒ID</w:t>
            </w:r>
          </w:p>
        </w:tc>
      </w:tr>
    </w:tbl>
    <w:p>
      <w:pPr>
        <w:widowControl w:val="0"/>
        <w:numPr>
          <w:ilvl w:val="0"/>
          <w:numId w:val="0"/>
        </w:numPr>
        <w:ind w:firstLine="420" w:firstLineChars="0"/>
        <w:jc w:val="both"/>
      </w:pP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t>AGV主动上传/回复上次经过的路点坐标信息：</w:t>
      </w:r>
    </w:p>
    <w:p>
      <w:pPr>
        <w:widowControl w:val="0"/>
        <w:numPr>
          <w:ilvl w:val="0"/>
          <w:numId w:val="0"/>
        </w:numPr>
        <w:jc w:val="both"/>
      </w:pPr>
      <w:r>
        <w:t xml:space="preserve">    命  令：0x01F0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t>数  据：</w:t>
      </w:r>
    </w:p>
    <w:tbl>
      <w:tblPr>
        <w:tblStyle w:val="3"/>
        <w:tblW w:w="878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6"/>
        <w:gridCol w:w="1338"/>
        <w:gridCol w:w="1679"/>
        <w:gridCol w:w="1984"/>
        <w:gridCol w:w="2977"/>
      </w:tblGrid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序号</w:t>
            </w: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字段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长度（字节）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类型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说明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1</w:t>
            </w: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ID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2</w:t>
            </w:r>
          </w:p>
        </w:tc>
        <w:tc>
          <w:tcPr>
            <w:tcW w:w="1984" w:type="dxa"/>
          </w:tcPr>
          <w:p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unsigned short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cs="Times New Roman"/>
                <w:sz w:val="24"/>
                <w:szCs w:val="24"/>
              </w:rPr>
              <w:t>AGV设备ID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2</w:t>
            </w:r>
          </w:p>
        </w:tc>
        <w:tc>
          <w:tcPr>
            <w:tcW w:w="1338" w:type="dxa"/>
          </w:tcPr>
          <w:p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X坐标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4</w:t>
            </w:r>
          </w:p>
        </w:tc>
        <w:tc>
          <w:tcPr>
            <w:tcW w:w="1984" w:type="dxa"/>
          </w:tcPr>
          <w:p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int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cs="Times New Roman"/>
                <w:sz w:val="24"/>
                <w:szCs w:val="24"/>
              </w:rPr>
              <w:t>单位mm</w:t>
            </w:r>
          </w:p>
        </w:tc>
      </w:tr>
      <w:tr>
        <w:trPr>
          <w:jc w:val="center"/>
        </w:trPr>
        <w:tc>
          <w:tcPr>
            <w:tcW w:w="806" w:type="dxa"/>
            <w:textDirection w:val="lrTb"/>
            <w:vAlign w:val="top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3</w:t>
            </w:r>
          </w:p>
        </w:tc>
        <w:tc>
          <w:tcPr>
            <w:tcW w:w="1338" w:type="dxa"/>
            <w:textDirection w:val="lrTb"/>
            <w:vAlign w:val="top"/>
          </w:tcPr>
          <w:p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Y坐标</w:t>
            </w:r>
          </w:p>
        </w:tc>
        <w:tc>
          <w:tcPr>
            <w:tcW w:w="1679" w:type="dxa"/>
            <w:textDirection w:val="lrTb"/>
            <w:vAlign w:val="top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4</w:t>
            </w:r>
          </w:p>
        </w:tc>
        <w:tc>
          <w:tcPr>
            <w:tcW w:w="1984" w:type="dxa"/>
            <w:textDirection w:val="lrTb"/>
            <w:vAlign w:val="top"/>
          </w:tcPr>
          <w:p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int</w:t>
            </w:r>
          </w:p>
        </w:tc>
        <w:tc>
          <w:tcPr>
            <w:tcW w:w="2977" w:type="dxa"/>
            <w:textDirection w:val="lrTb"/>
            <w:vAlign w:val="top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cs="Times New Roman"/>
                <w:sz w:val="24"/>
                <w:szCs w:val="24"/>
              </w:rPr>
              <w:t>单位mm</w:t>
            </w:r>
          </w:p>
        </w:tc>
      </w:tr>
      <w:tr>
        <w:trPr>
          <w:jc w:val="center"/>
        </w:trPr>
        <w:tc>
          <w:tcPr>
            <w:tcW w:w="806" w:type="dxa"/>
            <w:textDirection w:val="lrTb"/>
            <w:vAlign w:val="top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4</w:t>
            </w:r>
          </w:p>
        </w:tc>
        <w:tc>
          <w:tcPr>
            <w:tcW w:w="1338" w:type="dxa"/>
            <w:textDirection w:val="lrTb"/>
            <w:vAlign w:val="top"/>
          </w:tcPr>
          <w:p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车身角度</w:t>
            </w:r>
          </w:p>
        </w:tc>
        <w:tc>
          <w:tcPr>
            <w:tcW w:w="1679" w:type="dxa"/>
            <w:textDirection w:val="lrTb"/>
            <w:vAlign w:val="top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2</w:t>
            </w:r>
          </w:p>
        </w:tc>
        <w:tc>
          <w:tcPr>
            <w:tcW w:w="1984" w:type="dxa"/>
            <w:textDirection w:val="lrTb"/>
            <w:vAlign w:val="top"/>
          </w:tcPr>
          <w:p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unsigned short</w:t>
            </w:r>
          </w:p>
        </w:tc>
        <w:tc>
          <w:tcPr>
            <w:tcW w:w="2977" w:type="dxa"/>
            <w:textDirection w:val="lrTb"/>
            <w:vAlign w:val="top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cs="Times New Roman"/>
                <w:sz w:val="24"/>
                <w:szCs w:val="24"/>
              </w:rPr>
              <w:t>角度X 100</w:t>
            </w:r>
          </w:p>
        </w:tc>
      </w:tr>
    </w:tbl>
    <w:p>
      <w:pPr>
        <w:widowControl w:val="0"/>
        <w:numPr>
          <w:ilvl w:val="0"/>
          <w:numId w:val="0"/>
        </w:numPr>
        <w:ind w:firstLine="420" w:firstLineChars="0"/>
        <w:jc w:val="both"/>
      </w:pPr>
    </w:p>
    <w:p>
      <w:pPr>
        <w:numPr>
          <w:ilvl w:val="0"/>
          <w:numId w:val="1"/>
        </w:numPr>
      </w:pPr>
      <w:r>
        <w:t>AGV坐标复位（针对磁钉叉车有效）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t>功  能：当AGV异常终止重启后，经过指定的磁钉，呼叫盒发出坐标复位的命令，AGV根据地图上的磁钉坐标来进行对坐标系统的校正。</w:t>
      </w:r>
    </w:p>
    <w:p>
      <w:pPr>
        <w:widowControl w:val="0"/>
        <w:numPr>
          <w:ilvl w:val="0"/>
          <w:numId w:val="0"/>
        </w:numPr>
        <w:jc w:val="both"/>
      </w:pPr>
      <w:r>
        <w:t xml:space="preserve">    命  令：0x03F1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t>数  据：</w:t>
      </w:r>
    </w:p>
    <w:tbl>
      <w:tblPr>
        <w:tblStyle w:val="3"/>
        <w:tblW w:w="878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6"/>
        <w:gridCol w:w="1338"/>
        <w:gridCol w:w="1679"/>
        <w:gridCol w:w="1984"/>
        <w:gridCol w:w="2977"/>
      </w:tblGrid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序号</w:t>
            </w: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字段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长度（字节）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类型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说明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1</w:t>
            </w: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ID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2</w:t>
            </w:r>
          </w:p>
        </w:tc>
        <w:tc>
          <w:tcPr>
            <w:tcW w:w="1984" w:type="dxa"/>
          </w:tcPr>
          <w:p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unsigned short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cs="Times New Roman"/>
                <w:sz w:val="24"/>
                <w:szCs w:val="24"/>
              </w:rPr>
              <w:t>呼叫盒ID</w:t>
            </w:r>
          </w:p>
        </w:tc>
      </w:tr>
      <w:tr>
        <w:trPr>
          <w:jc w:val="center"/>
        </w:trPr>
        <w:tc>
          <w:tcPr>
            <w:tcW w:w="806" w:type="dxa"/>
            <w:textDirection w:val="lrTb"/>
            <w:vAlign w:val="top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2</w:t>
            </w:r>
          </w:p>
        </w:tc>
        <w:tc>
          <w:tcPr>
            <w:tcW w:w="1338" w:type="dxa"/>
            <w:textDirection w:val="lrTb"/>
            <w:vAlign w:val="top"/>
          </w:tcPr>
          <w:p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X坐标</w:t>
            </w:r>
          </w:p>
        </w:tc>
        <w:tc>
          <w:tcPr>
            <w:tcW w:w="1679" w:type="dxa"/>
            <w:textDirection w:val="lrTb"/>
            <w:vAlign w:val="top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4</w:t>
            </w:r>
          </w:p>
        </w:tc>
        <w:tc>
          <w:tcPr>
            <w:tcW w:w="1984" w:type="dxa"/>
            <w:textDirection w:val="lrTb"/>
            <w:vAlign w:val="top"/>
          </w:tcPr>
          <w:p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int</w:t>
            </w:r>
          </w:p>
        </w:tc>
        <w:tc>
          <w:tcPr>
            <w:tcW w:w="2977" w:type="dxa"/>
            <w:textDirection w:val="lrTb"/>
            <w:vAlign w:val="top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cs="Times New Roman"/>
                <w:sz w:val="24"/>
                <w:szCs w:val="24"/>
              </w:rPr>
              <w:t>单位mm</w:t>
            </w:r>
          </w:p>
        </w:tc>
      </w:tr>
      <w:tr>
        <w:trPr>
          <w:jc w:val="center"/>
        </w:trPr>
        <w:tc>
          <w:tcPr>
            <w:tcW w:w="806" w:type="dxa"/>
            <w:textDirection w:val="lrTb"/>
            <w:vAlign w:val="top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3</w:t>
            </w:r>
          </w:p>
        </w:tc>
        <w:tc>
          <w:tcPr>
            <w:tcW w:w="1338" w:type="dxa"/>
            <w:textDirection w:val="lrTb"/>
            <w:vAlign w:val="top"/>
          </w:tcPr>
          <w:p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Y坐标</w:t>
            </w:r>
          </w:p>
        </w:tc>
        <w:tc>
          <w:tcPr>
            <w:tcW w:w="1679" w:type="dxa"/>
            <w:textDirection w:val="lrTb"/>
            <w:vAlign w:val="top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4</w:t>
            </w:r>
          </w:p>
        </w:tc>
        <w:tc>
          <w:tcPr>
            <w:tcW w:w="1984" w:type="dxa"/>
            <w:textDirection w:val="lrTb"/>
            <w:vAlign w:val="top"/>
          </w:tcPr>
          <w:p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int</w:t>
            </w:r>
          </w:p>
        </w:tc>
        <w:tc>
          <w:tcPr>
            <w:tcW w:w="2977" w:type="dxa"/>
            <w:textDirection w:val="lrTb"/>
            <w:vAlign w:val="top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cs="Times New Roman"/>
                <w:sz w:val="24"/>
                <w:szCs w:val="24"/>
              </w:rPr>
              <w:t>单位mm</w:t>
            </w:r>
          </w:p>
        </w:tc>
      </w:tr>
    </w:tbl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WenQuanYi Micro Hei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WenQuanYi Micro Hei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Liberation 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FreeSerif">
    <w:altName w:val="Liberation Serif"/>
    <w:panose1 w:val="02020603050405020304"/>
    <w:charset w:val="00"/>
    <w:family w:val="auto"/>
    <w:pitch w:val="default"/>
    <w:sig w:usb0="00000000" w:usb1="00000000" w:usb2="43501B29" w:usb3="04000043" w:csb0="600101FF" w:csb1="FFFF0000"/>
  </w:font>
  <w:font w:name="黑体">
    <w:altName w:val="WenQuanYi Micro Hei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Liberation Serif">
    <w:panose1 w:val="02020603050405020304"/>
    <w:charset w:val="00"/>
    <w:family w:val="auto"/>
    <w:pitch w:val="default"/>
    <w:sig w:usb0="00000000" w:usb1="00000000" w:usb2="00000000" w:usb3="00000000" w:csb0="0000000D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79282685">
    <w:nsid w:val="582C0FFD"/>
    <w:multiLevelType w:val="singleLevel"/>
    <w:tmpl w:val="582C0FFD"/>
    <w:lvl w:ilvl="0" w:tentative="1">
      <w:start w:val="1"/>
      <w:numFmt w:val="chineseCounting"/>
      <w:suff w:val="nothing"/>
      <w:lvlText w:val="%1、"/>
      <w:lvlJc w:val="left"/>
    </w:lvl>
  </w:abstractNum>
  <w:abstractNum w:abstractNumId="1479283106">
    <w:nsid w:val="582C11A2"/>
    <w:multiLevelType w:val="singleLevel"/>
    <w:tmpl w:val="582C11A2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479282685"/>
  </w:num>
  <w:num w:numId="2">
    <w:abstractNumId w:val="147928310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EF5588"/>
    <w:rsid w:val="3F374888"/>
    <w:rsid w:val="6F7D6CEA"/>
    <w:rsid w:val="7EBB5FB3"/>
    <w:rsid w:val="7F961513"/>
    <w:rsid w:val="7FFF18A8"/>
    <w:rsid w:val="9EFD6E8C"/>
    <w:rsid w:val="DD2F153B"/>
    <w:rsid w:val="DDFEAED1"/>
    <w:rsid w:val="DE7FAC25"/>
    <w:rsid w:val="EBD7C779"/>
    <w:rsid w:val="FBDF769B"/>
    <w:rsid w:val="FC7BF951"/>
    <w:rsid w:val="FD3F4ECC"/>
    <w:rsid w:val="FDE98E67"/>
    <w:rsid w:val="FF36DDDE"/>
    <w:rsid w:val="FFEF558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alibri"/>
      <w:kern w:val="2"/>
      <w:sz w:val="21"/>
      <w:szCs w:val="21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2016-11-16T23:38:00Z</dcterms:created>
  <dc:creator>zxq</dc:creator>
  <cp:lastModifiedBy>zxq</cp:lastModifiedBy>
  <dcterms:modified xsi:type="dcterms:W3CDTF">2017-03-17T17:14:20Z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