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5c09f3c70bcd8903581d0269</w:t>
      </w:r>
    </w:p>
    <w:p>
      <w:r>
        <w:rPr>
          <w:rFonts w:hint="eastAsia"/>
        </w:rPr>
        <w:t>原告诉称：</w:t>
      </w:r>
    </w:p>
    <w:p>
      <w:pPr>
        <w:ind w:firstLine="420"/>
      </w:pPr>
      <w:r>
        <w:rPr>
          <w:rFonts w:hint="eastAsia"/>
        </w:rPr>
        <w:t>海盐县人民检察院指控被告人邓兴刚以非法占有为目的,采用虚构事实、隐瞒真相等手段骗取他人财物计价值人民币30800元,数额较大,应当以诈骗罪追究其刑事责任。为证明上述事实,公诉机关当庭提供了被害人陈述、证人证言、海盐县公安局人身检查笔录、提取笔录、电子证据检查笔录、到案经过等证据材料。据此,提请本院依照《中华人民共和国刑法》第二百六十六条之规定,予以判处。</w:t>
      </w:r>
    </w:p>
    <w:p>
      <w:r>
        <w:rPr>
          <w:rFonts w:hint="eastAsia"/>
        </w:rPr>
        <w:t>被告辩称：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被告人邓兴刚当庭对起诉指控的事实和罪名均无异议。辩护人认为被告人邓兴刚系自动投案且如实供述,又能积极退赔且取得谅解,希望法庭从轻处罚。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C6"/>
    <w:rsid w:val="00060212"/>
    <w:rsid w:val="003B1D10"/>
    <w:rsid w:val="003B374C"/>
    <w:rsid w:val="003D1775"/>
    <w:rsid w:val="00435BE4"/>
    <w:rsid w:val="005402C6"/>
    <w:rsid w:val="00D806C1"/>
    <w:rsid w:val="00E45A32"/>
    <w:rsid w:val="00FB3249"/>
    <w:rsid w:val="04C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413</Characters>
  <Lines>3</Lines>
  <Paragraphs>1</Paragraphs>
  <TotalTime>8</TotalTime>
  <ScaleCrop>false</ScaleCrop>
  <LinksUpToDate>false</LinksUpToDate>
  <CharactersWithSpaces>484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2019-08-13T02:52:00Z</dcterms:created>
  <dc:creator>wtc</dc:creator>
  <cp:lastModifiedBy>Administrator</cp:lastModifiedBy>
  <dcterms:modified xsi:type="dcterms:W3CDTF">2020-04-06T12:09:16Z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