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RestFul接口设计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考生前端与后端接口说明：</w:t>
      </w:r>
    </w:p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高校：universities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按分数、省内排名、分科查询高校推荐信息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Protocol:host:port/universities?score=&lt;score&gt;&amp;&amp;rank=&lt;rank&gt;&amp;&amp;branch=&lt;branch&gt;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score、rank、branch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按省、市浏览高校信息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Protocol:host:port/universities?p</w:t>
            </w:r>
            <w:r>
              <w:rPr>
                <w:rFonts w:hint="default"/>
                <w:vertAlign w:val="baseline"/>
                <w:lang w:val="en-US" w:eastAsia="zh-CN"/>
              </w:rPr>
              <w:t>rovince</w:t>
            </w:r>
            <w:r>
              <w:rPr>
                <w:rFonts w:hint="eastAsia"/>
                <w:vertAlign w:val="baseline"/>
                <w:lang w:val="en-US" w:eastAsia="zh-CN"/>
              </w:rPr>
              <w:t>=&lt;p</w:t>
            </w:r>
            <w:r>
              <w:rPr>
                <w:rFonts w:hint="default"/>
                <w:vertAlign w:val="baseline"/>
                <w:lang w:val="en-US" w:eastAsia="zh-CN"/>
              </w:rPr>
              <w:t>rovince</w:t>
            </w:r>
            <w:r>
              <w:rPr>
                <w:rFonts w:hint="eastAsia"/>
                <w:vertAlign w:val="baseline"/>
                <w:lang w:val="en-US" w:eastAsia="zh-CN"/>
              </w:rPr>
              <w:t>&gt;&amp;&amp;city=&lt;city&gt;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vertAlign w:val="baseline"/>
                <w:lang w:val="en-US" w:eastAsia="zh-CN"/>
              </w:rPr>
              <w:t>rovince</w:t>
            </w:r>
            <w:r>
              <w:rPr>
                <w:rFonts w:hint="eastAsia"/>
                <w:vertAlign w:val="baseline"/>
                <w:lang w:val="en-US" w:eastAsia="zh-CN"/>
              </w:rPr>
              <w:t>、city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按名字搜索浏览高校信息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Protocol:host:port/universities?university_name=&lt;university_name&gt;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university_name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用户：users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Protocol:host:port/users/register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Protocol:host:port/users/register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Protocol:host:port/users/findpwd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Protocol:host:port/users/findpwd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Protocol:host:port/users/{id}/resetpwd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Protocol:host:port/users/{id}/resetpwd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账号：accouts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用户更新账户信息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Protocol:host:port/accouts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Protocol:host:port/accouts/{user_id}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帖子/评论：posts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用户发表评论/帖子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Protocol:host:port/posts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Protocol:host:port/posts/{user_id}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Protocol:host:port/posts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Protocol:host:port/posts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费用表：costs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Protocol:host:port/costs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Protocol:host:port/costs/{user_id}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管理系统前端与后端接口说明：</w:t>
      </w:r>
    </w:p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高校：universities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POST内容体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更改高校推荐项信息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POST内容体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删除高校信息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Protocol:host:port/universities?universities_id=&lt;universities_id&gt;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universities_id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用户：users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Protocol:host:port/users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universities_id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帖子/评论：posts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Protocol:host:port/posts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Protocol:host:port/posts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vertAlign w:val="baseline"/>
          <w:lang w:val="en-US" w:eastAsia="zh-CN"/>
        </w:rPr>
        <w:t>费用表：costs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获取缴费记录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终端路径：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Protocol:host:port/costs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URI设计：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Protocol:host:port/costs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内容类型：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查询参数：</w:t>
            </w:r>
          </w:p>
        </w:tc>
        <w:tc>
          <w:tcPr>
            <w:tcW w:w="67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HTTP状态码：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200、400 、500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表现形式：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jc w:val="center"/>
        <w:rPr>
          <w:rFonts w:hint="default"/>
          <w:b/>
          <w:bCs/>
          <w:color w:val="FF0000"/>
          <w:sz w:val="28"/>
          <w:szCs w:val="28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4FFE62"/>
    <w:multiLevelType w:val="singleLevel"/>
    <w:tmpl w:val="E74FFE62"/>
    <w:lvl w:ilvl="0" w:tentative="0">
      <w:start w:val="200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D56"/>
    <w:rsid w:val="014F59B5"/>
    <w:rsid w:val="028E58FA"/>
    <w:rsid w:val="035D1D07"/>
    <w:rsid w:val="04320E93"/>
    <w:rsid w:val="052F5D9B"/>
    <w:rsid w:val="075409E6"/>
    <w:rsid w:val="0E4103C6"/>
    <w:rsid w:val="11943DB2"/>
    <w:rsid w:val="128476A7"/>
    <w:rsid w:val="142F0AA5"/>
    <w:rsid w:val="14544856"/>
    <w:rsid w:val="14C67A95"/>
    <w:rsid w:val="1594329B"/>
    <w:rsid w:val="17F07156"/>
    <w:rsid w:val="17F5531D"/>
    <w:rsid w:val="18732DD3"/>
    <w:rsid w:val="19434CD9"/>
    <w:rsid w:val="1EAA406F"/>
    <w:rsid w:val="2192346E"/>
    <w:rsid w:val="230D1F5F"/>
    <w:rsid w:val="25716029"/>
    <w:rsid w:val="25FB0928"/>
    <w:rsid w:val="268361F6"/>
    <w:rsid w:val="289A10CF"/>
    <w:rsid w:val="2D93015A"/>
    <w:rsid w:val="2E473DA9"/>
    <w:rsid w:val="2F477478"/>
    <w:rsid w:val="314A1570"/>
    <w:rsid w:val="31F1300C"/>
    <w:rsid w:val="341179FC"/>
    <w:rsid w:val="347000B5"/>
    <w:rsid w:val="35FB5611"/>
    <w:rsid w:val="3C61442E"/>
    <w:rsid w:val="3CD05EBB"/>
    <w:rsid w:val="3CE41C9B"/>
    <w:rsid w:val="3E4C247E"/>
    <w:rsid w:val="3F10636B"/>
    <w:rsid w:val="3F724636"/>
    <w:rsid w:val="424F2E61"/>
    <w:rsid w:val="440765C7"/>
    <w:rsid w:val="443739C8"/>
    <w:rsid w:val="475A5F88"/>
    <w:rsid w:val="478D7597"/>
    <w:rsid w:val="4AA96C72"/>
    <w:rsid w:val="4AB1340F"/>
    <w:rsid w:val="4AE26281"/>
    <w:rsid w:val="4BF60B9E"/>
    <w:rsid w:val="4D610E89"/>
    <w:rsid w:val="51FD14EA"/>
    <w:rsid w:val="53032352"/>
    <w:rsid w:val="538F76E1"/>
    <w:rsid w:val="590C362D"/>
    <w:rsid w:val="59F61067"/>
    <w:rsid w:val="5AA20850"/>
    <w:rsid w:val="5AB41C28"/>
    <w:rsid w:val="5FED4103"/>
    <w:rsid w:val="609014AF"/>
    <w:rsid w:val="62CA04A3"/>
    <w:rsid w:val="65EA5618"/>
    <w:rsid w:val="66527BD4"/>
    <w:rsid w:val="66A5277B"/>
    <w:rsid w:val="66CA5F02"/>
    <w:rsid w:val="67C143AD"/>
    <w:rsid w:val="68D1402A"/>
    <w:rsid w:val="6AFA4BEA"/>
    <w:rsid w:val="6D0B2E4C"/>
    <w:rsid w:val="6E2D599A"/>
    <w:rsid w:val="6FA0784E"/>
    <w:rsid w:val="710B38D6"/>
    <w:rsid w:val="728C3121"/>
    <w:rsid w:val="736B329D"/>
    <w:rsid w:val="7395465D"/>
    <w:rsid w:val="757E7B24"/>
    <w:rsid w:val="76A81AE9"/>
    <w:rsid w:val="778A057B"/>
    <w:rsid w:val="78CA5850"/>
    <w:rsid w:val="79B95230"/>
    <w:rsid w:val="7A75791A"/>
    <w:rsid w:val="7D765C9A"/>
    <w:rsid w:val="7DED58A6"/>
    <w:rsid w:val="7FD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落–焱絕</cp:lastModifiedBy>
  <dcterms:modified xsi:type="dcterms:W3CDTF">2020-09-08T04:36:27Z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