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Equipment Startup Standard Operating Procedure</w:t>
      </w:r>
    </w:p>
    <w:p>
      <w:r>
        <w:t>Document ID: SOP-EQUIP-001</w:t>
      </w:r>
    </w:p>
    <w:p>
      <w:r>
        <w:t>Version: 1.0 | Effective Date: 2026-01-15 | Author: Operations Engineering</w:t>
      </w:r>
    </w:p>
    <w:p/>
    <w:p>
      <w:pPr>
        <w:pStyle w:val="Heading1"/>
      </w:pPr>
      <w:r>
        <w:t>1. Purpose</w:t>
      </w:r>
    </w:p>
    <w:p>
      <w:r>
        <w:t>This Standard Operating Procedure defines the safe and consistent startup sequence for the Automated Packaging Line (Model XR-500). It ensures that all operators follow a verified process to bring the equipment from a cold or standby state into full production operation while maintaining safety and quality standards.</w:t>
      </w:r>
    </w:p>
    <w:p>
      <w:pPr>
        <w:pStyle w:val="Heading1"/>
      </w:pPr>
      <w:r>
        <w:t>2. Scope</w:t>
      </w:r>
    </w:p>
    <w:p>
      <w:r>
        <w:t>This procedure applies to all authorized operators, maintenance technicians, and shift supervisors who are responsible for starting the Automated Packaging Line (XR-500) in Building C, Production Area 3. It covers cold start, warm start, and restart-after-fault scenarios.</w:t>
      </w:r>
    </w:p>
    <w:p>
      <w:r>
        <w:t>This procedure does not apply to the auxiliary conveyor systems or the palletizing robot, which are covered under separate SOPs.</w:t>
      </w:r>
    </w:p>
    <w:p>
      <w:pPr>
        <w:pStyle w:val="Heading1"/>
      </w:pPr>
      <w:r>
        <w:t>3. Safety Precautions</w:t>
      </w:r>
    </w:p>
    <w:p>
      <w:r>
        <w:t>Before attempting any startup procedure, all personnel must review and comply with the following safety requirements.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Verification</w:t>
            </w:r>
          </w:p>
        </w:tc>
      </w:tr>
      <w:tr>
        <w:tc>
          <w:tcPr>
            <w:tcW w:type="dxa" w:w="2880"/>
          </w:tcPr>
          <w:p>
            <w:r>
              <w:t>PPE</w:t>
            </w:r>
          </w:p>
        </w:tc>
        <w:tc>
          <w:tcPr>
            <w:tcW w:type="dxa" w:w="2880"/>
          </w:tcPr>
          <w:p>
            <w:r>
              <w:t>Hard hat, safety glasses, steel-toe boots, cut-resistant gloves</w:t>
            </w:r>
          </w:p>
        </w:tc>
        <w:tc>
          <w:tcPr>
            <w:tcW w:type="dxa" w:w="2880"/>
          </w:tcPr>
          <w:p>
            <w:r>
              <w:t>Pre-shift safety check</w:t>
            </w:r>
          </w:p>
        </w:tc>
      </w:tr>
      <w:tr>
        <w:tc>
          <w:tcPr>
            <w:tcW w:type="dxa" w:w="2880"/>
          </w:tcPr>
          <w:p>
            <w:r>
              <w:t>Lockout/Tagout</w:t>
            </w:r>
          </w:p>
        </w:tc>
        <w:tc>
          <w:tcPr>
            <w:tcW w:type="dxa" w:w="2880"/>
          </w:tcPr>
          <w:p>
            <w:r>
              <w:t>Verify all LOTO devices removed by authorized personnel only</w:t>
            </w:r>
          </w:p>
        </w:tc>
        <w:tc>
          <w:tcPr>
            <w:tcW w:type="dxa" w:w="2880"/>
          </w:tcPr>
          <w:p>
            <w:r>
              <w:t>LOTO log sign-off</w:t>
            </w:r>
          </w:p>
        </w:tc>
      </w:tr>
      <w:tr>
        <w:tc>
          <w:tcPr>
            <w:tcW w:type="dxa" w:w="2880"/>
          </w:tcPr>
          <w:p>
            <w:r>
              <w:t>Emergency Stop</w:t>
            </w:r>
          </w:p>
        </w:tc>
        <w:tc>
          <w:tcPr>
            <w:tcW w:type="dxa" w:w="2880"/>
          </w:tcPr>
          <w:p>
            <w:r>
              <w:t>Confirm E-Stop buttons are functional before startup</w:t>
            </w:r>
          </w:p>
        </w:tc>
        <w:tc>
          <w:tcPr>
            <w:tcW w:type="dxa" w:w="2880"/>
          </w:tcPr>
          <w:p>
            <w:r>
              <w:t>Physical test at each station</w:t>
            </w:r>
          </w:p>
        </w:tc>
      </w:tr>
      <w:tr>
        <w:tc>
          <w:tcPr>
            <w:tcW w:type="dxa" w:w="2880"/>
          </w:tcPr>
          <w:p>
            <w:r>
              <w:t>Fire Suppression</w:t>
            </w:r>
          </w:p>
        </w:tc>
        <w:tc>
          <w:tcPr>
            <w:tcW w:type="dxa" w:w="2880"/>
          </w:tcPr>
          <w:p>
            <w:r>
              <w:t>Verify fire suppression system is armed and indicator is green</w:t>
            </w:r>
          </w:p>
        </w:tc>
        <w:tc>
          <w:tcPr>
            <w:tcW w:type="dxa" w:w="2880"/>
          </w:tcPr>
          <w:p>
            <w:r>
              <w:t>Panel indicator check</w:t>
            </w:r>
          </w:p>
        </w:tc>
      </w:tr>
      <w:tr>
        <w:tc>
          <w:tcPr>
            <w:tcW w:type="dxa" w:w="2880"/>
          </w:tcPr>
          <w:p>
            <w:r>
              <w:t>Area Clearance</w:t>
            </w:r>
          </w:p>
        </w:tc>
        <w:tc>
          <w:tcPr>
            <w:tcW w:type="dxa" w:w="2880"/>
          </w:tcPr>
          <w:p>
            <w:r>
              <w:t>Confirm no personnel inside guard zones</w:t>
            </w:r>
          </w:p>
        </w:tc>
        <w:tc>
          <w:tcPr>
            <w:tcW w:type="dxa" w:w="2880"/>
          </w:tcPr>
          <w:p>
            <w:r>
              <w:t>Walk-around inspection</w:t>
            </w:r>
          </w:p>
        </w:tc>
      </w:tr>
    </w:tbl>
    <w:p/>
    <w:p>
      <w:pPr>
        <w:pStyle w:val="Heading1"/>
      </w:pPr>
      <w:r>
        <w:t>4. Pre-operation Checklist</w:t>
      </w:r>
    </w:p>
    <w:p>
      <w:r>
        <w:t>Complete all items below before proceeding to the Startup Procedure. Record the result of each check in the Maintenance Log System (MLS).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No.</w:t>
            </w:r>
          </w:p>
        </w:tc>
        <w:tc>
          <w:tcPr>
            <w:tcW w:type="dxa" w:w="2880"/>
          </w:tcPr>
          <w:p>
            <w:r>
              <w:t>Check Item</w:t>
            </w:r>
          </w:p>
        </w:tc>
        <w:tc>
          <w:tcPr>
            <w:tcW w:type="dxa" w:w="2880"/>
          </w:tcPr>
          <w:p>
            <w:r>
              <w:t>Acceptance Criteria</w:t>
            </w:r>
          </w:p>
        </w:tc>
      </w:tr>
      <w:tr>
        <w:tc>
          <w:tcPr>
            <w:tcW w:type="dxa" w:w="2880"/>
          </w:tcPr>
          <w:p>
            <w:r>
              <w:t>4.1</w:t>
            </w:r>
          </w:p>
        </w:tc>
        <w:tc>
          <w:tcPr>
            <w:tcW w:type="dxa" w:w="2880"/>
          </w:tcPr>
          <w:p>
            <w:r>
              <w:t>Utility power supply voltage</w:t>
            </w:r>
          </w:p>
        </w:tc>
        <w:tc>
          <w:tcPr>
            <w:tcW w:type="dxa" w:w="2880"/>
          </w:tcPr>
          <w:p>
            <w:r>
              <w:t>380V +/- 5% (measured at main panel)</w:t>
            </w:r>
          </w:p>
        </w:tc>
      </w:tr>
      <w:tr>
        <w:tc>
          <w:tcPr>
            <w:tcW w:type="dxa" w:w="2880"/>
          </w:tcPr>
          <w:p>
            <w:r>
              <w:t>4.2</w:t>
            </w:r>
          </w:p>
        </w:tc>
        <w:tc>
          <w:tcPr>
            <w:tcW w:type="dxa" w:w="2880"/>
          </w:tcPr>
          <w:p>
            <w:r>
              <w:t>Compressed air supply pressure</w:t>
            </w:r>
          </w:p>
        </w:tc>
        <w:tc>
          <w:tcPr>
            <w:tcW w:type="dxa" w:w="2880"/>
          </w:tcPr>
          <w:p>
            <w:r>
              <w:t>6.0 - 7.5 bar at inlet manifold</w:t>
            </w:r>
          </w:p>
        </w:tc>
      </w:tr>
      <w:tr>
        <w:tc>
          <w:tcPr>
            <w:tcW w:type="dxa" w:w="2880"/>
          </w:tcPr>
          <w:p>
            <w:r>
              <w:t>4.3</w:t>
            </w:r>
          </w:p>
        </w:tc>
        <w:tc>
          <w:tcPr>
            <w:tcW w:type="dxa" w:w="2880"/>
          </w:tcPr>
          <w:p>
            <w:r>
              <w:t>Hydraulic fluid level</w:t>
            </w:r>
          </w:p>
        </w:tc>
        <w:tc>
          <w:tcPr>
            <w:tcW w:type="dxa" w:w="2880"/>
          </w:tcPr>
          <w:p>
            <w:r>
              <w:t>Between MIN and MAX marks on reservoir gauge</w:t>
            </w:r>
          </w:p>
        </w:tc>
      </w:tr>
      <w:tr>
        <w:tc>
          <w:tcPr>
            <w:tcW w:type="dxa" w:w="2880"/>
          </w:tcPr>
          <w:p>
            <w:r>
              <w:t>4.4</w:t>
            </w:r>
          </w:p>
        </w:tc>
        <w:tc>
          <w:tcPr>
            <w:tcW w:type="dxa" w:w="2880"/>
          </w:tcPr>
          <w:p>
            <w:r>
              <w:t>Lubrication points greased</w:t>
            </w:r>
          </w:p>
        </w:tc>
        <w:tc>
          <w:tcPr>
            <w:tcW w:type="dxa" w:w="2880"/>
          </w:tcPr>
          <w:p>
            <w:r>
              <w:t>All 12 grease points per maintenance schedule</w:t>
            </w:r>
          </w:p>
        </w:tc>
      </w:tr>
      <w:tr>
        <w:tc>
          <w:tcPr>
            <w:tcW w:type="dxa" w:w="2880"/>
          </w:tcPr>
          <w:p>
            <w:r>
              <w:t>4.5</w:t>
            </w:r>
          </w:p>
        </w:tc>
        <w:tc>
          <w:tcPr>
            <w:tcW w:type="dxa" w:w="2880"/>
          </w:tcPr>
          <w:p>
            <w:r>
              <w:t>Sensor alignment check</w:t>
            </w:r>
          </w:p>
        </w:tc>
        <w:tc>
          <w:tcPr>
            <w:tcW w:type="dxa" w:w="2880"/>
          </w:tcPr>
          <w:p>
            <w:r>
              <w:t>All photoelectric sensors showing green status</w:t>
            </w:r>
          </w:p>
        </w:tc>
      </w:tr>
      <w:tr>
        <w:tc>
          <w:tcPr>
            <w:tcW w:type="dxa" w:w="2880"/>
          </w:tcPr>
          <w:p>
            <w:r>
              <w:t>4.6</w:t>
            </w:r>
          </w:p>
        </w:tc>
        <w:tc>
          <w:tcPr>
            <w:tcW w:type="dxa" w:w="2880"/>
          </w:tcPr>
          <w:p>
            <w:r>
              <w:t>Safety guard doors closed and latched</w:t>
            </w:r>
          </w:p>
        </w:tc>
        <w:tc>
          <w:tcPr>
            <w:tcW w:type="dxa" w:w="2880"/>
          </w:tcPr>
          <w:p>
            <w:r>
              <w:t>All 4 guard door interlocks showing closed</w:t>
            </w:r>
          </w:p>
        </w:tc>
      </w:tr>
      <w:tr>
        <w:tc>
          <w:tcPr>
            <w:tcW w:type="dxa" w:w="2880"/>
          </w:tcPr>
          <w:p>
            <w:r>
              <w:t>4.7</w:t>
            </w:r>
          </w:p>
        </w:tc>
        <w:tc>
          <w:tcPr>
            <w:tcW w:type="dxa" w:w="2880"/>
          </w:tcPr>
          <w:p>
            <w:r>
              <w:t>HMI software version verified</w:t>
            </w:r>
          </w:p>
        </w:tc>
        <w:tc>
          <w:tcPr>
            <w:tcW w:type="dxa" w:w="2880"/>
          </w:tcPr>
          <w:p>
            <w:r>
              <w:t>Version 3.2.1 displayed on startup screen</w:t>
            </w:r>
          </w:p>
        </w:tc>
      </w:tr>
      <w:tr>
        <w:tc>
          <w:tcPr>
            <w:tcW w:type="dxa" w:w="2880"/>
          </w:tcPr>
          <w:p>
            <w:r>
              <w:t>4.8</w:t>
            </w:r>
          </w:p>
        </w:tc>
        <w:tc>
          <w:tcPr>
            <w:tcW w:type="dxa" w:w="2880"/>
          </w:tcPr>
          <w:p>
            <w:r>
              <w:t>Previous shift maintenance notes reviewed</w:t>
            </w:r>
          </w:p>
        </w:tc>
        <w:tc>
          <w:tcPr>
            <w:tcW w:type="dxa" w:w="2880"/>
          </w:tcPr>
          <w:p>
            <w:r>
              <w:t>No open critical work orders</w:t>
            </w:r>
          </w:p>
        </w:tc>
      </w:tr>
    </w:tbl>
    <w:p/>
    <w:p>
      <w:pPr>
        <w:pStyle w:val="Heading1"/>
      </w:pPr>
      <w:r>
        <w:t>5. Startup Procedure</w:t>
      </w:r>
    </w:p>
    <w:p>
      <w:pPr>
        <w:pStyle w:val="Heading2"/>
      </w:pPr>
      <w:r>
        <w:t>5.1 Cold Start Sequence</w:t>
      </w:r>
    </w:p>
    <w:p>
      <w:r>
        <w:t>Use this sequence when the equipment has been powered off for more than 4 hours or after a complete maintenance shutdown.</w:t>
      </w:r>
    </w:p>
    <w:p>
      <w:r>
        <w:t>Step 1: Turn the main disconnect switch to ON. Wait 30 seconds for the PLC to complete self-diagnostics.</w:t>
      </w:r>
    </w:p>
    <w:p>
      <w:r>
        <w:t>Step 2: On the HMI home screen, press "System Initialize". The status bar will show "Initializing..." for approximately 45 seconds.</w:t>
      </w:r>
    </w:p>
    <w:p>
      <w:r>
        <w:t>Step 3: Verify the HMI displays all subsystems as READY (green). If any subsystem shows FAULT (red), refer to Section 6.</w:t>
      </w:r>
    </w:p>
    <w:p>
      <w:r>
        <w:t>Step 4: Press "Heat Sealer Preheat" and set temperature to 180 degrees C. Wait until the temperature indicator turns green (approximately 3 minutes).</w:t>
      </w:r>
    </w:p>
    <w:p>
      <w:r>
        <w:t>Step 5: Load the product recipe from the recipe library. Confirm the recipe name and version number match the production order.</w:t>
      </w:r>
    </w:p>
    <w:p>
      <w:r>
        <w:t>Step 6: Run the dry-cycle test: press "Dry Cycle" and observe 5 complete cycles. Verify no abnormal sounds, vibration, or misalignment.</w:t>
      </w:r>
    </w:p>
    <w:p>
      <w:r>
        <w:t>Step 7: Load packaging material onto the unwind stand. Thread the film through the guide rollers and sealing jaws per the threading diagram posted at Station 2.</w:t>
      </w:r>
    </w:p>
    <w:p>
      <w:r>
        <w:t>Step 8: Press "Production Ready" to enable the line for product feed.</w:t>
      </w:r>
    </w:p>
    <w:p>
      <w:pPr>
        <w:pStyle w:val="Heading2"/>
      </w:pPr>
      <w:r>
        <w:t>5.2 Warm Start Sequence</w:t>
      </w:r>
    </w:p>
    <w:p>
      <w:r>
        <w:t>Use this sequence when the equipment has been in standby mode for less than 4 hours and no maintenance has been performed.</w:t>
      </w:r>
    </w:p>
    <w:p>
      <w:r>
        <w:t>Step 1: On the HMI, press "Resume from Standby".</w:t>
      </w:r>
    </w:p>
    <w:p>
      <w:r>
        <w:t>Step 2: Verify all subsystem status indicators are green.</w:t>
      </w:r>
    </w:p>
    <w:p>
      <w:r>
        <w:t>Step 3: Confirm the heat sealer temperature is within the acceptable range (175-185 degrees C).</w:t>
      </w:r>
    </w:p>
    <w:p>
      <w:r>
        <w:t>Step 4: Run a 2-cycle dry test to verify mechanical alignment.</w:t>
      </w:r>
    </w:p>
    <w:p>
      <w:r>
        <w:t>Step 5: Press "Production Ready" to enable the line.</w:t>
      </w:r>
    </w:p>
    <w:p>
      <w:pPr>
        <w:pStyle w:val="Heading2"/>
      </w:pPr>
      <w:r>
        <w:t>5.3 Restart After Fault</w:t>
      </w:r>
    </w:p>
    <w:p>
      <w:r>
        <w:t>Use this sequence when the equipment has stopped due to a fault condition. Always investigate and resolve the root cause before restarting.</w:t>
      </w:r>
    </w:p>
    <w:p>
      <w:r>
        <w:t>Step 1: Review the fault log on the HMI (Menu &gt; Fault History &gt; Last 10 Events).</w:t>
      </w:r>
    </w:p>
    <w:p>
      <w:r>
        <w:t>Step 2: If the fault requires physical intervention, apply LOTO before entering the guard zone.</w:t>
      </w:r>
    </w:p>
    <w:p>
      <w:r>
        <w:t>Step 3: After resolving the fault, clear the fault code on the HMI: press "Acknowledge Fault" then "Clear Fault".</w:t>
      </w:r>
    </w:p>
    <w:p>
      <w:r>
        <w:t>Step 4: Press "System Reset" and verify all subsystems return to READY status.</w:t>
      </w:r>
    </w:p>
    <w:p>
      <w:r>
        <w:t>Step 5: Run a 3-cycle dry test to confirm the fault condition is resolved.</w:t>
      </w:r>
    </w:p>
    <w:p>
      <w:r>
        <w:t>Step 6: Resume production by pressing "Production Ready".</w:t>
      </w:r>
    </w:p>
    <w:p>
      <w:pPr>
        <w:pStyle w:val="Heading1"/>
      </w:pPr>
      <w:r>
        <w:t>6. Abnormal Situation Handling</w:t>
      </w:r>
    </w:p>
    <w:p>
      <w:r>
        <w:t>If any abnormal condition is observed during startup or operation, follow the troubleshooting guidance below. If the condition is not listed or cannot be resolved within 15 minutes, contact the on-call maintenance technician.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Situation</w:t>
            </w:r>
          </w:p>
        </w:tc>
        <w:tc>
          <w:tcPr>
            <w:tcW w:type="dxa" w:w="2160"/>
          </w:tcPr>
          <w:p>
            <w:r>
              <w:t>Possible Cause</w:t>
            </w:r>
          </w:p>
        </w:tc>
        <w:tc>
          <w:tcPr>
            <w:tcW w:type="dxa" w:w="2160"/>
          </w:tcPr>
          <w:p>
            <w:r>
              <w:t>Immediate Action</w:t>
            </w:r>
          </w:p>
        </w:tc>
        <w:tc>
          <w:tcPr>
            <w:tcW w:type="dxa" w:w="2160"/>
          </w:tcPr>
          <w:p>
            <w:r>
              <w:t>Escalation</w:t>
            </w:r>
          </w:p>
        </w:tc>
      </w:tr>
      <w:tr>
        <w:tc>
          <w:tcPr>
            <w:tcW w:type="dxa" w:w="2160"/>
          </w:tcPr>
          <w:p>
            <w:r>
              <w:t>HMI shows COMM FAULT on one subsystem</w:t>
            </w:r>
          </w:p>
        </w:tc>
        <w:tc>
          <w:tcPr>
            <w:tcW w:type="dxa" w:w="2160"/>
          </w:tcPr>
          <w:p>
            <w:r>
              <w:t>Loose network cable or module failure</w:t>
            </w:r>
          </w:p>
        </w:tc>
        <w:tc>
          <w:tcPr>
            <w:tcW w:type="dxa" w:w="2160"/>
          </w:tcPr>
          <w:p>
            <w:r>
              <w:t>Check Ethernet connections at the affected module. Power-cycle the module.</w:t>
            </w:r>
          </w:p>
        </w:tc>
        <w:tc>
          <w:tcPr>
            <w:tcW w:type="dxa" w:w="2160"/>
          </w:tcPr>
          <w:p>
            <w:r>
              <w:t>If persists after 2 attempts, call Maintenance.</w:t>
            </w:r>
          </w:p>
        </w:tc>
      </w:tr>
      <w:tr>
        <w:tc>
          <w:tcPr>
            <w:tcW w:type="dxa" w:w="2160"/>
          </w:tcPr>
          <w:p>
            <w:r>
              <w:t>Heat sealer temperature will not reach setpoint</w:t>
            </w:r>
          </w:p>
        </w:tc>
        <w:tc>
          <w:tcPr>
            <w:tcW w:type="dxa" w:w="2160"/>
          </w:tcPr>
          <w:p>
            <w:r>
              <w:t>Heating element degradation or thermocouple fault</w:t>
            </w:r>
          </w:p>
        </w:tc>
        <w:tc>
          <w:tcPr>
            <w:tcW w:type="dxa" w:w="2160"/>
          </w:tcPr>
          <w:p>
            <w:r>
              <w:t>Verify thermocouple connection. If temperature is below 150 degrees C after 5 minutes, stop and report.</w:t>
            </w:r>
          </w:p>
        </w:tc>
        <w:tc>
          <w:tcPr>
            <w:tcW w:type="dxa" w:w="2160"/>
          </w:tcPr>
          <w:p>
            <w:r>
              <w:t>Replace heating element per PM schedule.</w:t>
            </w:r>
          </w:p>
        </w:tc>
      </w:tr>
      <w:tr>
        <w:tc>
          <w:tcPr>
            <w:tcW w:type="dxa" w:w="2160"/>
          </w:tcPr>
          <w:p>
            <w:r>
              <w:t>Film tracking alarm during threading</w:t>
            </w:r>
          </w:p>
        </w:tc>
        <w:tc>
          <w:tcPr>
            <w:tcW w:type="dxa" w:w="2160"/>
          </w:tcPr>
          <w:p>
            <w:r>
              <w:t>Film roll misaligned or edge sensor dirty</w:t>
            </w:r>
          </w:p>
        </w:tc>
        <w:tc>
          <w:tcPr>
            <w:tcW w:type="dxa" w:w="2160"/>
          </w:tcPr>
          <w:p>
            <w:r>
              <w:t>Re-center the film roll on the unwind stand. Clean the edge sensor with lint-free cloth.</w:t>
            </w:r>
          </w:p>
        </w:tc>
        <w:tc>
          <w:tcPr>
            <w:tcW w:type="dxa" w:w="2160"/>
          </w:tcPr>
          <w:p>
            <w:r>
              <w:t>If sensor replacement needed, submit work order.</w:t>
            </w:r>
          </w:p>
        </w:tc>
      </w:tr>
      <w:tr>
        <w:tc>
          <w:tcPr>
            <w:tcW w:type="dxa" w:w="2160"/>
          </w:tcPr>
          <w:p>
            <w:r>
              <w:t>Dry cycle test shows product misalignment</w:t>
            </w:r>
          </w:p>
        </w:tc>
        <w:tc>
          <w:tcPr>
            <w:tcW w:type="dxa" w:w="2160"/>
          </w:tcPr>
          <w:p>
            <w:r>
              <w:t>Guide rail out of position or product infeed timing off</w:t>
            </w:r>
          </w:p>
        </w:tc>
        <w:tc>
          <w:tcPr>
            <w:tcW w:type="dxa" w:w="2160"/>
          </w:tcPr>
          <w:p>
            <w:r>
              <w:t>Adjust guide rails per the alignment jig. Recalibrate infeed timing on HMI.</w:t>
            </w:r>
          </w:p>
        </w:tc>
        <w:tc>
          <w:tcPr>
            <w:tcW w:type="dxa" w:w="2160"/>
          </w:tcPr>
          <w:p>
            <w:r>
              <w:t>If mechanical wear suspected, escalate to Maintenance.</w:t>
            </w:r>
          </w:p>
        </w:tc>
      </w:tr>
      <w:tr>
        <w:tc>
          <w:tcPr>
            <w:tcW w:type="dxa" w:w="2160"/>
          </w:tcPr>
          <w:p>
            <w:r>
              <w:t>Emergency Stop activated unexpectedly</w:t>
            </w:r>
          </w:p>
        </w:tc>
        <w:tc>
          <w:tcPr>
            <w:tcW w:type="dxa" w:w="2160"/>
          </w:tcPr>
          <w:p>
            <w:r>
              <w:t>Stuck E-Stop button or wiring fault</w:t>
            </w:r>
          </w:p>
        </w:tc>
        <w:tc>
          <w:tcPr>
            <w:tcW w:type="dxa" w:w="2160"/>
          </w:tcPr>
          <w:p>
            <w:r>
              <w:t>Inspect all E-Stop buttons for physical damage. Reset by twisting clockwise.</w:t>
            </w:r>
          </w:p>
        </w:tc>
        <w:tc>
          <w:tcPr>
            <w:tcW w:type="dxa" w:w="2160"/>
          </w:tcPr>
          <w:p>
            <w:r>
              <w:t>If wiring fault, apply LOTO and call Electrical Maintenance.</w:t>
            </w:r>
          </w:p>
        </w:tc>
      </w:tr>
      <w:tr>
        <w:tc>
          <w:tcPr>
            <w:tcW w:type="dxa" w:w="2160"/>
          </w:tcPr>
          <w:p>
            <w:r>
              <w:t>Subsystem shows FAULT but no fault code</w:t>
            </w:r>
          </w:p>
        </w:tc>
        <w:tc>
          <w:tcPr>
            <w:tcW w:type="dxa" w:w="2160"/>
          </w:tcPr>
          <w:p>
            <w:r>
              <w:t>PLC communication timeout</w:t>
            </w:r>
          </w:p>
        </w:tc>
        <w:tc>
          <w:tcPr>
            <w:tcW w:type="dxa" w:w="2160"/>
          </w:tcPr>
          <w:p>
            <w:r>
              <w:t>Press "System Reset". If fault persists, power-cycle the PLC module.</w:t>
            </w:r>
          </w:p>
        </w:tc>
        <w:tc>
          <w:tcPr>
            <w:tcW w:type="dxa" w:w="2160"/>
          </w:tcPr>
          <w:p>
            <w:r>
              <w:t>If unresolved, contact Controls Engineering.</w:t>
            </w:r>
          </w:p>
        </w:tc>
      </w:tr>
    </w:tbl>
    <w:p/>
    <w:p>
      <w:pPr>
        <w:pStyle w:val="Heading1"/>
      </w:pPr>
      <w:r>
        <w:t>7. Shutdown Procedure</w:t>
      </w:r>
    </w:p>
    <w:p>
      <w:pPr>
        <w:pStyle w:val="Heading2"/>
      </w:pPr>
      <w:r>
        <w:t>7.1 Normal Shutdown</w:t>
      </w:r>
    </w:p>
    <w:p>
      <w:r>
        <w:t>Use this sequence at the end of a production shift or when the line will be idle for more than 4 hours.</w:t>
      </w:r>
    </w:p>
    <w:p>
      <w:r>
        <w:t>Step 1: Stop product feed to the infeed conveyor. Wait for all products to clear the sealing section.</w:t>
      </w:r>
    </w:p>
    <w:p>
      <w:r>
        <w:t>Step 2: Press "End Production" on the HMI. The system will complete the current cycle and stop.</w:t>
      </w:r>
    </w:p>
    <w:p>
      <w:r>
        <w:t>Step 3: Press "Heat Sealer Cooldown" and wait until the temperature drops below 60 degrees C (approximately 8 minutes).</w:t>
      </w:r>
    </w:p>
    <w:p>
      <w:r>
        <w:t>Step 4: Remove any remaining packaging material from the unwind stand and sealing jaws.</w:t>
      </w:r>
    </w:p>
    <w:p>
      <w:r>
        <w:t>Step 5: Press "System Shutdown" on the HMI. Wait for the confirmation message.</w:t>
      </w:r>
    </w:p>
    <w:p>
      <w:r>
        <w:t>Step 6: Turn the main disconnect switch to OFF.</w:t>
      </w:r>
    </w:p>
    <w:p>
      <w:r>
        <w:t>Step 7: Complete the shift handover log in the Maintenance Log System.</w:t>
      </w:r>
    </w:p>
    <w:p>
      <w:pPr>
        <w:pStyle w:val="Heading2"/>
      </w:pPr>
      <w:r>
        <w:t>7.2 Emergency Shutdown</w:t>
      </w:r>
    </w:p>
    <w:p>
      <w:r>
        <w:t>Use this sequence ONLY when there is an immediate risk to personnel safety or equipment integrity.</w:t>
      </w:r>
    </w:p>
    <w:p>
      <w:r>
        <w:t>Step 1: Press the nearest Emergency Stop button immediately.</w:t>
      </w:r>
    </w:p>
    <w:p>
      <w:r>
        <w:t>Step 2: If there is a fire, activate the fire alarm and evacuate per the Building C Emergency Plan.</w:t>
      </w:r>
    </w:p>
    <w:p>
      <w:r>
        <w:t>Step 3: Do NOT attempt to restart the equipment until the area has been inspected and cleared by the Shift Supervisor.</w:t>
      </w:r>
    </w:p>
    <w:p>
      <w:pPr>
        <w:pStyle w:val="Heading1"/>
      </w:pPr>
      <w:r>
        <w:t>8. Maintenance Records</w:t>
      </w:r>
    </w:p>
    <w:p>
      <w:r>
        <w:t>All startup, shutdown, and fault events must be recorded in the Maintenance Log System (MLS). The following table summarizes the required record-keeping activities.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Event Type</w:t>
            </w:r>
          </w:p>
        </w:tc>
        <w:tc>
          <w:tcPr>
            <w:tcW w:type="dxa" w:w="2880"/>
          </w:tcPr>
          <w:p>
            <w:r>
              <w:t>Record Required</w:t>
            </w:r>
          </w:p>
        </w:tc>
        <w:tc>
          <w:tcPr>
            <w:tcW w:type="dxa" w:w="2880"/>
          </w:tcPr>
          <w:p>
            <w:r>
              <w:t>Retention Period</w:t>
            </w:r>
          </w:p>
        </w:tc>
      </w:tr>
      <w:tr>
        <w:tc>
          <w:tcPr>
            <w:tcW w:type="dxa" w:w="2880"/>
          </w:tcPr>
          <w:p>
            <w:r>
              <w:t>Cold Start</w:t>
            </w:r>
          </w:p>
        </w:tc>
        <w:tc>
          <w:tcPr>
            <w:tcW w:type="dxa" w:w="2880"/>
          </w:tcPr>
          <w:p>
            <w:r>
              <w:t>Operator name, date/time, checklist results, any deviations</w:t>
            </w:r>
          </w:p>
        </w:tc>
        <w:tc>
          <w:tcPr>
            <w:tcW w:type="dxa" w:w="2880"/>
          </w:tcPr>
          <w:p>
            <w:r>
              <w:t>2 years</w:t>
            </w:r>
          </w:p>
        </w:tc>
      </w:tr>
      <w:tr>
        <w:tc>
          <w:tcPr>
            <w:tcW w:type="dxa" w:w="2880"/>
          </w:tcPr>
          <w:p>
            <w:r>
              <w:t>Warm Start</w:t>
            </w:r>
          </w:p>
        </w:tc>
        <w:tc>
          <w:tcPr>
            <w:tcW w:type="dxa" w:w="2880"/>
          </w:tcPr>
          <w:p>
            <w:r>
              <w:t>Operator name, date/time, subsystem status summary</w:t>
            </w:r>
          </w:p>
        </w:tc>
        <w:tc>
          <w:tcPr>
            <w:tcW w:type="dxa" w:w="2880"/>
          </w:tcPr>
          <w:p>
            <w:r>
              <w:t>1 year</w:t>
            </w:r>
          </w:p>
        </w:tc>
      </w:tr>
      <w:tr>
        <w:tc>
          <w:tcPr>
            <w:tcW w:type="dxa" w:w="2880"/>
          </w:tcPr>
          <w:p>
            <w:r>
              <w:t>Fault Event</w:t>
            </w:r>
          </w:p>
        </w:tc>
        <w:tc>
          <w:tcPr>
            <w:tcW w:type="dxa" w:w="2880"/>
          </w:tcPr>
          <w:p>
            <w:r>
              <w:t>Fault code, root cause, corrective action, operator name</w:t>
            </w:r>
          </w:p>
        </w:tc>
        <w:tc>
          <w:tcPr>
            <w:tcW w:type="dxa" w:w="2880"/>
          </w:tcPr>
          <w:p>
            <w:r>
              <w:t>5 years</w:t>
            </w:r>
          </w:p>
        </w:tc>
      </w:tr>
      <w:tr>
        <w:tc>
          <w:tcPr>
            <w:tcW w:type="dxa" w:w="2880"/>
          </w:tcPr>
          <w:p>
            <w:r>
              <w:t>Emergency Shutdown</w:t>
            </w:r>
          </w:p>
        </w:tc>
        <w:tc>
          <w:tcPr>
            <w:tcW w:type="dxa" w:w="2880"/>
          </w:tcPr>
          <w:p>
            <w:r>
              <w:t>Reason, operator name, date/time, supervisor sign-off</w:t>
            </w:r>
          </w:p>
        </w:tc>
        <w:tc>
          <w:tcPr>
            <w:tcW w:type="dxa" w:w="2880"/>
          </w:tcPr>
          <w:p>
            <w:r>
              <w:t>5 years</w:t>
            </w:r>
          </w:p>
        </w:tc>
      </w:tr>
      <w:tr>
        <w:tc>
          <w:tcPr>
            <w:tcW w:type="dxa" w:w="2880"/>
          </w:tcPr>
          <w:p>
            <w:r>
              <w:t>Scheduled Maintenance</w:t>
            </w:r>
          </w:p>
        </w:tc>
        <w:tc>
          <w:tcPr>
            <w:tcW w:type="dxa" w:w="2880"/>
          </w:tcPr>
          <w:p>
            <w:r>
              <w:t>Technician name, work performed, parts replaced, next due date</w:t>
            </w:r>
          </w:p>
        </w:tc>
        <w:tc>
          <w:tcPr>
            <w:tcW w:type="dxa" w:w="2880"/>
          </w:tcPr>
          <w:p>
            <w:r>
              <w:t>Life of equipment</w:t>
            </w:r>
          </w:p>
        </w:tc>
      </w:tr>
    </w:tbl>
    <w:p/>
    <w:p>
      <w:r>
        <w:t>--- End of Document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