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bmp" ContentType="image/bmp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line="300" w:lineRule="auto"/>
        <w:ind w:firstLine="280" w:firstLineChars="100"/>
        <w:jc w:val="center"/>
        <w:rPr>
          <w:rFonts w:ascii="宋体" w:hAnsi="宋体"/>
          <w:color w:val="000000"/>
          <w:sz w:val="28"/>
          <w:szCs w:val="28"/>
        </w:rPr>
      </w:pPr>
      <w:r>
        <w:rPr>
          <w:rFonts w:ascii="宋体" w:hAnsi="宋体"/>
          <w:color w:val="000000"/>
          <w:sz w:val="28"/>
          <w:szCs w:val="28"/>
        </w:rPr>
        <w:t>东莞市201</w:t>
      </w:r>
      <w:r>
        <w:rPr>
          <w:rFonts w:hint="eastAsia" w:ascii="宋体" w:hAnsi="宋体"/>
          <w:color w:val="000000"/>
          <w:sz w:val="28"/>
          <w:szCs w:val="28"/>
        </w:rPr>
        <w:t>9</w:t>
      </w:r>
      <w:r>
        <w:rPr>
          <w:rFonts w:ascii="宋体" w:hAnsi="宋体"/>
          <w:color w:val="000000"/>
          <w:sz w:val="28"/>
          <w:szCs w:val="28"/>
        </w:rPr>
        <w:t>～20</w:t>
      </w:r>
      <w:r>
        <w:rPr>
          <w:rFonts w:hint="eastAsia" w:ascii="宋体" w:hAnsi="宋体"/>
          <w:color w:val="000000"/>
          <w:sz w:val="28"/>
          <w:szCs w:val="28"/>
        </w:rPr>
        <w:t>20</w:t>
      </w:r>
      <w:r>
        <w:rPr>
          <w:rFonts w:ascii="宋体" w:hAnsi="宋体"/>
          <w:color w:val="000000"/>
          <w:sz w:val="28"/>
          <w:szCs w:val="28"/>
        </w:rPr>
        <w:t>学年度第</w:t>
      </w:r>
      <w:r>
        <w:rPr>
          <w:rFonts w:hint="eastAsia" w:ascii="宋体" w:hAnsi="宋体"/>
          <w:color w:val="000000"/>
          <w:sz w:val="28"/>
          <w:szCs w:val="28"/>
        </w:rPr>
        <w:t>一</w:t>
      </w:r>
      <w:r>
        <w:rPr>
          <w:rFonts w:ascii="宋体" w:hAnsi="宋体"/>
          <w:color w:val="000000"/>
          <w:sz w:val="28"/>
          <w:szCs w:val="28"/>
        </w:rPr>
        <w:t>学期高</w:t>
      </w:r>
      <w:r>
        <w:rPr>
          <w:rFonts w:hint="eastAsia" w:ascii="宋体" w:hAnsi="宋体"/>
          <w:color w:val="000000"/>
          <w:sz w:val="28"/>
          <w:szCs w:val="28"/>
        </w:rPr>
        <w:t>三</w:t>
      </w:r>
      <w:r>
        <w:rPr>
          <w:rFonts w:ascii="宋体" w:hAnsi="宋体"/>
          <w:color w:val="000000"/>
          <w:sz w:val="28"/>
          <w:szCs w:val="28"/>
        </w:rPr>
        <w:t>教学质量检查</w:t>
      </w:r>
    </w:p>
    <w:p>
      <w:pPr>
        <w:widowControl/>
        <w:spacing w:line="300" w:lineRule="auto"/>
        <w:ind w:firstLine="440" w:firstLineChars="100"/>
        <w:jc w:val="center"/>
        <w:rPr>
          <w:rFonts w:ascii="宋体" w:hAnsi="宋体"/>
          <w:color w:val="000000"/>
          <w:sz w:val="44"/>
          <w:szCs w:val="44"/>
        </w:rPr>
      </w:pPr>
      <w:r>
        <w:rPr>
          <w:rFonts w:hint="eastAsia" w:ascii="宋体" w:hAnsi="宋体"/>
          <w:color w:val="000000"/>
          <w:sz w:val="44"/>
          <w:szCs w:val="44"/>
        </w:rPr>
        <w:t>文科综合</w:t>
      </w:r>
      <w:r>
        <w:rPr>
          <w:rFonts w:ascii="宋体" w:hAnsi="宋体"/>
          <w:color w:val="000000"/>
          <w:sz w:val="44"/>
          <w:szCs w:val="44"/>
        </w:rPr>
        <w:t>试题</w:t>
      </w:r>
      <w:r>
        <w:rPr>
          <w:rFonts w:hint="eastAsia" w:ascii="宋体" w:hAnsi="宋体"/>
          <w:color w:val="000000"/>
          <w:sz w:val="44"/>
          <w:szCs w:val="44"/>
        </w:rPr>
        <w:t>（地理）</w:t>
      </w:r>
    </w:p>
    <w:p>
      <w:pPr>
        <w:widowControl/>
        <w:spacing w:line="300" w:lineRule="auto"/>
        <w:ind w:firstLine="210" w:firstLineChars="100"/>
        <w:jc w:val="center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（考试时间</w:t>
      </w:r>
      <w:r>
        <w:rPr>
          <w:rFonts w:hint="eastAsia" w:ascii="宋体" w:hAnsi="宋体"/>
          <w:color w:val="000000"/>
          <w:szCs w:val="21"/>
        </w:rPr>
        <w:t>150</w:t>
      </w:r>
      <w:r>
        <w:rPr>
          <w:rFonts w:ascii="宋体" w:hAnsi="宋体"/>
          <w:color w:val="000000"/>
          <w:szCs w:val="21"/>
        </w:rPr>
        <w:t>分钟，满分</w:t>
      </w:r>
      <w:r>
        <w:rPr>
          <w:rFonts w:hint="eastAsia" w:ascii="宋体" w:hAnsi="宋体"/>
          <w:color w:val="000000"/>
          <w:szCs w:val="21"/>
        </w:rPr>
        <w:t>300</w:t>
      </w:r>
      <w:r>
        <w:rPr>
          <w:rFonts w:ascii="宋体" w:hAnsi="宋体"/>
          <w:color w:val="000000"/>
          <w:szCs w:val="21"/>
        </w:rPr>
        <w:t>分）</w:t>
      </w:r>
    </w:p>
    <w:p>
      <w:pPr>
        <w:spacing w:line="300" w:lineRule="auto"/>
        <w:jc w:val="center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8"/>
          <w:szCs w:val="28"/>
        </w:rPr>
        <w:t xml:space="preserve">     </w:t>
      </w:r>
      <w:r>
        <w:rPr>
          <w:rFonts w:ascii="宋体" w:hAnsi="宋体"/>
          <w:color w:val="000000"/>
          <w:sz w:val="24"/>
        </w:rPr>
        <w:t>第Ⅰ卷</w:t>
      </w:r>
    </w:p>
    <w:p>
      <w:pPr>
        <w:spacing w:line="300" w:lineRule="auto"/>
        <w:ind w:firstLine="420"/>
        <w:rPr>
          <w:rFonts w:hint="eastAsia"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本卷共</w:t>
      </w:r>
      <w:r>
        <w:rPr>
          <w:rFonts w:hint="eastAsia" w:ascii="宋体" w:hAnsi="宋体"/>
          <w:color w:val="000000"/>
          <w:szCs w:val="21"/>
        </w:rPr>
        <w:t>35</w:t>
      </w:r>
      <w:r>
        <w:rPr>
          <w:rFonts w:ascii="宋体" w:hAnsi="宋体"/>
          <w:color w:val="000000"/>
          <w:szCs w:val="21"/>
        </w:rPr>
        <w:t>小题。每小题</w:t>
      </w:r>
      <w:r>
        <w:rPr>
          <w:rFonts w:hint="eastAsia" w:ascii="宋体" w:hAnsi="宋体"/>
          <w:color w:val="000000"/>
          <w:szCs w:val="21"/>
        </w:rPr>
        <w:t>4</w:t>
      </w:r>
      <w:r>
        <w:rPr>
          <w:rFonts w:ascii="宋体" w:hAnsi="宋体"/>
          <w:color w:val="000000"/>
          <w:szCs w:val="21"/>
        </w:rPr>
        <w:t>分，共</w:t>
      </w:r>
      <w:r>
        <w:rPr>
          <w:rFonts w:hint="eastAsia" w:ascii="宋体" w:hAnsi="宋体"/>
          <w:color w:val="000000"/>
          <w:szCs w:val="21"/>
        </w:rPr>
        <w:t>140</w:t>
      </w:r>
      <w:r>
        <w:rPr>
          <w:rFonts w:ascii="宋体" w:hAnsi="宋体"/>
          <w:color w:val="000000"/>
          <w:szCs w:val="21"/>
        </w:rPr>
        <w:t>分。在每个小题给出的四个选项中，只有一项是符合题目要求的。</w:t>
      </w:r>
    </w:p>
    <w:p>
      <w:pPr>
        <w:ind w:firstLine="420" w:firstLineChars="200"/>
        <w:rPr>
          <w:rFonts w:hint="eastAsia" w:ascii="楷体_GB2312" w:hAnsi="宋体" w:eastAsia="楷体_GB2312"/>
          <w:color w:val="000000"/>
          <w:szCs w:val="21"/>
        </w:rPr>
      </w:pPr>
      <w:r>
        <w:rPr>
          <w:rFonts w:hint="eastAsia" w:ascii="楷体_GB2312" w:hAnsi="宋体" w:eastAsia="楷体_GB2312"/>
          <w:color w:val="000000"/>
          <w:szCs w:val="21"/>
        </w:rPr>
        <w:t>薯莨染整是制造香云纱的核心技术，包括用植物薯莨的汁水对桑蚕丝织物涂层、用珠三角地区特有的含矿河塘淤泥覆盖、反复日晒等工序。广东佛山薯茛染整只在每年3—11月进行。香云纱穿在身上凉爽、不粘身，被称为纺织界的“软黄金”，畅销东南亚等地区。据此</w:t>
      </w:r>
      <w:r>
        <w:rPr>
          <w:rFonts w:hint="eastAsia" w:ascii="楷体_GB2312" w:hAnsi="宋体" w:eastAsia="楷体_GB2312" w:cs="仿宋"/>
          <w:color w:val="000000"/>
          <w:szCs w:val="21"/>
          <w:shd w:val="clear" w:color="auto" w:fill="FFFFFF"/>
        </w:rPr>
        <w:t>回答1</w:t>
      </w:r>
      <w:r>
        <w:rPr>
          <w:rFonts w:hint="eastAsia" w:ascii="楷体_GB2312" w:hAnsi="宋体" w:eastAsia="楷体_GB2312"/>
          <w:color w:val="000000"/>
          <w:szCs w:val="21"/>
        </w:rPr>
        <w:t>～</w:t>
      </w:r>
      <w:r>
        <w:rPr>
          <w:rFonts w:hint="eastAsia" w:ascii="楷体_GB2312" w:hAnsi="宋体" w:eastAsia="楷体_GB2312" w:cs="仿宋"/>
          <w:color w:val="000000"/>
          <w:szCs w:val="21"/>
          <w:shd w:val="clear" w:color="auto" w:fill="FFFFFF"/>
        </w:rPr>
        <w:t>3题。</w:t>
      </w:r>
    </w:p>
    <w:p>
      <w:pPr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1.</w:t>
      </w:r>
      <w:r>
        <w:rPr>
          <w:rFonts w:hint="eastAsia"/>
          <w:color w:val="000000"/>
        </w:rPr>
        <w:t xml:space="preserve"> </w:t>
      </w:r>
      <w:r>
        <w:rPr>
          <w:rFonts w:hint="eastAsia" w:ascii="宋体" w:hAnsi="宋体"/>
          <w:color w:val="000000"/>
          <w:szCs w:val="21"/>
        </w:rPr>
        <w:t>每年3-11月，广东佛山薯莨染整工艺面临的不利条件是</w:t>
      </w:r>
      <w:r>
        <w:rPr>
          <w:rFonts w:hint="eastAsia" w:ascii="宋体" w:hAnsi="宋体"/>
          <w:color w:val="000000"/>
        </w:rPr>
        <w:t>(  　)</w:t>
      </w:r>
    </w:p>
    <w:p>
      <w:pPr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 xml:space="preserve">  A.气温高       B.光照强         C. 降水多      D.温差大</w:t>
      </w:r>
    </w:p>
    <w:p>
      <w:pPr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2.香云纱特产于佛山的原因是</w:t>
      </w:r>
      <w:r>
        <w:rPr>
          <w:rFonts w:hint="eastAsia" w:ascii="宋体" w:hAnsi="宋体"/>
          <w:color w:val="000000"/>
        </w:rPr>
        <w:t>(  　)</w:t>
      </w:r>
    </w:p>
    <w:p>
      <w:pPr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 xml:space="preserve">  A.原料丰富     B.劳动力充足     C.市场广阔     D.政策扶持</w:t>
      </w:r>
    </w:p>
    <w:p>
      <w:pPr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3.香云纱畅销东南亚的最主要原因是</w:t>
      </w:r>
      <w:r>
        <w:rPr>
          <w:rFonts w:hint="eastAsia" w:ascii="宋体" w:hAnsi="宋体"/>
          <w:color w:val="000000"/>
        </w:rPr>
        <w:t>(  　)</w:t>
      </w:r>
    </w:p>
    <w:p>
      <w:pPr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 xml:space="preserve">  A.香云纱价格低廉                B.东南亚气候湿热</w:t>
      </w:r>
    </w:p>
    <w:p>
      <w:pPr>
        <w:ind w:firstLine="210" w:firstLineChars="10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C.运输距离短                    D.文化风俗相近</w:t>
      </w:r>
    </w:p>
    <w:p>
      <w:pPr>
        <w:ind w:firstLine="420" w:firstLineChars="200"/>
        <w:rPr>
          <w:rFonts w:ascii="楷体_GB2312" w:hAnsi="宋体" w:eastAsia="楷体_GB2312"/>
          <w:color w:val="000000"/>
          <w:szCs w:val="21"/>
        </w:rPr>
      </w:pPr>
      <w:r>
        <w:rPr>
          <w:rFonts w:hint="eastAsia" w:ascii="楷体_GB2312" w:hAnsi="宋体" w:eastAsia="楷体_GB2312"/>
          <w:color w:val="000000"/>
          <w:szCs w:val="21"/>
        </w:rPr>
        <w:t>读吉林省近年来常住人口数据(单位：万人），回答4～5题。</w:t>
      </w:r>
    </w:p>
    <w:tbl>
      <w:tblPr>
        <w:tblStyle w:val="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7"/>
        <w:gridCol w:w="1500"/>
        <w:gridCol w:w="1500"/>
        <w:gridCol w:w="1685"/>
        <w:gridCol w:w="1421"/>
        <w:gridCol w:w="14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77" w:type="dxa"/>
            <w:shd w:val="clear" w:color="auto" w:fill="auto"/>
            <w:noWrap w:val="0"/>
            <w:vAlign w:val="top"/>
          </w:tcPr>
          <w:p>
            <w:pPr>
              <w:widowControl/>
              <w:snapToGrid w:val="0"/>
              <w:jc w:val="center"/>
              <w:rPr>
                <w:rFonts w:ascii="宋体" w:hAnsi="宋体" w:cs="宋体"/>
                <w:color w:val="000000"/>
                <w:kern w:val="0"/>
                <w:szCs w:val="21"/>
                <w:shd w:val="clear" w:color="auto" w:fill="FFFFFF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shd w:val="clear" w:color="auto" w:fill="FFFFFF"/>
              </w:rPr>
              <w:t>年份</w:t>
            </w:r>
          </w:p>
        </w:tc>
        <w:tc>
          <w:tcPr>
            <w:tcW w:w="1500" w:type="dxa"/>
            <w:shd w:val="clear" w:color="auto" w:fill="auto"/>
            <w:noWrap w:val="0"/>
            <w:vAlign w:val="top"/>
          </w:tcPr>
          <w:p>
            <w:pPr>
              <w:widowControl/>
              <w:snapToGrid w:val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总人口</w:t>
            </w:r>
          </w:p>
        </w:tc>
        <w:tc>
          <w:tcPr>
            <w:tcW w:w="1500" w:type="dxa"/>
            <w:shd w:val="clear" w:color="auto" w:fill="auto"/>
            <w:noWrap w:val="0"/>
            <w:vAlign w:val="center"/>
          </w:tcPr>
          <w:p>
            <w:pPr>
              <w:widowControl/>
              <w:snapToGrid w:val="0"/>
              <w:jc w:val="center"/>
              <w:rPr>
                <w:rFonts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城镇人口</w:t>
            </w:r>
          </w:p>
        </w:tc>
        <w:tc>
          <w:tcPr>
            <w:tcW w:w="1685" w:type="dxa"/>
            <w:shd w:val="clear" w:color="auto" w:fill="auto"/>
            <w:noWrap w:val="0"/>
            <w:vAlign w:val="center"/>
          </w:tcPr>
          <w:p>
            <w:pPr>
              <w:widowControl/>
              <w:snapToGrid w:val="0"/>
              <w:jc w:val="center"/>
              <w:rPr>
                <w:rFonts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乡村人口</w:t>
            </w:r>
          </w:p>
        </w:tc>
        <w:tc>
          <w:tcPr>
            <w:tcW w:w="1421" w:type="dxa"/>
            <w:shd w:val="clear" w:color="auto" w:fill="auto"/>
            <w:noWrap w:val="0"/>
            <w:vAlign w:val="center"/>
          </w:tcPr>
          <w:p>
            <w:pPr>
              <w:widowControl/>
              <w:snapToGrid w:val="0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出生人口</w:t>
            </w:r>
          </w:p>
        </w:tc>
        <w:tc>
          <w:tcPr>
            <w:tcW w:w="1421" w:type="dxa"/>
            <w:shd w:val="clear" w:color="auto" w:fill="auto"/>
            <w:noWrap w:val="0"/>
            <w:vAlign w:val="top"/>
          </w:tcPr>
          <w:p>
            <w:pPr>
              <w:widowControl/>
              <w:snapToGrid w:val="0"/>
              <w:jc w:val="center"/>
              <w:rPr>
                <w:rFonts w:ascii="宋体" w:hAnsi="宋体" w:cs="宋体"/>
                <w:color w:val="000000"/>
                <w:kern w:val="0"/>
                <w:szCs w:val="21"/>
                <w:shd w:val="clear" w:color="auto" w:fill="FFFFFF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死亡人口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77" w:type="dxa"/>
            <w:shd w:val="clear" w:color="auto" w:fill="auto"/>
            <w:noWrap w:val="0"/>
            <w:vAlign w:val="center"/>
          </w:tcPr>
          <w:p>
            <w:pPr>
              <w:widowControl/>
              <w:snapToGrid w:val="0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2015</w:t>
            </w:r>
          </w:p>
        </w:tc>
        <w:tc>
          <w:tcPr>
            <w:tcW w:w="1500" w:type="dxa"/>
            <w:shd w:val="clear" w:color="auto" w:fill="auto"/>
            <w:noWrap w:val="0"/>
            <w:vAlign w:val="top"/>
          </w:tcPr>
          <w:p>
            <w:pPr>
              <w:widowControl/>
              <w:snapToGrid w:val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2753.30</w:t>
            </w:r>
          </w:p>
        </w:tc>
        <w:tc>
          <w:tcPr>
            <w:tcW w:w="1500" w:type="dxa"/>
            <w:shd w:val="clear" w:color="auto" w:fill="auto"/>
            <w:noWrap w:val="0"/>
            <w:vAlign w:val="center"/>
          </w:tcPr>
          <w:p>
            <w:pPr>
              <w:widowControl/>
              <w:snapToGrid w:val="0"/>
              <w:jc w:val="center"/>
              <w:rPr>
                <w:rFonts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1522.90</w:t>
            </w:r>
          </w:p>
        </w:tc>
        <w:tc>
          <w:tcPr>
            <w:tcW w:w="1685" w:type="dxa"/>
            <w:shd w:val="clear" w:color="auto" w:fill="auto"/>
            <w:noWrap w:val="0"/>
            <w:vAlign w:val="center"/>
          </w:tcPr>
          <w:p>
            <w:pPr>
              <w:widowControl/>
              <w:snapToGrid w:val="0"/>
              <w:jc w:val="center"/>
              <w:rPr>
                <w:rFonts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1230.40</w:t>
            </w:r>
          </w:p>
        </w:tc>
        <w:tc>
          <w:tcPr>
            <w:tcW w:w="1421" w:type="dxa"/>
            <w:shd w:val="clear" w:color="auto" w:fill="auto"/>
            <w:noWrap w:val="0"/>
            <w:vAlign w:val="center"/>
          </w:tcPr>
          <w:p>
            <w:pPr>
              <w:widowControl/>
              <w:snapToGrid w:val="0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16.16</w:t>
            </w:r>
          </w:p>
        </w:tc>
        <w:tc>
          <w:tcPr>
            <w:tcW w:w="1421" w:type="dxa"/>
            <w:shd w:val="clear" w:color="auto" w:fill="auto"/>
            <w:noWrap w:val="0"/>
            <w:vAlign w:val="center"/>
          </w:tcPr>
          <w:p>
            <w:pPr>
              <w:widowControl/>
              <w:snapToGrid w:val="0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15.23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77" w:type="dxa"/>
            <w:shd w:val="clear" w:color="auto" w:fill="auto"/>
            <w:noWrap w:val="0"/>
            <w:vAlign w:val="center"/>
          </w:tcPr>
          <w:p>
            <w:pPr>
              <w:widowControl/>
              <w:snapToGrid w:val="0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2016</w:t>
            </w:r>
          </w:p>
        </w:tc>
        <w:tc>
          <w:tcPr>
            <w:tcW w:w="1500" w:type="dxa"/>
            <w:shd w:val="clear" w:color="auto" w:fill="auto"/>
            <w:noWrap w:val="0"/>
            <w:vAlign w:val="top"/>
          </w:tcPr>
          <w:p>
            <w:pPr>
              <w:widowControl/>
              <w:snapToGrid w:val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2733.03</w:t>
            </w:r>
          </w:p>
        </w:tc>
        <w:tc>
          <w:tcPr>
            <w:tcW w:w="1500" w:type="dxa"/>
            <w:shd w:val="clear" w:color="auto" w:fill="auto"/>
            <w:noWrap w:val="0"/>
            <w:vAlign w:val="center"/>
          </w:tcPr>
          <w:p>
            <w:pPr>
              <w:widowControl/>
              <w:snapToGrid w:val="0"/>
              <w:jc w:val="center"/>
              <w:rPr>
                <w:rFonts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1529.68</w:t>
            </w:r>
          </w:p>
        </w:tc>
        <w:tc>
          <w:tcPr>
            <w:tcW w:w="1685" w:type="dxa"/>
            <w:shd w:val="clear" w:color="auto" w:fill="auto"/>
            <w:noWrap w:val="0"/>
            <w:vAlign w:val="center"/>
          </w:tcPr>
          <w:p>
            <w:pPr>
              <w:widowControl/>
              <w:snapToGrid w:val="0"/>
              <w:jc w:val="center"/>
              <w:rPr>
                <w:rFonts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1203.35</w:t>
            </w:r>
          </w:p>
        </w:tc>
        <w:tc>
          <w:tcPr>
            <w:tcW w:w="1421" w:type="dxa"/>
            <w:shd w:val="clear" w:color="auto" w:fill="auto"/>
            <w:noWrap w:val="0"/>
            <w:vAlign w:val="center"/>
          </w:tcPr>
          <w:p>
            <w:pPr>
              <w:widowControl/>
              <w:snapToGrid w:val="0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15.28</w:t>
            </w:r>
          </w:p>
        </w:tc>
        <w:tc>
          <w:tcPr>
            <w:tcW w:w="1421" w:type="dxa"/>
            <w:shd w:val="clear" w:color="auto" w:fill="auto"/>
            <w:noWrap w:val="0"/>
            <w:vAlign w:val="center"/>
          </w:tcPr>
          <w:p>
            <w:pPr>
              <w:widowControl/>
              <w:snapToGrid w:val="0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15.42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77" w:type="dxa"/>
            <w:shd w:val="clear" w:color="auto" w:fill="auto"/>
            <w:noWrap w:val="0"/>
            <w:vAlign w:val="center"/>
          </w:tcPr>
          <w:p>
            <w:pPr>
              <w:widowControl/>
              <w:snapToGrid w:val="0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2017</w:t>
            </w:r>
          </w:p>
        </w:tc>
        <w:tc>
          <w:tcPr>
            <w:tcW w:w="1500" w:type="dxa"/>
            <w:shd w:val="clear" w:color="auto" w:fill="auto"/>
            <w:noWrap w:val="0"/>
            <w:vAlign w:val="top"/>
          </w:tcPr>
          <w:p>
            <w:pPr>
              <w:widowControl/>
              <w:snapToGrid w:val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2717.43</w:t>
            </w:r>
          </w:p>
        </w:tc>
        <w:tc>
          <w:tcPr>
            <w:tcW w:w="1500" w:type="dxa"/>
            <w:shd w:val="clear" w:color="auto" w:fill="auto"/>
            <w:noWrap w:val="0"/>
            <w:vAlign w:val="center"/>
          </w:tcPr>
          <w:p>
            <w:pPr>
              <w:widowControl/>
              <w:snapToGrid w:val="0"/>
              <w:jc w:val="center"/>
              <w:rPr>
                <w:rFonts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1539.42</w:t>
            </w:r>
          </w:p>
        </w:tc>
        <w:tc>
          <w:tcPr>
            <w:tcW w:w="1685" w:type="dxa"/>
            <w:shd w:val="clear" w:color="auto" w:fill="auto"/>
            <w:noWrap w:val="0"/>
            <w:vAlign w:val="center"/>
          </w:tcPr>
          <w:p>
            <w:pPr>
              <w:widowControl/>
              <w:snapToGrid w:val="0"/>
              <w:jc w:val="center"/>
              <w:rPr>
                <w:rFonts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1178.01</w:t>
            </w:r>
          </w:p>
        </w:tc>
        <w:tc>
          <w:tcPr>
            <w:tcW w:w="1421" w:type="dxa"/>
            <w:shd w:val="clear" w:color="auto" w:fill="auto"/>
            <w:noWrap w:val="0"/>
            <w:vAlign w:val="center"/>
          </w:tcPr>
          <w:p>
            <w:pPr>
              <w:widowControl/>
              <w:snapToGrid w:val="0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18.48</w:t>
            </w:r>
          </w:p>
        </w:tc>
        <w:tc>
          <w:tcPr>
            <w:tcW w:w="1421" w:type="dxa"/>
            <w:shd w:val="clear" w:color="auto" w:fill="auto"/>
            <w:noWrap w:val="0"/>
            <w:vAlign w:val="center"/>
          </w:tcPr>
          <w:p>
            <w:pPr>
              <w:widowControl/>
              <w:snapToGrid w:val="0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17.76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77" w:type="dxa"/>
            <w:shd w:val="clear" w:color="auto" w:fill="auto"/>
            <w:noWrap w:val="0"/>
            <w:vAlign w:val="center"/>
          </w:tcPr>
          <w:p>
            <w:pPr>
              <w:widowControl/>
              <w:snapToGrid w:val="0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2018</w:t>
            </w:r>
          </w:p>
        </w:tc>
        <w:tc>
          <w:tcPr>
            <w:tcW w:w="1500" w:type="dxa"/>
            <w:shd w:val="clear" w:color="auto" w:fill="auto"/>
            <w:noWrap w:val="0"/>
            <w:vAlign w:val="top"/>
          </w:tcPr>
          <w:p>
            <w:pPr>
              <w:widowControl/>
              <w:snapToGrid w:val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2704.06</w:t>
            </w:r>
          </w:p>
        </w:tc>
        <w:tc>
          <w:tcPr>
            <w:tcW w:w="1500" w:type="dxa"/>
            <w:shd w:val="clear" w:color="auto" w:fill="auto"/>
            <w:noWrap w:val="0"/>
            <w:vAlign w:val="center"/>
          </w:tcPr>
          <w:p>
            <w:pPr>
              <w:widowControl/>
              <w:snapToGrid w:val="0"/>
              <w:jc w:val="center"/>
              <w:rPr>
                <w:rFonts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1555.65</w:t>
            </w:r>
          </w:p>
        </w:tc>
        <w:tc>
          <w:tcPr>
            <w:tcW w:w="1685" w:type="dxa"/>
            <w:shd w:val="clear" w:color="auto" w:fill="auto"/>
            <w:noWrap w:val="0"/>
            <w:vAlign w:val="center"/>
          </w:tcPr>
          <w:p>
            <w:pPr>
              <w:widowControl/>
              <w:snapToGrid w:val="0"/>
              <w:jc w:val="center"/>
              <w:rPr>
                <w:rFonts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1148.41</w:t>
            </w:r>
          </w:p>
        </w:tc>
        <w:tc>
          <w:tcPr>
            <w:tcW w:w="1421" w:type="dxa"/>
            <w:shd w:val="clear" w:color="auto" w:fill="auto"/>
            <w:noWrap w:val="0"/>
            <w:vAlign w:val="center"/>
          </w:tcPr>
          <w:p>
            <w:pPr>
              <w:widowControl/>
              <w:snapToGrid w:val="0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17.99</w:t>
            </w:r>
          </w:p>
        </w:tc>
        <w:tc>
          <w:tcPr>
            <w:tcW w:w="1421" w:type="dxa"/>
            <w:shd w:val="clear" w:color="auto" w:fill="auto"/>
            <w:noWrap w:val="0"/>
            <w:vAlign w:val="center"/>
          </w:tcPr>
          <w:p>
            <w:pPr>
              <w:widowControl/>
              <w:snapToGrid w:val="0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17.01</w:t>
            </w:r>
          </w:p>
        </w:tc>
      </w:tr>
    </w:tbl>
    <w:p>
      <w:pPr>
        <w:widowControl/>
        <w:snapToGrid w:val="0"/>
        <w:jc w:val="left"/>
        <w:rPr>
          <w:rFonts w:ascii="宋体" w:hAnsi="宋体" w:cs="宋体"/>
          <w:color w:val="000000"/>
          <w:szCs w:val="21"/>
          <w:shd w:val="clear" w:color="auto" w:fill="FFFFFF"/>
        </w:rPr>
      </w:pPr>
    </w:p>
    <w:p>
      <w:pPr>
        <w:widowControl/>
        <w:snapToGrid w:val="0"/>
        <w:jc w:val="left"/>
        <w:rPr>
          <w:rFonts w:ascii="宋体" w:hAnsi="宋体" w:cs="宋体"/>
          <w:color w:val="000000"/>
          <w:szCs w:val="21"/>
          <w:shd w:val="clear" w:color="auto" w:fill="FFFFFF"/>
        </w:rPr>
      </w:pPr>
      <w:r>
        <w:rPr>
          <w:rFonts w:hint="eastAsia" w:ascii="宋体" w:hAnsi="宋体" w:cs="宋体"/>
          <w:color w:val="000000"/>
          <w:szCs w:val="21"/>
          <w:shd w:val="clear" w:color="auto" w:fill="FFFFFF"/>
        </w:rPr>
        <w:t>4.2015—2018年中，吉林省人口自然增长率最低的年份是</w:t>
      </w:r>
      <w:r>
        <w:rPr>
          <w:rFonts w:hint="eastAsia" w:ascii="宋体" w:hAnsi="宋体"/>
          <w:color w:val="000000"/>
        </w:rPr>
        <w:t>(  　)</w:t>
      </w:r>
    </w:p>
    <w:p>
      <w:pPr>
        <w:widowControl/>
        <w:snapToGrid w:val="0"/>
        <w:ind w:left="141" w:leftChars="67" w:firstLine="105" w:firstLineChars="50"/>
        <w:jc w:val="left"/>
        <w:rPr>
          <w:rFonts w:ascii="宋体" w:hAnsi="宋体" w:cs="宋体"/>
          <w:color w:val="000000"/>
          <w:szCs w:val="21"/>
          <w:shd w:val="clear" w:color="auto" w:fill="FFFFFF"/>
        </w:rPr>
      </w:pPr>
      <w:r>
        <w:rPr>
          <w:rFonts w:hint="eastAsia" w:ascii="宋体" w:hAnsi="宋体" w:cs="宋体"/>
          <w:color w:val="000000"/>
          <w:szCs w:val="21"/>
          <w:shd w:val="clear" w:color="auto" w:fill="FFFFFF"/>
        </w:rPr>
        <w:t>A.2015年          B.2016年        C.2017年       D.2018年</w:t>
      </w:r>
    </w:p>
    <w:p>
      <w:pPr>
        <w:widowControl/>
        <w:snapToGrid w:val="0"/>
        <w:jc w:val="left"/>
        <w:rPr>
          <w:rFonts w:hint="eastAsia" w:ascii="宋体" w:hAnsi="宋体" w:cs="宋体"/>
          <w:color w:val="000000"/>
          <w:szCs w:val="21"/>
          <w:shd w:val="clear" w:color="auto" w:fill="FFFFFF"/>
        </w:rPr>
      </w:pPr>
      <w:r>
        <w:rPr>
          <w:rFonts w:hint="eastAsia" w:ascii="宋体" w:hAnsi="宋体" w:cs="宋体"/>
          <w:color w:val="000000"/>
          <w:spacing w:val="15"/>
          <w:szCs w:val="21"/>
        </w:rPr>
        <w:t>5.</w:t>
      </w:r>
      <w:r>
        <w:rPr>
          <w:rFonts w:hint="eastAsia" w:ascii="宋体" w:hAnsi="宋体" w:cs="宋体"/>
          <w:color w:val="000000"/>
          <w:szCs w:val="21"/>
          <w:shd w:val="clear" w:color="auto" w:fill="FFFFFF"/>
        </w:rPr>
        <w:t>关于近年来吉林省人口变化特点及其原因，下列</w:t>
      </w:r>
      <w:r>
        <w:rPr>
          <w:rFonts w:hint="eastAsia" w:ascii="宋体" w:hAnsi="宋体" w:cs="宋体"/>
          <w:color w:val="FF0000"/>
          <w:szCs w:val="21"/>
          <w:shd w:val="clear" w:color="auto" w:fill="FFFFFF"/>
        </w:rPr>
        <w:t>推测</w:t>
      </w:r>
      <w:r>
        <w:rPr>
          <w:rFonts w:hint="eastAsia" w:ascii="宋体" w:hAnsi="宋体" w:cs="宋体"/>
          <w:color w:val="000000"/>
          <w:szCs w:val="21"/>
          <w:shd w:val="clear" w:color="auto" w:fill="FFFFFF"/>
        </w:rPr>
        <w:t>正确的是</w:t>
      </w:r>
      <w:r>
        <w:rPr>
          <w:rFonts w:hint="eastAsia" w:ascii="宋体" w:hAnsi="宋体"/>
          <w:color w:val="000000"/>
        </w:rPr>
        <w:t>(  　)</w:t>
      </w:r>
    </w:p>
    <w:p>
      <w:pPr>
        <w:widowControl/>
        <w:snapToGrid w:val="0"/>
        <w:ind w:firstLine="210" w:firstLineChars="100"/>
        <w:jc w:val="left"/>
        <w:rPr>
          <w:rFonts w:hint="eastAsia" w:ascii="宋体" w:hAnsi="宋体" w:cs="宋体"/>
          <w:color w:val="000000"/>
          <w:szCs w:val="21"/>
          <w:shd w:val="clear" w:color="auto" w:fill="FFFFFF"/>
        </w:rPr>
      </w:pPr>
      <w:r>
        <w:rPr>
          <w:rFonts w:hint="eastAsia" w:ascii="宋体" w:hAnsi="宋体" w:cs="宋体"/>
          <w:color w:val="000000"/>
          <w:szCs w:val="21"/>
          <w:shd w:val="clear" w:color="auto" w:fill="FFFFFF"/>
        </w:rPr>
        <w:t xml:space="preserve">A.总人口减少是因为自然增长率下降造成的 </w:t>
      </w:r>
    </w:p>
    <w:p>
      <w:pPr>
        <w:widowControl/>
        <w:snapToGrid w:val="0"/>
        <w:ind w:firstLine="210" w:firstLineChars="100"/>
        <w:jc w:val="left"/>
        <w:rPr>
          <w:rFonts w:hint="eastAsia" w:ascii="宋体" w:hAnsi="宋体" w:cs="宋体"/>
          <w:color w:val="000000"/>
          <w:szCs w:val="21"/>
          <w:shd w:val="clear" w:color="auto" w:fill="FFFFFF"/>
        </w:rPr>
      </w:pPr>
      <w:r>
        <w:rPr>
          <w:rFonts w:hint="eastAsia" w:ascii="宋体" w:hAnsi="宋体" w:cs="宋体"/>
          <w:color w:val="000000"/>
          <w:szCs w:val="21"/>
          <w:shd w:val="clear" w:color="auto" w:fill="FFFFFF"/>
        </w:rPr>
        <w:t>B.城市化水平大幅提高是由于东北振兴战略的实施</w:t>
      </w:r>
    </w:p>
    <w:p>
      <w:pPr>
        <w:widowControl/>
        <w:snapToGrid w:val="0"/>
        <w:ind w:firstLine="210" w:firstLineChars="100"/>
        <w:jc w:val="left"/>
        <w:rPr>
          <w:rFonts w:hint="eastAsia" w:ascii="宋体" w:hAnsi="宋体" w:cs="宋体"/>
          <w:color w:val="000000"/>
          <w:szCs w:val="21"/>
          <w:shd w:val="clear" w:color="auto" w:fill="FFFFFF"/>
        </w:rPr>
      </w:pPr>
      <w:r>
        <w:rPr>
          <w:rFonts w:hint="eastAsia" w:ascii="宋体" w:hAnsi="宋体" w:cs="宋体"/>
          <w:color w:val="000000"/>
          <w:szCs w:val="21"/>
          <w:shd w:val="clear" w:color="auto" w:fill="FFFFFF"/>
        </w:rPr>
        <w:t>C.死亡人口上升是由于老年人口比重上升所致</w:t>
      </w:r>
    </w:p>
    <w:p>
      <w:pPr>
        <w:widowControl/>
        <w:snapToGrid w:val="0"/>
        <w:ind w:firstLine="210" w:firstLineChars="100"/>
        <w:jc w:val="left"/>
        <w:rPr>
          <w:rFonts w:ascii="宋体" w:hAnsi="宋体" w:cs="宋体"/>
          <w:color w:val="000000"/>
          <w:szCs w:val="21"/>
          <w:shd w:val="clear" w:color="auto" w:fill="FFFFFF"/>
        </w:rPr>
      </w:pPr>
      <w:r>
        <w:rPr>
          <w:rFonts w:hint="eastAsia" w:ascii="宋体" w:hAnsi="宋体" w:cs="宋体"/>
          <w:color w:val="000000"/>
          <w:szCs w:val="21"/>
          <w:shd w:val="clear" w:color="auto" w:fill="FFFFFF"/>
        </w:rPr>
        <w:t>D.2017年出生人口明显增加是由于大量青壮年人口的迁入</w:t>
      </w:r>
    </w:p>
    <w:p>
      <w:pPr>
        <w:ind w:firstLine="420" w:firstLineChars="200"/>
        <w:rPr>
          <w:rFonts w:hint="eastAsia" w:ascii="楷体_GB2312" w:hAnsi="宋体" w:eastAsia="楷体_GB2312"/>
          <w:color w:val="000000"/>
          <w:szCs w:val="21"/>
        </w:rPr>
      </w:pPr>
      <w:r>
        <w:rPr>
          <w:rFonts w:hint="eastAsia" w:ascii="楷体_GB2312" w:hAnsi="宋体" w:eastAsia="楷体_GB2312"/>
          <w:color w:val="000000"/>
          <w:szCs w:val="21"/>
        </w:rPr>
        <w:t>河流故道是指河流在迁徙改道过程中所遗留下来的废弃河道。长江干流下荆江段为典型的婉延型河段，在地貌演化过程中河道摆动剧烈，发育了大量长江故道。读“长江干流下荆江段部分河道示意图”，完成6～8题。</w:t>
      </w:r>
    </w:p>
    <w:p>
      <w:pPr>
        <w:jc w:val="center"/>
        <w:rPr>
          <w:rFonts w:hint="eastAsia"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drawing>
          <wp:inline distT="0" distB="0" distL="114300" distR="114300">
            <wp:extent cx="1990090" cy="1593850"/>
            <wp:effectExtent l="0" t="0" r="6350" b="6350"/>
            <wp:docPr id="2" name="图片 1" descr="0d81894468a048b771552b40cfc42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0d81894468a048b771552b40cfc424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9009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6.不属于该段河道向南摆动的原因是</w:t>
      </w:r>
      <w:r>
        <w:rPr>
          <w:rFonts w:hint="eastAsia" w:ascii="宋体" w:hAnsi="宋体"/>
          <w:color w:val="000000"/>
        </w:rPr>
        <w:t>(  　)</w:t>
      </w:r>
    </w:p>
    <w:p>
      <w:pPr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 xml:space="preserve">  A.气候类型     B.河流流向      C.河岸岩性      D.沿岸地貌</w:t>
      </w:r>
    </w:p>
    <w:p>
      <w:pPr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7.下列自然形成的河流故道中，形成的先后顺序可能是</w:t>
      </w:r>
      <w:r>
        <w:rPr>
          <w:rFonts w:hint="eastAsia" w:ascii="宋体" w:hAnsi="宋体"/>
          <w:color w:val="000000"/>
        </w:rPr>
        <w:t>(  　)</w:t>
      </w:r>
    </w:p>
    <w:p>
      <w:pPr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 xml:space="preserve">  A.①②④     B.②①④     C.④②①      D.④①② </w:t>
      </w:r>
    </w:p>
    <w:p>
      <w:pPr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8.</w:t>
      </w:r>
      <w:r>
        <w:rPr>
          <w:rFonts w:hint="eastAsia" w:ascii="黑体" w:hAnsi="黑体" w:eastAsia="黑体"/>
          <w:color w:val="000000"/>
          <w:szCs w:val="21"/>
        </w:rPr>
        <w:t>③</w:t>
      </w:r>
      <w:r>
        <w:rPr>
          <w:rFonts w:hint="eastAsia" w:ascii="宋体" w:hAnsi="宋体"/>
          <w:color w:val="000000"/>
          <w:szCs w:val="21"/>
        </w:rPr>
        <w:t>处经人工裁弯取直后，对其下游附近河段的影响是</w:t>
      </w:r>
      <w:r>
        <w:rPr>
          <w:rFonts w:hint="eastAsia" w:ascii="宋体" w:hAnsi="宋体"/>
          <w:color w:val="000000"/>
        </w:rPr>
        <w:t>(  　)</w:t>
      </w:r>
    </w:p>
    <w:p>
      <w:pPr>
        <w:ind w:firstLine="210" w:firstLineChars="100"/>
        <w:rPr>
          <w:rFonts w:hint="eastAsia"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A.流速减慢   B.流量增加    C.含沙量增大    D.淤积加快</w:t>
      </w:r>
    </w:p>
    <w:p>
      <w:pPr>
        <w:ind w:firstLine="420" w:firstLineChars="200"/>
        <w:rPr>
          <w:rFonts w:ascii="楷体_GB2312" w:hAnsi="宋体" w:eastAsia="楷体_GB2312"/>
          <w:color w:val="000000"/>
          <w:szCs w:val="21"/>
        </w:rPr>
      </w:pPr>
      <w:r>
        <w:rPr>
          <w:rFonts w:hint="eastAsia" w:ascii="楷体_GB2312" w:hAnsi="宋体" w:eastAsia="楷体_GB2312"/>
          <w:color w:val="000000"/>
          <w:szCs w:val="21"/>
        </w:rPr>
        <w:t>归一化植被指数(NDVI)是反映地表植被覆盖状况的一种遥感指标(0表示有岩石或裸土等，正值表示有植被覆盖，且数值越大，植被覆盖度越高)。下图为汉江上游2001-2017年归一化植被指数变化，据此完成9～11题。</w:t>
      </w:r>
    </w:p>
    <w:p>
      <w:pPr>
        <w:jc w:val="center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drawing>
          <wp:inline distT="0" distB="0" distL="114300" distR="114300">
            <wp:extent cx="2821305" cy="1806575"/>
            <wp:effectExtent l="0" t="0" r="1333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21305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9.汉江上游地区的植被类型中，分布面积最广的最可能是</w:t>
      </w:r>
      <w:r>
        <w:rPr>
          <w:rFonts w:hint="eastAsia" w:ascii="宋体" w:hAnsi="宋体"/>
          <w:color w:val="000000"/>
        </w:rPr>
        <w:t>(  　)</w:t>
      </w:r>
    </w:p>
    <w:p>
      <w:pPr>
        <w:ind w:firstLine="210" w:firstLineChars="10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A.常绿阔叶林       B.落叶阔叶林       C.常绿针叶林      D.灌丛</w:t>
      </w:r>
    </w:p>
    <w:p>
      <w:pPr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10.推测2017年秋季的气候特点是</w:t>
      </w:r>
      <w:r>
        <w:rPr>
          <w:rFonts w:hint="eastAsia" w:ascii="宋体" w:hAnsi="宋体"/>
          <w:color w:val="000000"/>
        </w:rPr>
        <w:t>(  　)</w:t>
      </w:r>
    </w:p>
    <w:p>
      <w:pPr>
        <w:ind w:firstLine="210" w:firstLineChars="10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A.气温偏低         B.降水偏多         C.光照偏强         D.冬季风偏弱</w:t>
      </w:r>
    </w:p>
    <w:p>
      <w:pPr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11.2001-2017年汉江上游NDVI指数的变化，反映了</w:t>
      </w:r>
      <w:r>
        <w:rPr>
          <w:rFonts w:hint="eastAsia" w:ascii="宋体" w:hAnsi="宋体"/>
          <w:color w:val="000000"/>
        </w:rPr>
        <w:t>(  　)</w:t>
      </w:r>
    </w:p>
    <w:p>
      <w:pPr>
        <w:ind w:firstLine="210" w:firstLineChars="10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A.耕地增加       B.植被种类增加         C.降水增加        D.气候变暖</w:t>
      </w:r>
    </w:p>
    <w:p>
      <w:pPr>
        <w:tabs>
          <w:tab w:val="center" w:pos="4153"/>
        </w:tabs>
        <w:rPr>
          <w:rFonts w:hint="eastAsia"/>
          <w:color w:val="000000"/>
        </w:rPr>
      </w:pPr>
    </w:p>
    <w:p>
      <w:pPr>
        <w:tabs>
          <w:tab w:val="center" w:pos="4153"/>
        </w:tabs>
        <w:rPr>
          <w:rFonts w:hint="eastAsia"/>
          <w:color w:val="000000"/>
        </w:rPr>
      </w:pPr>
      <w:r>
        <w:rPr>
          <w:rFonts w:hint="eastAsia"/>
          <w:color w:val="000000"/>
        </w:rPr>
        <w:t>36.阅读图文材料，完成下列要求。（22分）</w:t>
      </w:r>
    </w:p>
    <w:p>
      <w:pPr>
        <w:tabs>
          <w:tab w:val="center" w:pos="4153"/>
        </w:tabs>
        <w:ind w:firstLine="420" w:firstLineChars="200"/>
        <w:rPr>
          <w:rFonts w:hint="eastAsia" w:ascii="楷体_GB2312" w:eastAsia="楷体_GB2312"/>
          <w:color w:val="000000"/>
        </w:rPr>
      </w:pPr>
      <w:r>
        <w:rPr>
          <w:rFonts w:hint="eastAsia" w:ascii="楷体_GB2312" w:eastAsia="楷体_GB2312"/>
          <w:color w:val="000000"/>
        </w:rPr>
        <w:t>小明到太行山深处的涉县王金庄进行研学旅行，他在日记中写道：清早起床，沿着陡峻的石板路往上走，看到村民们纷纷赶着驴上山耕作，体型矮小的驴背上驮着农具和一天劳作所需的生活必需品，抬头望去层层梯田，犹如天梯……来到石头砌成的田埂旁，发现田埂边缘种植了稀稀疏疏的花椒树。花椒树是一种落叶灌木，根系发达，叶片小，耐旱、耐贫瘠，其果实是很好的烹饪佐料。环顾四周，田间地头散落着一些石头砌成的简易小屋，当地人称之为庵子……</w:t>
      </w:r>
    </w:p>
    <w:p>
      <w:pPr>
        <w:tabs>
          <w:tab w:val="center" w:pos="4153"/>
        </w:tabs>
        <w:ind w:firstLine="420" w:firstLineChars="200"/>
        <w:rPr>
          <w:rFonts w:hint="eastAsia" w:ascii="楷体_GB2312" w:eastAsia="楷体_GB2312"/>
          <w:color w:val="000000"/>
        </w:rPr>
      </w:pPr>
      <w:r>
        <w:rPr>
          <w:rFonts w:hint="eastAsia" w:ascii="楷体_GB2312" w:eastAsia="楷体_GB2312"/>
          <w:color w:val="000000"/>
        </w:rPr>
        <w:t>下图分别是小明拍摄的涉县王金庄石堰梯田景观和石屋景观。</w:t>
      </w:r>
    </w:p>
    <w:p>
      <w:pPr>
        <w:tabs>
          <w:tab w:val="center" w:pos="4153"/>
        </w:tabs>
        <w:jc w:val="center"/>
        <w:rPr>
          <w:color w:val="000000"/>
        </w:rPr>
      </w:pPr>
      <w:r>
        <w:rPr>
          <w:color w:val="000000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2905125</wp:posOffset>
            </wp:positionH>
            <wp:positionV relativeFrom="paragraph">
              <wp:posOffset>49530</wp:posOffset>
            </wp:positionV>
            <wp:extent cx="2479675" cy="1875790"/>
            <wp:effectExtent l="0" t="0" r="4445" b="13970"/>
            <wp:wrapSquare wrapText="bothSides"/>
            <wp:docPr id="1" name="图片 4" descr="http://handan.hebnews.cn/attachement/jpg/site2/20161026/c03fd5ec1701197a96d6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http://handan.hebnews.cn/attachement/jpg/site2/20161026/c03fd5ec1701197a96d608.jp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9675" cy="187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000000"/>
        </w:rPr>
        <w:drawing>
          <wp:inline distT="0" distB="0" distL="114300" distR="114300">
            <wp:extent cx="2642235" cy="1936115"/>
            <wp:effectExtent l="0" t="0" r="9525" b="14605"/>
            <wp:docPr id="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rcRect b="6709"/>
                    <a:stretch>
                      <a:fillRect/>
                    </a:stretch>
                  </pic:blipFill>
                  <pic:spPr>
                    <a:xfrm>
                      <a:off x="0" y="0"/>
                      <a:ext cx="2642235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</w:rPr>
        <w:t>　　</w:t>
      </w:r>
    </w:p>
    <w:p>
      <w:pPr>
        <w:tabs>
          <w:tab w:val="center" w:pos="4153"/>
        </w:tabs>
        <w:rPr>
          <w:rFonts w:hint="eastAsia"/>
          <w:color w:val="000000"/>
        </w:rPr>
      </w:pPr>
      <w:r>
        <w:rPr>
          <w:rFonts w:hint="eastAsia"/>
          <w:color w:val="000000"/>
        </w:rPr>
        <w:t>（1）分析王金庄发展石堰梯田的原因。（6分）</w:t>
      </w:r>
    </w:p>
    <w:p>
      <w:pPr>
        <w:tabs>
          <w:tab w:val="center" w:pos="4153"/>
        </w:tabs>
        <w:rPr>
          <w:rFonts w:hint="eastAsia"/>
          <w:color w:val="000000"/>
        </w:rPr>
      </w:pPr>
    </w:p>
    <w:p>
      <w:pPr>
        <w:tabs>
          <w:tab w:val="center" w:pos="4153"/>
        </w:tabs>
        <w:rPr>
          <w:rFonts w:hint="eastAsia"/>
          <w:color w:val="000000"/>
        </w:rPr>
      </w:pPr>
      <w:r>
        <w:rPr>
          <w:rFonts w:hint="eastAsia"/>
          <w:color w:val="000000"/>
        </w:rPr>
        <w:t>（2）简述村民主要用驴运输物品的原因。（6分）</w:t>
      </w:r>
    </w:p>
    <w:p>
      <w:pPr>
        <w:tabs>
          <w:tab w:val="center" w:pos="4153"/>
        </w:tabs>
        <w:rPr>
          <w:rFonts w:hint="eastAsia"/>
          <w:color w:val="000000"/>
        </w:rPr>
      </w:pPr>
    </w:p>
    <w:p>
      <w:pPr>
        <w:tabs>
          <w:tab w:val="center" w:pos="4153"/>
        </w:tabs>
        <w:rPr>
          <w:rFonts w:hint="eastAsia"/>
          <w:color w:val="000000"/>
        </w:rPr>
      </w:pPr>
      <w:r>
        <w:rPr>
          <w:rFonts w:hint="eastAsia"/>
          <w:color w:val="000000"/>
        </w:rPr>
        <w:t>（3）结合当地地理环境特点，推测庵子的作用。（4分）</w:t>
      </w:r>
    </w:p>
    <w:p>
      <w:pPr>
        <w:tabs>
          <w:tab w:val="center" w:pos="4153"/>
        </w:tabs>
        <w:rPr>
          <w:rFonts w:hint="eastAsia"/>
          <w:color w:val="000000"/>
        </w:rPr>
      </w:pPr>
    </w:p>
    <w:p>
      <w:pPr>
        <w:tabs>
          <w:tab w:val="center" w:pos="4153"/>
        </w:tabs>
        <w:rPr>
          <w:rFonts w:hint="eastAsia"/>
          <w:color w:val="000000"/>
        </w:rPr>
      </w:pPr>
      <w:r>
        <w:rPr>
          <w:rFonts w:hint="eastAsia"/>
          <w:color w:val="000000"/>
        </w:rPr>
        <w:t>（4）分析梯田边缘种植花椒树的意义。（6分）</w:t>
      </w:r>
    </w:p>
    <w:p>
      <w:pPr>
        <w:widowControl/>
        <w:jc w:val="left"/>
        <w:rPr>
          <w:rFonts w:hint="eastAsia" w:ascii="FZSSK--GBK1-0" w:hAnsi="FZSSK--GBK1-0" w:cs="FZSSK--GBK1-0"/>
          <w:color w:val="000000"/>
          <w:kern w:val="0"/>
          <w:szCs w:val="21"/>
          <w:lang w:bidi="ar"/>
        </w:rPr>
      </w:pPr>
    </w:p>
    <w:p>
      <w:pPr>
        <w:tabs>
          <w:tab w:val="center" w:pos="4153"/>
        </w:tabs>
        <w:rPr>
          <w:rFonts w:hint="eastAsia"/>
          <w:color w:val="000000"/>
        </w:rPr>
      </w:pPr>
      <w:r>
        <w:rPr>
          <w:rFonts w:hint="eastAsia"/>
          <w:color w:val="000000"/>
        </w:rPr>
        <w:t>37.阅读图文材料，完成下列要求。（24分）</w:t>
      </w:r>
    </w:p>
    <w:p>
      <w:pPr>
        <w:widowControl/>
        <w:ind w:firstLine="420" w:firstLineChars="200"/>
        <w:jc w:val="left"/>
        <w:rPr>
          <w:rFonts w:hint="eastAsia" w:ascii="楷体_GB2312" w:eastAsia="楷体_GB2312"/>
          <w:color w:val="000000"/>
        </w:rPr>
      </w:pPr>
      <w:r>
        <w:rPr>
          <w:rFonts w:hint="eastAsia" w:ascii="楷体_GB2312" w:hAnsi="FZSSK--GBK1-0" w:eastAsia="楷体_GB2312" w:cs="FZSSK--GBK1-0"/>
          <w:color w:val="000000"/>
          <w:kern w:val="0"/>
          <w:szCs w:val="21"/>
          <w:lang w:bidi="ar"/>
        </w:rPr>
        <w:t>据统计，</w:t>
      </w:r>
      <w:r>
        <w:rPr>
          <w:rFonts w:hint="eastAsia" w:ascii="楷体_GB2312" w:hAnsi="Arial" w:eastAsia="楷体_GB2312" w:cs="Arial"/>
          <w:color w:val="000000"/>
          <w:szCs w:val="21"/>
          <w:shd w:val="clear" w:color="auto" w:fill="FFFFFF"/>
        </w:rPr>
        <w:t>世界的锑矿将在13年内枯竭</w:t>
      </w:r>
      <w:r>
        <w:rPr>
          <w:rFonts w:hint="eastAsia" w:ascii="楷体_GB2312" w:hAnsi="宋体" w:eastAsia="楷体_GB2312" w:cs="FZSSK--GBK1-0"/>
          <w:color w:val="000000"/>
          <w:kern w:val="0"/>
          <w:szCs w:val="21"/>
          <w:lang w:bidi="ar"/>
        </w:rPr>
        <w:t>。</w:t>
      </w:r>
      <w:r>
        <w:rPr>
          <w:rFonts w:hint="eastAsia" w:ascii="楷体_GB2312" w:hAnsi="FZSSK--GBK1-0" w:eastAsia="楷体_GB2312" w:cs="FZSSK--GBK1-0"/>
          <w:color w:val="000000"/>
          <w:kern w:val="0"/>
          <w:szCs w:val="21"/>
          <w:lang w:bidi="ar"/>
        </w:rPr>
        <w:t>锑</w:t>
      </w:r>
      <w:r>
        <w:rPr>
          <w:rFonts w:hint="eastAsia" w:ascii="楷体_GB2312" w:hAnsi="宋体" w:eastAsia="楷体_GB2312" w:cs="FZSSK--GBK1-0"/>
          <w:color w:val="000000"/>
          <w:kern w:val="0"/>
          <w:szCs w:val="21"/>
          <w:lang w:bidi="ar"/>
        </w:rPr>
        <w:t>是一种伴生矿，多与金、汞、钨等伴生，锑被</w:t>
      </w:r>
      <w:r>
        <w:rPr>
          <w:rFonts w:hint="eastAsia" w:ascii="楷体_GB2312" w:hAnsi="FZSSK--GBK1-0" w:eastAsia="楷体_GB2312" w:cs="FZSSK--GBK1-0"/>
          <w:color w:val="000000"/>
          <w:kern w:val="0"/>
          <w:szCs w:val="21"/>
          <w:lang w:bidi="ar"/>
        </w:rPr>
        <w:t>广泛应用于生产阻燃剂，是保障民生安全的关键产品</w:t>
      </w:r>
      <w:r>
        <w:rPr>
          <w:rFonts w:hint="eastAsia" w:ascii="楷体_GB2312" w:eastAsia="楷体_GB2312"/>
          <w:color w:val="000000"/>
        </w:rPr>
        <w:t>。</w:t>
      </w:r>
      <w:r>
        <w:rPr>
          <w:rFonts w:hint="eastAsia" w:ascii="楷体_GB2312" w:hAnsi="FZSSK--GBK1-0" w:eastAsia="楷体_GB2312" w:cs="FZSSK--GBK1-0"/>
          <w:color w:val="000000"/>
          <w:kern w:val="0"/>
          <w:szCs w:val="21"/>
          <w:lang w:bidi="ar"/>
        </w:rPr>
        <w:t>美国是锑消费大国，锑矿分布在爱达荷、蒙大拿、内华达等州，初级锑金属和氧化物主要从中国进口</w:t>
      </w:r>
      <w:r>
        <w:rPr>
          <w:rFonts w:hint="eastAsia" w:ascii="楷体_GB2312" w:eastAsia="楷体_GB2312"/>
          <w:color w:val="000000"/>
        </w:rPr>
        <w:t>。美国蒙大拿州一直以农业经济为主，1968年美国锑业公司在该州创立。</w:t>
      </w:r>
    </w:p>
    <w:p>
      <w:pPr>
        <w:widowControl/>
        <w:ind w:firstLine="420" w:firstLineChars="200"/>
        <w:jc w:val="left"/>
        <w:rPr>
          <w:rFonts w:hint="eastAsia" w:ascii="楷体_GB2312" w:eastAsia="楷体_GB2312"/>
          <w:color w:val="000000"/>
        </w:rPr>
      </w:pPr>
      <w:r>
        <w:rPr>
          <w:rFonts w:hint="eastAsia" w:ascii="楷体_GB2312" w:eastAsia="楷体_GB2312"/>
          <w:color w:val="000000"/>
        </w:rPr>
        <w:t>美国锑业公司是美国唯一一家重要的锑冶炼厂，主要生产和销售锑、金、银等产品，其锑业多年处于亏损状态。墨西哥是锑的重要产地，但由于技术原因，目前其锑精矿主要由美国锑业公司在当地建立的冶炼厂进行生产。</w:t>
      </w:r>
    </w:p>
    <w:p>
      <w:pPr>
        <w:widowControl/>
        <w:ind w:firstLine="420" w:firstLineChars="200"/>
        <w:jc w:val="left"/>
        <w:rPr>
          <w:rFonts w:hint="eastAsia" w:ascii="楷体_GB2312" w:eastAsia="楷体_GB2312"/>
          <w:color w:val="000000"/>
        </w:rPr>
      </w:pPr>
      <w:r>
        <w:rPr>
          <w:rFonts w:hint="eastAsia" w:ascii="楷体_GB2312" w:eastAsia="楷体_GB2312"/>
          <w:color w:val="000000"/>
        </w:rPr>
        <w:t>下图是美国部分地区示意图。</w:t>
      </w:r>
    </w:p>
    <w:p>
      <w:pPr>
        <w:widowControl/>
        <w:jc w:val="center"/>
        <w:rPr>
          <w:rFonts w:hint="eastAsia"/>
          <w:color w:val="000000"/>
        </w:rPr>
      </w:pPr>
      <w:r>
        <w:rPr>
          <w:color w:val="000000"/>
        </w:rPr>
        <w:drawing>
          <wp:inline distT="0" distB="0" distL="114300" distR="114300">
            <wp:extent cx="2843530" cy="1991360"/>
            <wp:effectExtent l="0" t="0" r="6350" b="5080"/>
            <wp:docPr id="5" name="图片 2" descr="E:\命题\美国锑产业\美国蒙大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E:\命题\美国锑产业\美国蒙大拿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color w:val="000000"/>
        </w:rPr>
      </w:pPr>
      <w:r>
        <w:rPr>
          <w:rFonts w:hint="eastAsia"/>
          <w:color w:val="000000"/>
        </w:rPr>
        <w:t>（1）分析1968年美国锑业公司创立于蒙大拿州的原因。（6分）</w:t>
      </w:r>
    </w:p>
    <w:p>
      <w:pPr>
        <w:widowControl/>
        <w:jc w:val="left"/>
        <w:rPr>
          <w:rFonts w:hint="eastAsia"/>
          <w:color w:val="000000"/>
        </w:rPr>
      </w:pPr>
    </w:p>
    <w:p>
      <w:pPr>
        <w:widowControl/>
        <w:jc w:val="left"/>
        <w:rPr>
          <w:color w:val="000000"/>
        </w:rPr>
      </w:pPr>
      <w:r>
        <w:rPr>
          <w:rFonts w:hint="eastAsia"/>
          <w:color w:val="000000"/>
        </w:rPr>
        <w:t>（2）简析美国锑业公司锑业多年亏损，但依然继续生产的原因。（6分）</w:t>
      </w:r>
    </w:p>
    <w:p>
      <w:pPr>
        <w:widowControl/>
        <w:jc w:val="left"/>
        <w:rPr>
          <w:color w:val="000000"/>
        </w:rPr>
      </w:pPr>
    </w:p>
    <w:p>
      <w:pPr>
        <w:widowControl/>
        <w:jc w:val="left"/>
        <w:rPr>
          <w:color w:val="000000"/>
        </w:rPr>
      </w:pPr>
      <w:r>
        <w:rPr>
          <w:rFonts w:hint="eastAsia"/>
          <w:color w:val="000000"/>
        </w:rPr>
        <w:t>（3）简述美国锑业公司在墨西哥建立冶炼厂获得的效益。（6分）</w:t>
      </w:r>
    </w:p>
    <w:p>
      <w:pPr>
        <w:widowControl/>
        <w:jc w:val="left"/>
        <w:rPr>
          <w:color w:val="000000"/>
        </w:rPr>
      </w:pPr>
    </w:p>
    <w:p>
      <w:pPr>
        <w:widowControl/>
        <w:jc w:val="left"/>
        <w:rPr>
          <w:color w:val="000000"/>
        </w:rPr>
      </w:pPr>
      <w:r>
        <w:rPr>
          <w:rFonts w:hint="eastAsia"/>
          <w:color w:val="000000"/>
        </w:rPr>
        <w:t>（4）请从资源可持续发展角度，推测美国锑产业的发展方向。（6分）</w:t>
      </w:r>
    </w:p>
    <w:p>
      <w:pPr>
        <w:tabs>
          <w:tab w:val="center" w:pos="4153"/>
        </w:tabs>
        <w:rPr>
          <w:rFonts w:hint="eastAsia"/>
          <w:color w:val="000000"/>
        </w:rPr>
      </w:pPr>
    </w:p>
    <w:p>
      <w:pPr>
        <w:tabs>
          <w:tab w:val="center" w:pos="4153"/>
        </w:tabs>
        <w:rPr>
          <w:rFonts w:hint="eastAsia"/>
          <w:color w:val="000000"/>
        </w:rPr>
      </w:pPr>
    </w:p>
    <w:p>
      <w:pPr>
        <w:rPr>
          <w:rFonts w:hint="eastAsia" w:ascii="楷体" w:hAnsi="楷体" w:eastAsia="楷体"/>
          <w:color w:val="000000"/>
        </w:rPr>
      </w:pPr>
      <w:r>
        <w:rPr>
          <w:rFonts w:hint="eastAsia" w:ascii="楷体" w:hAnsi="楷体" w:eastAsia="楷体"/>
          <w:color w:val="000000"/>
        </w:rPr>
        <w:t>43.</w:t>
      </w:r>
      <w:r>
        <w:rPr>
          <w:rFonts w:hint="eastAsia" w:ascii="宋体" w:hAnsi="宋体"/>
          <w:color w:val="000000"/>
        </w:rPr>
        <w:t>【地理—选修3：旅游地理】（10分）</w:t>
      </w:r>
    </w:p>
    <w:p>
      <w:pPr>
        <w:ind w:firstLine="420" w:firstLineChars="200"/>
        <w:rPr>
          <w:rFonts w:ascii="楷体" w:hAnsi="楷体" w:eastAsia="楷体"/>
          <w:color w:val="000000"/>
        </w:rPr>
      </w:pPr>
      <w:r>
        <w:rPr>
          <w:rFonts w:hint="eastAsia" w:ascii="楷体" w:hAnsi="楷体" w:eastAsia="楷体"/>
          <w:color w:val="000000"/>
        </w:rPr>
        <w:t>冰洞是指全年</w:t>
      </w:r>
      <w:r>
        <w:rPr>
          <w:rFonts w:ascii="楷体" w:hAnsi="楷体" w:eastAsia="楷体"/>
          <w:color w:val="000000"/>
        </w:rPr>
        <w:t>都存在冰的</w:t>
      </w:r>
      <w:r>
        <w:rPr>
          <w:rFonts w:hint="eastAsia" w:ascii="楷体" w:hAnsi="楷体" w:eastAsia="楷体"/>
          <w:color w:val="000000"/>
        </w:rPr>
        <w:t>洞穴</w:t>
      </w:r>
      <w:r>
        <w:rPr>
          <w:rFonts w:ascii="楷体" w:hAnsi="楷体" w:eastAsia="楷体"/>
          <w:color w:val="000000"/>
        </w:rPr>
        <w:t>, 是一种神秘的洞穴旅游资源。</w:t>
      </w:r>
      <w:r>
        <w:rPr>
          <w:rFonts w:hint="eastAsia" w:ascii="楷体" w:hAnsi="楷体" w:eastAsia="楷体"/>
          <w:color w:val="000000"/>
        </w:rPr>
        <w:t>山西宁武冰洞位于宁武县东寨镇麻地沟村东南约</w:t>
      </w:r>
      <w:r>
        <w:rPr>
          <w:rFonts w:ascii="楷体" w:hAnsi="楷体" w:eastAsia="楷体"/>
          <w:color w:val="000000"/>
        </w:rPr>
        <w:t>2 km</w:t>
      </w:r>
      <w:r>
        <w:rPr>
          <w:rFonts w:hint="eastAsia" w:ascii="楷体" w:hAnsi="楷体" w:eastAsia="楷体"/>
          <w:color w:val="000000"/>
        </w:rPr>
        <w:t>的公路旁，洞口海拔</w:t>
      </w:r>
      <w:r>
        <w:rPr>
          <w:rFonts w:ascii="楷体" w:hAnsi="楷体" w:eastAsia="楷体"/>
          <w:color w:val="000000"/>
        </w:rPr>
        <w:t>2220 m</w:t>
      </w:r>
      <w:r>
        <w:rPr>
          <w:rFonts w:hint="eastAsia" w:ascii="楷体" w:hAnsi="楷体" w:eastAsia="楷体"/>
          <w:color w:val="000000"/>
        </w:rPr>
        <w:t>，</w:t>
      </w:r>
      <w:r>
        <w:rPr>
          <w:rFonts w:ascii="楷体" w:hAnsi="楷体" w:eastAsia="楷体"/>
          <w:color w:val="000000"/>
        </w:rPr>
        <w:t>洞深</w:t>
      </w:r>
      <w:r>
        <w:rPr>
          <w:rFonts w:hint="eastAsia" w:ascii="楷体" w:hAnsi="楷体" w:eastAsia="楷体"/>
          <w:color w:val="000000"/>
        </w:rPr>
        <w:t>38米</w:t>
      </w:r>
      <w:r>
        <w:rPr>
          <w:rFonts w:ascii="楷体" w:hAnsi="楷体" w:eastAsia="楷体"/>
          <w:color w:val="000000"/>
        </w:rPr>
        <w:t>。</w:t>
      </w:r>
      <w:r>
        <w:rPr>
          <w:rFonts w:hint="eastAsia" w:ascii="楷体" w:hAnsi="楷体" w:eastAsia="楷体"/>
          <w:color w:val="000000"/>
        </w:rPr>
        <w:t>该</w:t>
      </w:r>
      <w:r>
        <w:rPr>
          <w:rFonts w:ascii="楷体" w:hAnsi="楷体" w:eastAsia="楷体"/>
          <w:color w:val="000000"/>
        </w:rPr>
        <w:t>洞中</w:t>
      </w:r>
      <w:r>
        <w:rPr>
          <w:rFonts w:hint="eastAsia" w:ascii="楷体" w:hAnsi="楷体" w:eastAsia="楷体"/>
          <w:color w:val="000000"/>
        </w:rPr>
        <w:t>的冰体形成与第四纪冰川时期以来的严寒气候有关，进入宁武冰洞，可直接见到地质时期存有的古冰。下图为冰洞景观图。</w:t>
      </w:r>
    </w:p>
    <w:p>
      <w:pPr>
        <w:jc w:val="center"/>
        <w:rPr>
          <w:rFonts w:ascii="宋体" w:hAnsi="宋体"/>
          <w:color w:val="000000"/>
        </w:rPr>
      </w:pPr>
      <w:r>
        <w:rPr>
          <w:color w:val="000000"/>
        </w:rPr>
        <w:drawing>
          <wp:inline distT="0" distB="0" distL="114300" distR="114300">
            <wp:extent cx="2627630" cy="2131060"/>
            <wp:effectExtent l="0" t="0" r="8890" b="254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>
                      <a:grayscl/>
                    </a:blip>
                    <a:srcRect l="17303" r="6136" b="13278"/>
                    <a:stretch>
                      <a:fillRect/>
                    </a:stretch>
                  </pic:blipFill>
                  <pic:spPr>
                    <a:xfrm>
                      <a:off x="0" y="0"/>
                      <a:ext cx="262763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color w:val="000000"/>
        </w:rPr>
      </w:pPr>
    </w:p>
    <w:p>
      <w:pPr>
        <w:rPr>
          <w:rFonts w:ascii="宋体" w:hAnsi="宋体"/>
          <w:color w:val="000000"/>
        </w:rPr>
      </w:pPr>
      <w:r>
        <w:rPr>
          <w:rFonts w:hint="eastAsia" w:ascii="宋体" w:hAnsi="宋体"/>
          <w:color w:val="000000"/>
        </w:rPr>
        <w:t>说明冰洞景区吸引游客的原因及进入冰洞旅游的注意事项。（</w:t>
      </w:r>
      <w:r>
        <w:rPr>
          <w:rFonts w:ascii="宋体" w:hAnsi="宋体"/>
          <w:color w:val="000000"/>
        </w:rPr>
        <w:t>10</w:t>
      </w:r>
      <w:r>
        <w:rPr>
          <w:rFonts w:hint="eastAsia" w:ascii="宋体" w:hAnsi="宋体"/>
          <w:color w:val="000000"/>
        </w:rPr>
        <w:t>分）</w:t>
      </w:r>
    </w:p>
    <w:p>
      <w:pPr>
        <w:rPr>
          <w:rFonts w:ascii="宋体" w:hAnsi="宋体"/>
          <w:color w:val="000000"/>
        </w:rPr>
      </w:pPr>
    </w:p>
    <w:p>
      <w:pPr>
        <w:tabs>
          <w:tab w:val="center" w:pos="4153"/>
        </w:tabs>
        <w:rPr>
          <w:rFonts w:hint="eastAsia"/>
          <w:color w:val="000000"/>
        </w:rPr>
      </w:pPr>
    </w:p>
    <w:p>
      <w:pPr>
        <w:tabs>
          <w:tab w:val="center" w:pos="4153"/>
        </w:tabs>
        <w:rPr>
          <w:rFonts w:hint="eastAsia"/>
          <w:color w:val="000000"/>
        </w:rPr>
      </w:pPr>
    </w:p>
    <w:p>
      <w:pPr>
        <w:rPr>
          <w:rFonts w:ascii="楷体" w:hAnsi="楷体" w:eastAsia="楷体" w:cs="Arial"/>
          <w:color w:val="000000"/>
          <w:szCs w:val="21"/>
          <w:shd w:val="clear" w:color="auto" w:fill="FFFFFF"/>
        </w:rPr>
      </w:pPr>
      <w:r>
        <w:rPr>
          <w:rFonts w:hint="eastAsia" w:ascii="宋体" w:hAnsi="宋体"/>
          <w:color w:val="000000"/>
        </w:rPr>
        <w:t>4</w:t>
      </w:r>
      <w:r>
        <w:rPr>
          <w:rFonts w:ascii="宋体" w:hAnsi="宋体"/>
          <w:color w:val="000000"/>
        </w:rPr>
        <w:t>4</w:t>
      </w:r>
      <w:r>
        <w:rPr>
          <w:rFonts w:hint="eastAsia" w:ascii="宋体" w:hAnsi="宋体"/>
          <w:color w:val="000000"/>
        </w:rPr>
        <w:t>.【地理—选修6：环境保护】（10分）</w:t>
      </w:r>
    </w:p>
    <w:p>
      <w:pPr>
        <w:ind w:firstLine="420" w:firstLineChars="200"/>
        <w:rPr>
          <w:rFonts w:ascii="楷体" w:hAnsi="楷体" w:eastAsia="楷体" w:cs="Arial"/>
          <w:color w:val="000000"/>
          <w:szCs w:val="21"/>
          <w:shd w:val="clear" w:color="auto" w:fill="FFFFFF"/>
        </w:rPr>
      </w:pPr>
      <w:r>
        <w:rPr>
          <w:rFonts w:hint="eastAsia" w:ascii="楷体" w:hAnsi="楷体" w:eastAsia="楷体" w:cs="Arial"/>
          <w:color w:val="000000"/>
          <w:szCs w:val="21"/>
          <w:shd w:val="clear" w:color="auto" w:fill="FFFFFF"/>
        </w:rPr>
        <w:t>长江江豚是国家一级保护动物，</w:t>
      </w:r>
      <w:r>
        <w:rPr>
          <w:rFonts w:ascii="楷体" w:hAnsi="楷体" w:eastAsia="楷体" w:cs="Arial"/>
          <w:color w:val="000000"/>
          <w:szCs w:val="21"/>
          <w:shd w:val="clear" w:color="auto" w:fill="FFFFFF"/>
        </w:rPr>
        <w:t>分布在长江中下游一带，以</w:t>
      </w:r>
      <w:r>
        <w:rPr>
          <w:color w:val="000000"/>
        </w:rPr>
        <w:fldChar w:fldCharType="begin"/>
      </w:r>
      <w:r>
        <w:rPr>
          <w:color w:val="000000"/>
        </w:rPr>
        <w:instrText xml:space="preserve"> HYPERLINK "https://baike.baidu.com/item/%E6%B4%9E%E5%BA%AD%E6%B9%96/182539" \t "_blank" </w:instrText>
      </w:r>
      <w:r>
        <w:rPr>
          <w:color w:val="000000"/>
        </w:rPr>
        <w:fldChar w:fldCharType="separate"/>
      </w:r>
      <w:r>
        <w:rPr>
          <w:rStyle w:val="8"/>
          <w:rFonts w:ascii="楷体" w:hAnsi="楷体" w:eastAsia="楷体" w:cs="Arial"/>
          <w:color w:val="000000"/>
          <w:szCs w:val="21"/>
          <w:u w:val="none"/>
          <w:shd w:val="clear" w:color="auto" w:fill="FFFFFF"/>
        </w:rPr>
        <w:t>洞庭湖</w:t>
      </w:r>
      <w:r>
        <w:rPr>
          <w:rFonts w:ascii="楷体" w:hAnsi="楷体" w:eastAsia="楷体" w:cs="Arial"/>
          <w:color w:val="000000"/>
          <w:szCs w:val="21"/>
          <w:shd w:val="clear" w:color="auto" w:fill="FFFFFF"/>
        </w:rPr>
        <w:fldChar w:fldCharType="end"/>
      </w:r>
      <w:r>
        <w:rPr>
          <w:rFonts w:ascii="楷体" w:hAnsi="楷体" w:eastAsia="楷体" w:cs="Arial"/>
          <w:color w:val="000000"/>
          <w:szCs w:val="21"/>
          <w:shd w:val="clear" w:color="auto" w:fill="FFFFFF"/>
        </w:rPr>
        <w:t>、</w:t>
      </w:r>
      <w:r>
        <w:rPr>
          <w:color w:val="000000"/>
        </w:rPr>
        <w:fldChar w:fldCharType="begin"/>
      </w:r>
      <w:r>
        <w:rPr>
          <w:color w:val="000000"/>
        </w:rPr>
        <w:instrText xml:space="preserve"> HYPERLINK "https://baike.baidu.com/item/%E9%84%B1%E9%98%B3%E6%B9%96/154797" \t "_blank" </w:instrText>
      </w:r>
      <w:r>
        <w:rPr>
          <w:color w:val="000000"/>
        </w:rPr>
        <w:fldChar w:fldCharType="separate"/>
      </w:r>
      <w:r>
        <w:rPr>
          <w:rStyle w:val="8"/>
          <w:rFonts w:ascii="楷体" w:hAnsi="楷体" w:eastAsia="楷体" w:cs="Arial"/>
          <w:color w:val="000000"/>
          <w:szCs w:val="21"/>
          <w:u w:val="none"/>
          <w:shd w:val="clear" w:color="auto" w:fill="FFFFFF"/>
        </w:rPr>
        <w:t>鄱阳湖</w:t>
      </w:r>
      <w:r>
        <w:rPr>
          <w:rFonts w:ascii="楷体" w:hAnsi="楷体" w:eastAsia="楷体" w:cs="Arial"/>
          <w:color w:val="000000"/>
          <w:szCs w:val="21"/>
          <w:shd w:val="clear" w:color="auto" w:fill="FFFFFF"/>
        </w:rPr>
        <w:fldChar w:fldCharType="end"/>
      </w:r>
      <w:r>
        <w:rPr>
          <w:rFonts w:ascii="楷体" w:hAnsi="楷体" w:eastAsia="楷体" w:cs="Arial"/>
          <w:color w:val="000000"/>
          <w:szCs w:val="21"/>
          <w:shd w:val="clear" w:color="auto" w:fill="FFFFFF"/>
        </w:rPr>
        <w:t>以及长江干流为主</w:t>
      </w:r>
      <w:r>
        <w:rPr>
          <w:rFonts w:hint="eastAsia" w:ascii="楷体" w:hAnsi="楷体" w:eastAsia="楷体" w:cs="Arial"/>
          <w:color w:val="000000"/>
          <w:szCs w:val="21"/>
          <w:shd w:val="clear" w:color="auto" w:fill="FFFFFF"/>
        </w:rPr>
        <w:t>，是一种古老的体型较大的水生哺乳动物，</w:t>
      </w:r>
      <w:r>
        <w:rPr>
          <w:rFonts w:hint="eastAsia" w:ascii="楷体" w:hAnsi="楷体" w:eastAsia="楷体"/>
          <w:color w:val="000000"/>
        </w:rPr>
        <w:t>每年</w:t>
      </w:r>
      <w:r>
        <w:rPr>
          <w:rFonts w:ascii="楷体" w:hAnsi="楷体" w:eastAsia="楷体" w:cs="Arial"/>
          <w:color w:val="000000"/>
          <w:szCs w:val="21"/>
          <w:shd w:val="clear" w:color="auto" w:fill="FFFFFF"/>
        </w:rPr>
        <w:t>10月生产，每胎产1仔</w:t>
      </w:r>
      <w:r>
        <w:rPr>
          <w:rFonts w:hint="eastAsia" w:ascii="楷体" w:hAnsi="楷体" w:eastAsia="楷体" w:cs="Arial"/>
          <w:color w:val="000000"/>
          <w:szCs w:val="21"/>
          <w:shd w:val="clear" w:color="auto" w:fill="FFFFFF"/>
        </w:rPr>
        <w:t>。长江</w:t>
      </w:r>
      <w:r>
        <w:rPr>
          <w:rFonts w:hint="eastAsia" w:ascii="楷体" w:hAnsi="楷体" w:eastAsia="楷体"/>
          <w:color w:val="000000"/>
        </w:rPr>
        <w:t>江豚</w:t>
      </w:r>
      <w:r>
        <w:rPr>
          <w:rFonts w:hint="eastAsia" w:ascii="楷体" w:hAnsi="楷体" w:eastAsia="楷体" w:cs="Arial"/>
          <w:color w:val="000000"/>
          <w:szCs w:val="21"/>
          <w:shd w:val="clear" w:color="auto" w:fill="FFFFFF"/>
        </w:rPr>
        <w:t>主要以</w:t>
      </w:r>
      <w:r>
        <w:rPr>
          <w:rFonts w:ascii="楷体" w:hAnsi="楷体" w:eastAsia="楷体" w:cs="Arial"/>
          <w:color w:val="000000"/>
          <w:szCs w:val="21"/>
          <w:shd w:val="clear" w:color="auto" w:fill="FFFFFF"/>
        </w:rPr>
        <w:t>鱼类</w:t>
      </w:r>
      <w:r>
        <w:rPr>
          <w:rFonts w:hint="eastAsia" w:ascii="楷体" w:hAnsi="楷体" w:eastAsia="楷体" w:cs="Arial"/>
          <w:color w:val="000000"/>
          <w:szCs w:val="21"/>
          <w:shd w:val="clear" w:color="auto" w:fill="FFFFFF"/>
        </w:rPr>
        <w:t>、</w:t>
      </w:r>
      <w:r>
        <w:rPr>
          <w:rFonts w:ascii="楷体" w:hAnsi="楷体" w:eastAsia="楷体" w:cs="Arial"/>
          <w:color w:val="000000"/>
          <w:szCs w:val="21"/>
          <w:shd w:val="clear" w:color="auto" w:fill="FFFFFF"/>
        </w:rPr>
        <w:t>虾等</w:t>
      </w:r>
      <w:r>
        <w:rPr>
          <w:rFonts w:hint="eastAsia" w:ascii="楷体" w:hAnsi="楷体" w:eastAsia="楷体" w:cs="Arial"/>
          <w:color w:val="000000"/>
          <w:szCs w:val="21"/>
          <w:shd w:val="clear" w:color="auto" w:fill="FFFFFF"/>
        </w:rPr>
        <w:t>为食，</w:t>
      </w:r>
      <w:r>
        <w:rPr>
          <w:rFonts w:ascii="楷体" w:hAnsi="楷体" w:eastAsia="楷体" w:cs="Arial"/>
          <w:color w:val="000000"/>
          <w:szCs w:val="21"/>
          <w:shd w:val="clear" w:color="auto" w:fill="FFFFFF"/>
        </w:rPr>
        <w:t xml:space="preserve"> 2018年长江江豚仅剩约1012头</w:t>
      </w:r>
      <w:r>
        <w:rPr>
          <w:rFonts w:hint="eastAsia" w:ascii="楷体" w:hAnsi="楷体" w:eastAsia="楷体" w:cs="Arial"/>
          <w:color w:val="000000"/>
          <w:szCs w:val="21"/>
          <w:shd w:val="clear" w:color="auto" w:fill="FFFFFF"/>
        </w:rPr>
        <w:t>，</w:t>
      </w:r>
      <w:r>
        <w:rPr>
          <w:rFonts w:ascii="楷体" w:hAnsi="楷体" w:eastAsia="楷体" w:cs="Arial"/>
          <w:color w:val="000000"/>
          <w:szCs w:val="21"/>
          <w:shd w:val="clear" w:color="auto" w:fill="FFFFFF"/>
        </w:rPr>
        <w:t>并正在以每年5%-10%的速度下降，</w:t>
      </w:r>
      <w:r>
        <w:rPr>
          <w:rFonts w:hint="eastAsia" w:ascii="楷体" w:hAnsi="楷体" w:eastAsia="楷体" w:cs="Arial"/>
          <w:color w:val="000000"/>
          <w:szCs w:val="21"/>
          <w:shd w:val="clear" w:color="auto" w:fill="FFFFFF"/>
        </w:rPr>
        <w:t>已属极度濒危动物。</w:t>
      </w:r>
    </w:p>
    <w:p>
      <w:pP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hint="eastAsia" w:ascii="Arial" w:hAnsi="Arial" w:cs="Arial"/>
          <w:color w:val="000000"/>
          <w:szCs w:val="21"/>
          <w:shd w:val="clear" w:color="auto" w:fill="FFFFFF"/>
        </w:rPr>
        <w:t>简述长江江豚数量下降的原因。</w:t>
      </w:r>
    </w:p>
    <w:p>
      <w:pPr>
        <w:tabs>
          <w:tab w:val="center" w:pos="4153"/>
        </w:tabs>
        <w:rPr>
          <w:rFonts w:hint="eastAsia"/>
          <w:color w:val="000000"/>
        </w:rPr>
      </w:pPr>
    </w:p>
    <w:p>
      <w:pPr>
        <w:tabs>
          <w:tab w:val="center" w:pos="4153"/>
        </w:tabs>
        <w:rPr>
          <w:rFonts w:hint="eastAsia"/>
          <w:color w:val="000000"/>
        </w:rPr>
      </w:pPr>
    </w:p>
    <w:p>
      <w:pPr>
        <w:tabs>
          <w:tab w:val="center" w:pos="4153"/>
        </w:tabs>
        <w:jc w:val="center"/>
        <w:rPr>
          <w:rFonts w:hint="eastAsia" w:ascii="宋体" w:hAnsi="宋体"/>
          <w:color w:val="000000"/>
          <w:sz w:val="44"/>
          <w:szCs w:val="44"/>
        </w:rPr>
      </w:pPr>
    </w:p>
    <w:p>
      <w:pPr>
        <w:tabs>
          <w:tab w:val="center" w:pos="4153"/>
        </w:tabs>
        <w:jc w:val="center"/>
        <w:rPr>
          <w:rFonts w:hint="eastAsia" w:ascii="宋体" w:hAnsi="宋体"/>
          <w:color w:val="000000"/>
          <w:sz w:val="44"/>
          <w:szCs w:val="44"/>
        </w:rPr>
      </w:pPr>
    </w:p>
    <w:p>
      <w:pPr>
        <w:tabs>
          <w:tab w:val="center" w:pos="4153"/>
        </w:tabs>
        <w:jc w:val="center"/>
        <w:rPr>
          <w:rFonts w:hint="eastAsia" w:ascii="宋体" w:hAnsi="宋体"/>
          <w:color w:val="000000"/>
          <w:sz w:val="30"/>
          <w:szCs w:val="30"/>
        </w:rPr>
      </w:pPr>
      <w:r>
        <w:rPr>
          <w:rFonts w:hint="eastAsia" w:ascii="宋体" w:hAnsi="宋体"/>
          <w:color w:val="000000"/>
          <w:sz w:val="44"/>
          <w:szCs w:val="44"/>
        </w:rPr>
        <w:br w:type="page"/>
      </w:r>
      <w:bookmarkStart w:id="0" w:name="_GoBack"/>
      <w:bookmarkEnd w:id="0"/>
      <w:r>
        <w:rPr>
          <w:rFonts w:hint="eastAsia" w:ascii="宋体" w:hAnsi="宋体"/>
          <w:color w:val="000000"/>
          <w:sz w:val="30"/>
          <w:szCs w:val="30"/>
        </w:rPr>
        <w:t>地理参考答案</w:t>
      </w:r>
    </w:p>
    <w:tbl>
      <w:tblPr>
        <w:tblStyle w:val="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2"/>
        <w:gridCol w:w="749"/>
        <w:gridCol w:w="750"/>
        <w:gridCol w:w="750"/>
        <w:gridCol w:w="749"/>
        <w:gridCol w:w="750"/>
        <w:gridCol w:w="750"/>
        <w:gridCol w:w="750"/>
        <w:gridCol w:w="749"/>
        <w:gridCol w:w="750"/>
        <w:gridCol w:w="750"/>
        <w:gridCol w:w="7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92" w:type="dxa"/>
            <w:shd w:val="clear" w:color="auto" w:fill="auto"/>
            <w:noWrap w:val="0"/>
            <w:vAlign w:val="top"/>
          </w:tcPr>
          <w:p>
            <w:pPr>
              <w:tabs>
                <w:tab w:val="center" w:pos="4153"/>
              </w:tabs>
              <w:jc w:val="center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题号</w:t>
            </w:r>
          </w:p>
        </w:tc>
        <w:tc>
          <w:tcPr>
            <w:tcW w:w="749" w:type="dxa"/>
            <w:shd w:val="clear" w:color="auto" w:fill="auto"/>
            <w:noWrap w:val="0"/>
            <w:vAlign w:val="top"/>
          </w:tcPr>
          <w:p>
            <w:pPr>
              <w:tabs>
                <w:tab w:val="center" w:pos="4153"/>
              </w:tabs>
              <w:jc w:val="center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1</w:t>
            </w:r>
          </w:p>
        </w:tc>
        <w:tc>
          <w:tcPr>
            <w:tcW w:w="750" w:type="dxa"/>
            <w:shd w:val="clear" w:color="auto" w:fill="auto"/>
            <w:noWrap w:val="0"/>
            <w:vAlign w:val="top"/>
          </w:tcPr>
          <w:p>
            <w:pPr>
              <w:tabs>
                <w:tab w:val="center" w:pos="4153"/>
              </w:tabs>
              <w:jc w:val="center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2</w:t>
            </w:r>
          </w:p>
        </w:tc>
        <w:tc>
          <w:tcPr>
            <w:tcW w:w="750" w:type="dxa"/>
            <w:shd w:val="clear" w:color="auto" w:fill="auto"/>
            <w:noWrap w:val="0"/>
            <w:vAlign w:val="top"/>
          </w:tcPr>
          <w:p>
            <w:pPr>
              <w:tabs>
                <w:tab w:val="center" w:pos="4153"/>
              </w:tabs>
              <w:jc w:val="center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3</w:t>
            </w:r>
          </w:p>
        </w:tc>
        <w:tc>
          <w:tcPr>
            <w:tcW w:w="749" w:type="dxa"/>
            <w:shd w:val="clear" w:color="auto" w:fill="auto"/>
            <w:noWrap w:val="0"/>
            <w:vAlign w:val="top"/>
          </w:tcPr>
          <w:p>
            <w:pPr>
              <w:tabs>
                <w:tab w:val="center" w:pos="4153"/>
              </w:tabs>
              <w:jc w:val="center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4</w:t>
            </w:r>
          </w:p>
        </w:tc>
        <w:tc>
          <w:tcPr>
            <w:tcW w:w="750" w:type="dxa"/>
            <w:shd w:val="clear" w:color="auto" w:fill="auto"/>
            <w:noWrap w:val="0"/>
            <w:vAlign w:val="top"/>
          </w:tcPr>
          <w:p>
            <w:pPr>
              <w:tabs>
                <w:tab w:val="center" w:pos="4153"/>
              </w:tabs>
              <w:jc w:val="center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5</w:t>
            </w:r>
          </w:p>
        </w:tc>
        <w:tc>
          <w:tcPr>
            <w:tcW w:w="750" w:type="dxa"/>
            <w:shd w:val="clear" w:color="auto" w:fill="auto"/>
            <w:noWrap w:val="0"/>
            <w:vAlign w:val="top"/>
          </w:tcPr>
          <w:p>
            <w:pPr>
              <w:tabs>
                <w:tab w:val="center" w:pos="4153"/>
              </w:tabs>
              <w:jc w:val="center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6</w:t>
            </w:r>
          </w:p>
        </w:tc>
        <w:tc>
          <w:tcPr>
            <w:tcW w:w="750" w:type="dxa"/>
            <w:shd w:val="clear" w:color="auto" w:fill="auto"/>
            <w:noWrap w:val="0"/>
            <w:vAlign w:val="top"/>
          </w:tcPr>
          <w:p>
            <w:pPr>
              <w:tabs>
                <w:tab w:val="center" w:pos="4153"/>
              </w:tabs>
              <w:jc w:val="center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7</w:t>
            </w:r>
          </w:p>
        </w:tc>
        <w:tc>
          <w:tcPr>
            <w:tcW w:w="749" w:type="dxa"/>
            <w:shd w:val="clear" w:color="auto" w:fill="auto"/>
            <w:noWrap w:val="0"/>
            <w:vAlign w:val="top"/>
          </w:tcPr>
          <w:p>
            <w:pPr>
              <w:tabs>
                <w:tab w:val="center" w:pos="4153"/>
              </w:tabs>
              <w:jc w:val="center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8</w:t>
            </w:r>
          </w:p>
        </w:tc>
        <w:tc>
          <w:tcPr>
            <w:tcW w:w="750" w:type="dxa"/>
            <w:shd w:val="clear" w:color="auto" w:fill="auto"/>
            <w:noWrap w:val="0"/>
            <w:vAlign w:val="top"/>
          </w:tcPr>
          <w:p>
            <w:pPr>
              <w:tabs>
                <w:tab w:val="center" w:pos="4153"/>
              </w:tabs>
              <w:jc w:val="center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9</w:t>
            </w:r>
          </w:p>
        </w:tc>
        <w:tc>
          <w:tcPr>
            <w:tcW w:w="750" w:type="dxa"/>
            <w:shd w:val="clear" w:color="auto" w:fill="auto"/>
            <w:noWrap w:val="0"/>
            <w:vAlign w:val="top"/>
          </w:tcPr>
          <w:p>
            <w:pPr>
              <w:tabs>
                <w:tab w:val="center" w:pos="4153"/>
              </w:tabs>
              <w:jc w:val="center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10</w:t>
            </w:r>
          </w:p>
        </w:tc>
        <w:tc>
          <w:tcPr>
            <w:tcW w:w="750" w:type="dxa"/>
            <w:shd w:val="clear" w:color="auto" w:fill="auto"/>
            <w:noWrap w:val="0"/>
            <w:vAlign w:val="top"/>
          </w:tcPr>
          <w:p>
            <w:pPr>
              <w:tabs>
                <w:tab w:val="center" w:pos="4153"/>
              </w:tabs>
              <w:jc w:val="center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92" w:type="dxa"/>
            <w:shd w:val="clear" w:color="auto" w:fill="auto"/>
            <w:noWrap w:val="0"/>
            <w:vAlign w:val="top"/>
          </w:tcPr>
          <w:p>
            <w:pPr>
              <w:tabs>
                <w:tab w:val="center" w:pos="4153"/>
              </w:tabs>
              <w:jc w:val="center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答案</w:t>
            </w:r>
          </w:p>
        </w:tc>
        <w:tc>
          <w:tcPr>
            <w:tcW w:w="749" w:type="dxa"/>
            <w:shd w:val="clear" w:color="auto" w:fill="auto"/>
            <w:noWrap w:val="0"/>
            <w:vAlign w:val="top"/>
          </w:tcPr>
          <w:p>
            <w:pPr>
              <w:tabs>
                <w:tab w:val="center" w:pos="4153"/>
              </w:tabs>
              <w:jc w:val="center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C</w:t>
            </w:r>
          </w:p>
        </w:tc>
        <w:tc>
          <w:tcPr>
            <w:tcW w:w="750" w:type="dxa"/>
            <w:shd w:val="clear" w:color="auto" w:fill="auto"/>
            <w:noWrap w:val="0"/>
            <w:vAlign w:val="top"/>
          </w:tcPr>
          <w:p>
            <w:pPr>
              <w:tabs>
                <w:tab w:val="center" w:pos="4153"/>
              </w:tabs>
              <w:jc w:val="center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A</w:t>
            </w:r>
          </w:p>
        </w:tc>
        <w:tc>
          <w:tcPr>
            <w:tcW w:w="750" w:type="dxa"/>
            <w:shd w:val="clear" w:color="auto" w:fill="auto"/>
            <w:noWrap w:val="0"/>
            <w:vAlign w:val="top"/>
          </w:tcPr>
          <w:p>
            <w:pPr>
              <w:tabs>
                <w:tab w:val="center" w:pos="4153"/>
              </w:tabs>
              <w:jc w:val="center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B</w:t>
            </w:r>
          </w:p>
        </w:tc>
        <w:tc>
          <w:tcPr>
            <w:tcW w:w="749" w:type="dxa"/>
            <w:shd w:val="clear" w:color="auto" w:fill="auto"/>
            <w:noWrap w:val="0"/>
            <w:vAlign w:val="top"/>
          </w:tcPr>
          <w:p>
            <w:pPr>
              <w:tabs>
                <w:tab w:val="center" w:pos="4153"/>
              </w:tabs>
              <w:jc w:val="center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B</w:t>
            </w:r>
          </w:p>
        </w:tc>
        <w:tc>
          <w:tcPr>
            <w:tcW w:w="750" w:type="dxa"/>
            <w:shd w:val="clear" w:color="auto" w:fill="auto"/>
            <w:noWrap w:val="0"/>
            <w:vAlign w:val="top"/>
          </w:tcPr>
          <w:p>
            <w:pPr>
              <w:tabs>
                <w:tab w:val="center" w:pos="4153"/>
              </w:tabs>
              <w:jc w:val="center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C</w:t>
            </w:r>
          </w:p>
        </w:tc>
        <w:tc>
          <w:tcPr>
            <w:tcW w:w="750" w:type="dxa"/>
            <w:shd w:val="clear" w:color="auto" w:fill="auto"/>
            <w:noWrap w:val="0"/>
            <w:vAlign w:val="top"/>
          </w:tcPr>
          <w:p>
            <w:pPr>
              <w:tabs>
                <w:tab w:val="center" w:pos="4153"/>
              </w:tabs>
              <w:jc w:val="center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A</w:t>
            </w:r>
          </w:p>
        </w:tc>
        <w:tc>
          <w:tcPr>
            <w:tcW w:w="750" w:type="dxa"/>
            <w:shd w:val="clear" w:color="auto" w:fill="auto"/>
            <w:noWrap w:val="0"/>
            <w:vAlign w:val="top"/>
          </w:tcPr>
          <w:p>
            <w:pPr>
              <w:tabs>
                <w:tab w:val="center" w:pos="4153"/>
              </w:tabs>
              <w:jc w:val="center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D</w:t>
            </w:r>
          </w:p>
        </w:tc>
        <w:tc>
          <w:tcPr>
            <w:tcW w:w="749" w:type="dxa"/>
            <w:shd w:val="clear" w:color="auto" w:fill="auto"/>
            <w:noWrap w:val="0"/>
            <w:vAlign w:val="top"/>
          </w:tcPr>
          <w:p>
            <w:pPr>
              <w:tabs>
                <w:tab w:val="center" w:pos="4153"/>
              </w:tabs>
              <w:jc w:val="center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C</w:t>
            </w:r>
          </w:p>
        </w:tc>
        <w:tc>
          <w:tcPr>
            <w:tcW w:w="750" w:type="dxa"/>
            <w:shd w:val="clear" w:color="auto" w:fill="auto"/>
            <w:noWrap w:val="0"/>
            <w:vAlign w:val="top"/>
          </w:tcPr>
          <w:p>
            <w:pPr>
              <w:tabs>
                <w:tab w:val="center" w:pos="4153"/>
              </w:tabs>
              <w:jc w:val="center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B</w:t>
            </w:r>
          </w:p>
        </w:tc>
        <w:tc>
          <w:tcPr>
            <w:tcW w:w="750" w:type="dxa"/>
            <w:shd w:val="clear" w:color="auto" w:fill="auto"/>
            <w:noWrap w:val="0"/>
            <w:vAlign w:val="top"/>
          </w:tcPr>
          <w:p>
            <w:pPr>
              <w:tabs>
                <w:tab w:val="center" w:pos="4153"/>
              </w:tabs>
              <w:jc w:val="center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A</w:t>
            </w:r>
          </w:p>
        </w:tc>
        <w:tc>
          <w:tcPr>
            <w:tcW w:w="750" w:type="dxa"/>
            <w:shd w:val="clear" w:color="auto" w:fill="auto"/>
            <w:noWrap w:val="0"/>
            <w:vAlign w:val="top"/>
          </w:tcPr>
          <w:p>
            <w:pPr>
              <w:tabs>
                <w:tab w:val="center" w:pos="4153"/>
              </w:tabs>
              <w:jc w:val="center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D</w:t>
            </w:r>
          </w:p>
        </w:tc>
      </w:tr>
    </w:tbl>
    <w:p>
      <w:pPr>
        <w:tabs>
          <w:tab w:val="center" w:pos="4153"/>
        </w:tabs>
        <w:jc w:val="center"/>
        <w:rPr>
          <w:rFonts w:hint="eastAsia"/>
          <w:color w:val="000000"/>
          <w:sz w:val="30"/>
          <w:szCs w:val="30"/>
        </w:rPr>
      </w:pPr>
    </w:p>
    <w:p>
      <w:pPr>
        <w:tabs>
          <w:tab w:val="center" w:pos="4153"/>
        </w:tabs>
        <w:rPr>
          <w:rFonts w:hint="eastAsia"/>
          <w:color w:val="000000"/>
        </w:rPr>
      </w:pPr>
      <w:r>
        <w:rPr>
          <w:rFonts w:hint="eastAsia"/>
          <w:color w:val="000000"/>
        </w:rPr>
        <w:t>36.（1）地形坡度大，耕地面积小；石堰固坡，有利于保持水土；石料丰富，便于就地取材。</w:t>
      </w:r>
    </w:p>
    <w:p>
      <w:pPr>
        <w:tabs>
          <w:tab w:val="center" w:pos="4153"/>
        </w:tabs>
        <w:ind w:left="850" w:leftChars="135" w:hanging="567" w:hangingChars="270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（2）山高坡陡，交通不便；以农产品运输为主，运量小；驴体型小，适应山区负重爬坡；投入小,运输成本低。 </w:t>
      </w:r>
    </w:p>
    <w:p>
      <w:pPr>
        <w:tabs>
          <w:tab w:val="center" w:pos="4153"/>
        </w:tabs>
        <w:ind w:firstLine="210" w:firstLineChars="100"/>
        <w:rPr>
          <w:rFonts w:hint="eastAsia"/>
          <w:color w:val="000000"/>
        </w:rPr>
      </w:pPr>
      <w:r>
        <w:rPr>
          <w:rFonts w:hint="eastAsia"/>
          <w:color w:val="000000"/>
        </w:rPr>
        <w:t>（3）遮阳、避风雨；存放农具；临时休息。</w:t>
      </w:r>
    </w:p>
    <w:p>
      <w:pPr>
        <w:tabs>
          <w:tab w:val="center" w:pos="4153"/>
        </w:tabs>
        <w:ind w:left="703" w:leftChars="99" w:hanging="495" w:hangingChars="236"/>
        <w:rPr>
          <w:rFonts w:hint="eastAsia"/>
          <w:color w:val="000000"/>
        </w:rPr>
      </w:pPr>
      <w:r>
        <w:rPr>
          <w:rFonts w:hint="eastAsia"/>
          <w:color w:val="000000"/>
        </w:rPr>
        <w:t>（4）花椒根系发达，有利于固土护坡；花椒叶片小，不易遮挡其它农作物的光照；耐旱、耐贫瘠，适应性强；可增加农产品种类，增加经济收入。</w:t>
      </w:r>
    </w:p>
    <w:p>
      <w:pPr>
        <w:tabs>
          <w:tab w:val="center" w:pos="4153"/>
        </w:tabs>
        <w:ind w:left="840" w:hanging="840" w:hangingChars="400"/>
        <w:rPr>
          <w:rFonts w:hint="eastAsia"/>
          <w:color w:val="000000"/>
        </w:rPr>
      </w:pPr>
      <w:r>
        <w:rPr>
          <w:rFonts w:hint="eastAsia"/>
          <w:color w:val="000000"/>
        </w:rPr>
        <w:t>37.（1）锑矿资源丰富，原料充足；经济落后，劳动力价格低，生产成本低；（利比）水电站提供廉价能源。</w:t>
      </w:r>
    </w:p>
    <w:p>
      <w:pPr>
        <w:tabs>
          <w:tab w:val="center" w:pos="4153"/>
        </w:tabs>
        <w:ind w:left="850" w:leftChars="135" w:hanging="567" w:hangingChars="270"/>
        <w:rPr>
          <w:rFonts w:hint="eastAsia"/>
          <w:color w:val="000000"/>
        </w:rPr>
      </w:pPr>
      <w:r>
        <w:rPr>
          <w:rFonts w:hint="eastAsia"/>
          <w:color w:val="000000"/>
        </w:rPr>
        <w:t>（2）锑是阻燃剂的重要原料，是</w:t>
      </w:r>
      <w:r>
        <w:rPr>
          <w:color w:val="000000"/>
        </w:rPr>
        <w:t>保障民生安全的关键</w:t>
      </w:r>
      <w:r>
        <w:rPr>
          <w:rFonts w:hint="eastAsia"/>
          <w:color w:val="000000"/>
        </w:rPr>
        <w:t>产品；锑与金等金属伴生，可同时生产金等贵重金属；市场地位无可替代；政策扶持。</w:t>
      </w:r>
    </w:p>
    <w:p>
      <w:pPr>
        <w:tabs>
          <w:tab w:val="center" w:pos="4153"/>
        </w:tabs>
        <w:ind w:left="850" w:leftChars="135" w:hanging="567" w:hangingChars="270"/>
        <w:rPr>
          <w:rFonts w:hint="eastAsia"/>
          <w:color w:val="000000"/>
        </w:rPr>
      </w:pPr>
      <w:r>
        <w:rPr>
          <w:rFonts w:hint="eastAsia"/>
          <w:color w:val="000000"/>
        </w:rPr>
        <w:t>（3）有利于获得锑精矿，增加原料供应；有利于进口渠道多元化；有利于降低生产成本；有利于占领当地市场，获得经济利益。</w:t>
      </w:r>
    </w:p>
    <w:p>
      <w:pPr>
        <w:tabs>
          <w:tab w:val="center" w:pos="4153"/>
        </w:tabs>
        <w:ind w:left="850" w:leftChars="135" w:hanging="567" w:hangingChars="270"/>
        <w:rPr>
          <w:color w:val="000000"/>
        </w:rPr>
      </w:pPr>
      <w:r>
        <w:rPr>
          <w:rFonts w:hint="eastAsia"/>
          <w:color w:val="000000"/>
        </w:rPr>
        <w:t>（4）提高资源的利用率；增加国内资源供给，稳定产能；加强国际投资与合作，稳定原料供给；加大科技投入，积极研发锑的替代品。</w:t>
      </w:r>
    </w:p>
    <w:p>
      <w:pPr>
        <w:tabs>
          <w:tab w:val="center" w:pos="4153"/>
        </w:tabs>
        <w:rPr>
          <w:color w:val="000000"/>
        </w:rPr>
      </w:pPr>
      <w:r>
        <w:rPr>
          <w:rFonts w:hint="eastAsia"/>
          <w:color w:val="000000"/>
        </w:rPr>
        <w:t>43.原因：景观独特，美学价值高；古冰保存较好，科学研究价值高；能满足游客探险猎奇的心理需求。</w:t>
      </w:r>
    </w:p>
    <w:p>
      <w:pPr>
        <w:tabs>
          <w:tab w:val="center" w:pos="4153"/>
        </w:tabs>
        <w:ind w:left="1270" w:leftChars="135" w:hanging="987" w:hangingChars="470"/>
        <w:rPr>
          <w:rFonts w:hint="eastAsia"/>
          <w:color w:val="000000"/>
        </w:rPr>
      </w:pPr>
      <w:r>
        <w:rPr>
          <w:rFonts w:hint="eastAsia"/>
          <w:color w:val="000000"/>
        </w:rPr>
        <w:t>注意事项：洞内气温低，准备防寒衣物；按照规定路线行走，保障安全；地面湿滑，谨防摔倒；切勿触碰冰体，以免造成景观破坏。</w:t>
      </w:r>
    </w:p>
    <w:p>
      <w:pPr>
        <w:tabs>
          <w:tab w:val="center" w:pos="4153"/>
        </w:tabs>
        <w:rPr>
          <w:color w:val="000000"/>
        </w:rPr>
      </w:pPr>
      <w:r>
        <w:rPr>
          <w:rFonts w:hint="eastAsia"/>
          <w:color w:val="000000"/>
        </w:rPr>
        <w:t>44.自然原因：每年生产一胎一仔，生殖能力低；体型较大，食物需求量大。</w:t>
      </w:r>
    </w:p>
    <w:p>
      <w:pPr>
        <w:tabs>
          <w:tab w:val="center" w:pos="4153"/>
        </w:tabs>
        <w:ind w:left="1270" w:leftChars="135" w:hanging="987" w:hangingChars="470"/>
        <w:rPr>
          <w:rFonts w:hint="eastAsia"/>
          <w:color w:val="000000"/>
        </w:rPr>
      </w:pPr>
      <w:r>
        <w:rPr>
          <w:rFonts w:hint="eastAsia"/>
          <w:color w:val="000000"/>
        </w:rPr>
        <w:t>人为原因：航运船只影响江豚的捕食和生活；过度捕捞导致江豚食物减少；</w:t>
      </w:r>
      <w:r>
        <w:rPr>
          <w:color w:val="000000"/>
        </w:rPr>
        <w:t>非法渔具</w:t>
      </w:r>
      <w:r>
        <w:rPr>
          <w:rFonts w:hint="eastAsia"/>
          <w:color w:val="000000"/>
        </w:rPr>
        <w:t>误伤江豚；水产养殖，使江豚生活范围缩少；长江中下游流域经济发达，水体污染严重，水环境受到破坏。</w:t>
      </w:r>
    </w:p>
    <w:p>
      <w:pPr>
        <w:tabs>
          <w:tab w:val="center" w:pos="4153"/>
        </w:tabs>
        <w:ind w:left="850" w:leftChars="135" w:hanging="567" w:hangingChars="270"/>
        <w:rPr>
          <w:rFonts w:hint="eastAsia"/>
          <w:color w:val="000000"/>
        </w:rPr>
      </w:pPr>
    </w:p>
    <w:sectPr>
      <w:pgSz w:w="10433" w:h="14742"/>
      <w:pgMar w:top="567" w:right="567" w:bottom="567" w:left="567" w:header="227" w:footer="397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2010609030101010101"/>
    <w:charset w:val="86"/>
    <w:family w:val="modern"/>
    <w:pitch w:val="default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FZSSK--GBK1-0">
    <w:altName w:val="Times New Roman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466D"/>
    <w:rsid w:val="00001C63"/>
    <w:rsid w:val="00002FA3"/>
    <w:rsid w:val="000109D0"/>
    <w:rsid w:val="0005466D"/>
    <w:rsid w:val="00085382"/>
    <w:rsid w:val="00092E03"/>
    <w:rsid w:val="000A17CD"/>
    <w:rsid w:val="000A4C3F"/>
    <w:rsid w:val="000C7EF4"/>
    <w:rsid w:val="000D00AC"/>
    <w:rsid w:val="00110D96"/>
    <w:rsid w:val="00113257"/>
    <w:rsid w:val="00136F5E"/>
    <w:rsid w:val="00154C39"/>
    <w:rsid w:val="001A3869"/>
    <w:rsid w:val="001D3F1D"/>
    <w:rsid w:val="002018EB"/>
    <w:rsid w:val="002113DB"/>
    <w:rsid w:val="00260E9F"/>
    <w:rsid w:val="00270B0C"/>
    <w:rsid w:val="00286250"/>
    <w:rsid w:val="00294FFD"/>
    <w:rsid w:val="002B78C3"/>
    <w:rsid w:val="002B7ABC"/>
    <w:rsid w:val="002C58B2"/>
    <w:rsid w:val="002D1D33"/>
    <w:rsid w:val="003550FB"/>
    <w:rsid w:val="00386154"/>
    <w:rsid w:val="003A140B"/>
    <w:rsid w:val="003E687D"/>
    <w:rsid w:val="003F3E40"/>
    <w:rsid w:val="00417846"/>
    <w:rsid w:val="00453AA2"/>
    <w:rsid w:val="0046083F"/>
    <w:rsid w:val="00481F21"/>
    <w:rsid w:val="004964B1"/>
    <w:rsid w:val="004B7E47"/>
    <w:rsid w:val="004C07F3"/>
    <w:rsid w:val="004D067C"/>
    <w:rsid w:val="004D74A9"/>
    <w:rsid w:val="00522B06"/>
    <w:rsid w:val="0053180C"/>
    <w:rsid w:val="005658B1"/>
    <w:rsid w:val="0059054C"/>
    <w:rsid w:val="005B6BBC"/>
    <w:rsid w:val="00606AB4"/>
    <w:rsid w:val="006135A8"/>
    <w:rsid w:val="00624C24"/>
    <w:rsid w:val="00625A25"/>
    <w:rsid w:val="00627162"/>
    <w:rsid w:val="0067471C"/>
    <w:rsid w:val="00690961"/>
    <w:rsid w:val="006B762E"/>
    <w:rsid w:val="006E71FA"/>
    <w:rsid w:val="006F203C"/>
    <w:rsid w:val="00736C11"/>
    <w:rsid w:val="00740A98"/>
    <w:rsid w:val="007621DB"/>
    <w:rsid w:val="007637BD"/>
    <w:rsid w:val="00781A49"/>
    <w:rsid w:val="007F7D79"/>
    <w:rsid w:val="00805239"/>
    <w:rsid w:val="0082651A"/>
    <w:rsid w:val="008267B9"/>
    <w:rsid w:val="008570F5"/>
    <w:rsid w:val="00861A23"/>
    <w:rsid w:val="00885A8C"/>
    <w:rsid w:val="00894922"/>
    <w:rsid w:val="008951B4"/>
    <w:rsid w:val="008B05D5"/>
    <w:rsid w:val="008B6549"/>
    <w:rsid w:val="008F0A56"/>
    <w:rsid w:val="00912927"/>
    <w:rsid w:val="009470C9"/>
    <w:rsid w:val="009511DC"/>
    <w:rsid w:val="00971E02"/>
    <w:rsid w:val="009845CF"/>
    <w:rsid w:val="009E605A"/>
    <w:rsid w:val="00A443AC"/>
    <w:rsid w:val="00A539D8"/>
    <w:rsid w:val="00A663E7"/>
    <w:rsid w:val="00A82ECF"/>
    <w:rsid w:val="00AA778B"/>
    <w:rsid w:val="00AC6986"/>
    <w:rsid w:val="00AD4CE5"/>
    <w:rsid w:val="00AF0326"/>
    <w:rsid w:val="00AF38FC"/>
    <w:rsid w:val="00AF742C"/>
    <w:rsid w:val="00AF7E2A"/>
    <w:rsid w:val="00B12135"/>
    <w:rsid w:val="00B5394B"/>
    <w:rsid w:val="00BB16C1"/>
    <w:rsid w:val="00BB2A3D"/>
    <w:rsid w:val="00BD10B7"/>
    <w:rsid w:val="00BD2FC4"/>
    <w:rsid w:val="00BD6BA8"/>
    <w:rsid w:val="00BE4461"/>
    <w:rsid w:val="00BF6C2F"/>
    <w:rsid w:val="00C11E0D"/>
    <w:rsid w:val="00C246B3"/>
    <w:rsid w:val="00C720CF"/>
    <w:rsid w:val="00C919C7"/>
    <w:rsid w:val="00CB7D15"/>
    <w:rsid w:val="00CC1FB4"/>
    <w:rsid w:val="00CF4962"/>
    <w:rsid w:val="00D023E9"/>
    <w:rsid w:val="00D4130D"/>
    <w:rsid w:val="00E07BAE"/>
    <w:rsid w:val="00E13927"/>
    <w:rsid w:val="00E36A41"/>
    <w:rsid w:val="00E37D21"/>
    <w:rsid w:val="00E51AFC"/>
    <w:rsid w:val="00E817A4"/>
    <w:rsid w:val="00EA00D2"/>
    <w:rsid w:val="00EA0118"/>
    <w:rsid w:val="00EB021B"/>
    <w:rsid w:val="00EC76F8"/>
    <w:rsid w:val="00ED4713"/>
    <w:rsid w:val="00ED5E37"/>
    <w:rsid w:val="00EE337A"/>
    <w:rsid w:val="00EF2A4F"/>
    <w:rsid w:val="00F204E3"/>
    <w:rsid w:val="00F20832"/>
    <w:rsid w:val="00F2198F"/>
    <w:rsid w:val="00F420D9"/>
    <w:rsid w:val="00F51EBE"/>
    <w:rsid w:val="00F74973"/>
    <w:rsid w:val="00F857E8"/>
    <w:rsid w:val="00FB39F4"/>
    <w:rsid w:val="00FC27C9"/>
    <w:rsid w:val="00FD004F"/>
    <w:rsid w:val="00FF5820"/>
    <w:rsid w:val="0DF3325B"/>
    <w:rsid w:val="0E2E7263"/>
    <w:rsid w:val="11BC1FD5"/>
    <w:rsid w:val="13430FC6"/>
    <w:rsid w:val="14246E44"/>
    <w:rsid w:val="159042C0"/>
    <w:rsid w:val="19862146"/>
    <w:rsid w:val="1B407BFE"/>
    <w:rsid w:val="298B29A2"/>
    <w:rsid w:val="29CD1C14"/>
    <w:rsid w:val="2E5A2363"/>
    <w:rsid w:val="30E21214"/>
    <w:rsid w:val="33314641"/>
    <w:rsid w:val="37FE4FBB"/>
    <w:rsid w:val="38417F76"/>
    <w:rsid w:val="39B358D1"/>
    <w:rsid w:val="3BC23D5B"/>
    <w:rsid w:val="40C22B50"/>
    <w:rsid w:val="4320685E"/>
    <w:rsid w:val="49822DEE"/>
    <w:rsid w:val="4C33398B"/>
    <w:rsid w:val="4D097F47"/>
    <w:rsid w:val="51650215"/>
    <w:rsid w:val="53C45241"/>
    <w:rsid w:val="54005E0F"/>
    <w:rsid w:val="5659607C"/>
    <w:rsid w:val="5BC5014D"/>
    <w:rsid w:val="61F36BBD"/>
    <w:rsid w:val="62A75A70"/>
    <w:rsid w:val="6F093347"/>
    <w:rsid w:val="708E7B12"/>
    <w:rsid w:val="71976783"/>
    <w:rsid w:val="74667628"/>
    <w:rsid w:val="748A0232"/>
    <w:rsid w:val="765A222A"/>
    <w:rsid w:val="79D443C1"/>
    <w:rsid w:val="7A0F6751"/>
    <w:rsid w:val="7B94447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Style w:val="4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0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9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Style w:val="4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Strong"/>
    <w:qFormat/>
    <w:uiPriority w:val="0"/>
    <w:rPr>
      <w:b/>
    </w:rPr>
  </w:style>
  <w:style w:type="character" w:styleId="8">
    <w:name w:val="Hyperlink"/>
    <w:unhideWhenUsed/>
    <w:qFormat/>
    <w:uiPriority w:val="99"/>
    <w:rPr>
      <w:color w:val="0000FF"/>
      <w:u w:val="single"/>
    </w:rPr>
  </w:style>
  <w:style w:type="character" w:customStyle="1" w:styleId="9">
    <w:name w:val="页眉 Char"/>
    <w:link w:val="3"/>
    <w:uiPriority w:val="0"/>
    <w:rPr>
      <w:kern w:val="2"/>
      <w:sz w:val="18"/>
      <w:szCs w:val="18"/>
    </w:rPr>
  </w:style>
  <w:style w:type="character" w:customStyle="1" w:styleId="10">
    <w:name w:val="页脚 Char"/>
    <w:link w:val="2"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bmp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德信电脑</Company>
  <Pages>5</Pages>
  <Words>541</Words>
  <Characters>3085</Characters>
  <Lines>25</Lines>
  <Paragraphs>7</Paragraphs>
  <TotalTime>1</TotalTime>
  <ScaleCrop>false</ScaleCrop>
  <LinksUpToDate>false</LinksUpToDate>
  <CharactersWithSpaces>3619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2019-11-25T09:24:00Z</dcterms:created>
  <dc:creator>Administrator</dc:creator>
  <cp:lastModifiedBy>wenhe</cp:lastModifiedBy>
  <dcterms:modified xsi:type="dcterms:W3CDTF">2020-05-26T12:45:20Z</dcterms:modified>
  <cp:revision>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