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rFonts w:asciiTheme="minorEastAsia" w:hAnsiTheme="minorEastAsia" w:eastAsiaTheme="minorEastAsia"/>
          <w:sz w:val="32"/>
          <w:szCs w:val="32"/>
        </w:rPr>
      </w:pPr>
      <w:r>
        <w:rPr>
          <w:rFonts w:hint="eastAsia" w:asciiTheme="minorEastAsia" w:hAnsiTheme="minorEastAsia" w:eastAsiaTheme="minorEastAsia"/>
          <w:sz w:val="32"/>
          <w:szCs w:val="32"/>
        </w:rPr>
        <w:t>LIBS技术用于钢水元素的定量分析与研究</w:t>
      </w:r>
    </w:p>
    <w:p>
      <w:pPr>
        <w:spacing w:line="22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摘要  激光诱导击穿光谱（LIBS</w:t>
      </w:r>
      <w:r>
        <w:rPr>
          <w:rFonts w:asciiTheme="minorEastAsia" w:hAnsiTheme="minorEastAsia" w:eastAsiaTheme="minorEastAsia"/>
          <w:sz w:val="21"/>
          <w:szCs w:val="21"/>
        </w:rPr>
        <w:t>）</w:t>
      </w:r>
      <w:r>
        <w:rPr>
          <w:rFonts w:hint="eastAsia" w:asciiTheme="minorEastAsia" w:hAnsiTheme="minorEastAsia" w:eastAsiaTheme="minorEastAsia"/>
          <w:sz w:val="21"/>
          <w:szCs w:val="21"/>
        </w:rPr>
        <w:t>在液态合金钢中的定量分析已经取得了很大的进展，为了提高预测精确度，本文将聚类方法结合偏最小二乘法应用在冶金工业中来测定钢水中的的元素浓度。实验结果表明，测量的相对标准误差低于1.316%，平均绝对误差为0.869%，该方法比传统偏最小二乘法测量精度有了很大的提高，测量相对标准误差明显降低。</w:t>
      </w:r>
    </w:p>
    <w:p>
      <w:pPr>
        <w:spacing w:line="22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关键词  激光诱导击穿光谱 定量分析 偏最小二乘法 相对标准误差</w:t>
      </w:r>
    </w:p>
    <w:p>
      <w:pPr>
        <w:spacing w:line="220" w:lineRule="atLeast"/>
        <w:rPr>
          <w:rFonts w:asciiTheme="minorEastAsia" w:hAnsiTheme="minorEastAsia" w:eastAsiaTheme="minorEastAsia"/>
          <w:sz w:val="28"/>
          <w:szCs w:val="28"/>
        </w:rPr>
        <w:sectPr>
          <w:pgSz w:w="11906" w:h="16838"/>
          <w:pgMar w:top="1440" w:right="1800" w:bottom="1440" w:left="1800" w:header="708" w:footer="708" w:gutter="0"/>
          <w:cols w:space="708" w:num="1"/>
          <w:docGrid w:linePitch="360" w:charSpace="0"/>
        </w:sectPr>
      </w:pPr>
    </w:p>
    <w:p>
      <w:pPr>
        <w:spacing w:line="220" w:lineRule="atLeast"/>
        <w:rPr>
          <w:rFonts w:asciiTheme="minorEastAsia" w:hAnsiTheme="minorEastAsia" w:eastAsiaTheme="minorEastAsia"/>
          <w:b/>
          <w:sz w:val="28"/>
          <w:szCs w:val="28"/>
        </w:rPr>
      </w:pPr>
      <w:r>
        <w:rPr>
          <w:rFonts w:hint="eastAsia" w:asciiTheme="minorEastAsia" w:hAnsiTheme="minorEastAsia" w:eastAsiaTheme="minorEastAsia"/>
          <w:b/>
          <w:sz w:val="28"/>
          <w:szCs w:val="28"/>
        </w:rPr>
        <w:t>1.引言</w:t>
      </w:r>
    </w:p>
    <w:p>
      <w:pPr>
        <w:spacing w:before="120" w:line="276" w:lineRule="auto"/>
        <w:ind w:firstLine="420" w:firstLineChars="200"/>
        <w:jc w:val="both"/>
        <w:rPr>
          <w:rFonts w:asciiTheme="minorEastAsia" w:hAnsiTheme="minorEastAsia" w:eastAsiaTheme="minorEastAsia"/>
          <w:sz w:val="21"/>
          <w:szCs w:val="21"/>
        </w:rPr>
      </w:pPr>
      <w:r>
        <w:rPr>
          <w:rFonts w:hint="eastAsia" w:asciiTheme="minorEastAsia" w:hAnsiTheme="minorEastAsia" w:eastAsiaTheme="minorEastAsia"/>
          <w:sz w:val="21"/>
          <w:szCs w:val="21"/>
        </w:rPr>
        <w:t>原料及产品化学成分的快速检测是冶金过程的重要环节。目前普遍采用湿法化学分析法、火花发射光谱法、X射线荧光光谱法等，需要现场抽样和处理，再送到实验室进行分析，等待分析结果的时间长，造成产品质量波动及能源的严重浪费</w:t>
      </w:r>
      <w:r>
        <w:rPr>
          <w:rFonts w:hint="eastAsia" w:asciiTheme="minorEastAsia" w:hAnsiTheme="minorEastAsia" w:eastAsiaTheme="minorEastAsia"/>
          <w:sz w:val="21"/>
          <w:szCs w:val="21"/>
          <w:vertAlign w:val="superscript"/>
        </w:rPr>
        <w:t>[2]</w:t>
      </w:r>
      <w:r>
        <w:rPr>
          <w:rFonts w:hint="eastAsia" w:asciiTheme="minorEastAsia" w:hAnsiTheme="minorEastAsia" w:eastAsiaTheme="minorEastAsia"/>
          <w:sz w:val="21"/>
          <w:szCs w:val="21"/>
        </w:rPr>
        <w:t xml:space="preserve">。                      </w:t>
      </w:r>
    </w:p>
    <w:p>
      <w:pPr>
        <w:spacing w:before="120" w:line="276" w:lineRule="auto"/>
        <w:ind w:firstLine="420" w:firstLineChars="200"/>
        <w:jc w:val="both"/>
        <w:rPr>
          <w:rFonts w:asciiTheme="minorEastAsia" w:hAnsiTheme="minorEastAsia" w:eastAsiaTheme="minorEastAsia"/>
          <w:sz w:val="21"/>
          <w:szCs w:val="21"/>
        </w:rPr>
      </w:pPr>
      <w:r>
        <w:rPr>
          <w:rFonts w:hint="eastAsia" w:asciiTheme="minorEastAsia" w:hAnsiTheme="minorEastAsia" w:eastAsiaTheme="minorEastAsia"/>
          <w:sz w:val="21"/>
          <w:szCs w:val="21"/>
        </w:rPr>
        <w:t>虽然市场上也有一些快速分析仪器，但都无法在冶金生产过程中实现在线应用。 激光诱导击穿光谱（LIBS）也称为激光诱导等离子体光谱，它是一种基于分析原子发射光谱的成分分析测试技术。它利用高能激光脉冲照射材料，使得被激光照射的区域由于瞬间吸收巨大的能量导致材料中原子的气化电离，从而在照射区附近区域产生大量的处于激发态的原子和离子而形成等离子体。这些不稳定的离子或原子从高能态跃迁回到低能态时，就会发射出与这些原子中电子能级差能量对应的发射谱线</w:t>
      </w:r>
      <w:r>
        <w:rPr>
          <w:rFonts w:hint="eastAsia" w:asciiTheme="minorEastAsia" w:hAnsiTheme="minorEastAsia" w:eastAsiaTheme="minorEastAsia"/>
          <w:sz w:val="21"/>
          <w:szCs w:val="21"/>
          <w:vertAlign w:val="superscript"/>
        </w:rPr>
        <w:t>[2]</w:t>
      </w:r>
      <w:r>
        <w:rPr>
          <w:rFonts w:hint="eastAsia" w:asciiTheme="minorEastAsia" w:hAnsiTheme="minorEastAsia" w:eastAsiaTheme="minorEastAsia"/>
          <w:sz w:val="21"/>
          <w:szCs w:val="21"/>
        </w:rPr>
        <w:t>。因此，通过分析发射谱线强度随波长（能量）的分布情况，就可以测出材料中的元素的种类和含量了。</w:t>
      </w:r>
      <w:r>
        <w:rPr>
          <w:rFonts w:hint="eastAsia" w:ascii="宋体" w:hAnsi="宋体" w:eastAsia="宋体" w:cs="宋体"/>
          <w:sz w:val="21"/>
          <w:szCs w:val="21"/>
        </w:rPr>
        <w:t>激光诱导击穿光谱与其它元素技术分析相比有很大优点，如可以进行全元素分析，样品无需预处理，样品形式不限，灵敏度高，可以进行实时分析等。</w:t>
      </w:r>
    </w:p>
    <w:p>
      <w:pPr>
        <w:spacing w:line="276" w:lineRule="auto"/>
        <w:ind w:firstLine="420" w:firstLineChars="200"/>
        <w:jc w:val="both"/>
        <w:rPr>
          <w:rFonts w:asciiTheme="minorEastAsia" w:hAnsiTheme="minorEastAsia" w:eastAsiaTheme="minorEastAsia"/>
          <w:sz w:val="21"/>
          <w:szCs w:val="21"/>
        </w:rPr>
      </w:pPr>
      <w:bookmarkStart w:id="0" w:name="OLE_LINK5"/>
      <w:r>
        <w:rPr>
          <w:rFonts w:hint="eastAsia" w:asciiTheme="minorEastAsia" w:hAnsiTheme="minorEastAsia" w:eastAsiaTheme="minorEastAsia"/>
          <w:sz w:val="21"/>
          <w:szCs w:val="21"/>
        </w:rPr>
        <w:t>LIBS光谱图的横坐标对应的是波长，纵坐标对应的是光谱强度，</w:t>
      </w:r>
      <w:r>
        <w:rPr>
          <w:rStyle w:val="13"/>
          <w:rFonts w:hint="default"/>
        </w:rPr>
        <w:t>通过特征谱线的波长位置可以定性分析元素种类，通过谱线的强度能够定量分析该种元素的含量</w:t>
      </w:r>
      <w:r>
        <w:rPr>
          <w:rStyle w:val="14"/>
          <w:rFonts w:asciiTheme="minorEastAsia" w:hAnsiTheme="minorEastAsia" w:eastAsiaTheme="minorEastAsia"/>
        </w:rPr>
        <w:t>。</w:t>
      </w:r>
      <w:r>
        <w:rPr>
          <w:rStyle w:val="14"/>
          <w:rFonts w:hint="eastAsia" w:asciiTheme="minorEastAsia" w:hAnsiTheme="minorEastAsia" w:eastAsiaTheme="minorEastAsia"/>
        </w:rPr>
        <w:t>但是</w:t>
      </w:r>
      <w:r>
        <w:rPr>
          <w:rFonts w:hint="eastAsia" w:ascii="宋体" w:hAnsi="宋体" w:eastAsia="宋体" w:cs="宋体"/>
          <w:sz w:val="21"/>
          <w:szCs w:val="21"/>
        </w:rPr>
        <w:t>受样品不均匀、烧蚀条件不稳定、谱线自吸收效应和基体效应等因素的影响，又导致LIBS光谱具有很大的不稳定性，</w:t>
      </w:r>
      <w:r>
        <w:rPr>
          <w:rStyle w:val="14"/>
          <w:rFonts w:hint="eastAsia" w:asciiTheme="minorEastAsia" w:hAnsiTheme="minorEastAsia" w:eastAsiaTheme="minorEastAsia"/>
        </w:rPr>
        <w:t>使得对元素的定量分析不能达到预期的目标，因而，如何通过光谱强度和元素浓度之间建立合适的关系，实现优化定标是钢水冶炼中对元素在线测量的一个重要问题。</w:t>
      </w:r>
    </w:p>
    <w:bookmarkEnd w:id="0"/>
    <w:p>
      <w:pPr>
        <w:spacing w:line="276" w:lineRule="auto"/>
        <w:ind w:firstLine="420" w:firstLineChars="200"/>
        <w:jc w:val="both"/>
        <w:rPr>
          <w:rFonts w:ascii="宋体" w:hAnsi="宋体" w:eastAsia="宋体" w:cs="宋体"/>
          <w:sz w:val="21"/>
          <w:szCs w:val="21"/>
        </w:rPr>
      </w:pPr>
      <w:r>
        <w:rPr>
          <w:rFonts w:hint="eastAsia" w:ascii="宋体" w:hAnsi="宋体" w:eastAsia="宋体" w:cs="宋体"/>
          <w:sz w:val="21"/>
          <w:szCs w:val="21"/>
        </w:rPr>
        <w:t>本文提出了一套由激光诱导击穿光谱技术结合偏最小二乘法和聚类方法用在钢水冶炼中的定量分析，用来测定元素的浓度。聚类方法结合偏最小二乘法预测钢水元素浓度，对于一个未知样品，我们并不知道它属于哪个浓度区间，为此，我们采用聚类分析的办法判别其所属的浓度区间，然后再使用偏最小二乘算法对其进行含量预测。</w:t>
      </w:r>
    </w:p>
    <w:p>
      <w:pPr>
        <w:spacing w:before="120" w:line="276" w:lineRule="auto"/>
        <w:ind w:left="422" w:hanging="422" w:hangingChars="150"/>
        <w:rPr>
          <w:rFonts w:ascii="宋体" w:hAnsi="宋体" w:eastAsia="宋体" w:cs="宋体"/>
          <w:b/>
          <w:sz w:val="28"/>
          <w:szCs w:val="28"/>
        </w:rPr>
      </w:pPr>
      <w:r>
        <w:rPr>
          <w:rFonts w:hint="eastAsia" w:ascii="宋体" w:hAnsi="宋体" w:eastAsia="宋体" w:cs="宋体"/>
          <w:b/>
          <w:sz w:val="28"/>
          <w:szCs w:val="28"/>
        </w:rPr>
        <w:t>2 系统与实验设计</w:t>
      </w:r>
    </w:p>
    <w:p>
      <w:pPr>
        <w:spacing w:before="120" w:line="276" w:lineRule="auto"/>
        <w:ind w:left="361" w:hanging="361" w:hangingChars="150"/>
        <w:rPr>
          <w:rFonts w:ascii="宋体" w:hAnsi="宋体" w:eastAsia="宋体" w:cs="宋体"/>
          <w:b/>
          <w:sz w:val="24"/>
          <w:szCs w:val="24"/>
        </w:rPr>
      </w:pPr>
      <w:r>
        <w:rPr>
          <w:rFonts w:hint="eastAsia" w:ascii="宋体" w:hAnsi="宋体" w:eastAsia="宋体" w:cs="宋体"/>
          <w:b/>
          <w:sz w:val="24"/>
          <w:szCs w:val="24"/>
        </w:rPr>
        <w:t>2.1实验设备</w:t>
      </w:r>
    </w:p>
    <w:p>
      <w:pPr>
        <w:spacing w:before="120" w:line="276" w:lineRule="auto"/>
        <w:ind w:firstLine="420" w:firstLineChars="200"/>
        <w:jc w:val="both"/>
        <w:rPr>
          <w:rFonts w:ascii="宋体" w:hAnsi="宋体" w:eastAsia="宋体" w:cs="宋体"/>
          <w:sz w:val="21"/>
          <w:szCs w:val="21"/>
        </w:rPr>
        <w:sectPr>
          <w:type w:val="continuous"/>
          <w:pgSz w:w="11906" w:h="16838"/>
          <w:pgMar w:top="1440" w:right="1800" w:bottom="1440" w:left="1800" w:header="708" w:footer="708" w:gutter="0"/>
          <w:cols w:space="440" w:num="2"/>
          <w:docGrid w:linePitch="360" w:charSpace="0"/>
        </w:sectPr>
      </w:pPr>
      <w:r>
        <w:rPr>
          <w:rFonts w:hint="eastAsia" w:ascii="宋体" w:hAnsi="宋体" w:eastAsia="宋体" w:cs="宋体"/>
          <w:sz w:val="21"/>
          <w:szCs w:val="21"/>
        </w:rPr>
        <w:t>实验装置如下图所示，激发光源为Nd：YAG调Q激光器（激光波长1064nm,脉冲宽度为10ns,频率为1-10Hz），单脉冲能量为50-400mJ。激光经焦距为200mm透镜聚焦后垂直入射到样品表面，样品置于可调节的支架台上，激光诱导等离子体通过光纤导入光谱仪，光纤径为100μm，数值孔径为0.22，为增加通光量，光纤头上接耦合透镜（焦距10mm）。系统主要由激光器、样品台、光谱仪和电脑组成。激光光源输出的激光通过聚光镜聚焦于样品表面上,从样品附近发射出的谱线通过光纤后送入光谱仪,光谱仪采集到的数据传输到计算机中,通过软件实现数据的保存和光谱的显示。为了能够使样品电离,要求激光能量必须超过特定的阈值,同时,为了能够清晰地分析不同的谱线，要求光谱仪具有较高的分辨率。</w:t>
      </w:r>
    </w:p>
    <w:p>
      <w:pPr>
        <w:spacing w:before="120" w:line="276" w:lineRule="auto"/>
        <w:rPr>
          <w:rFonts w:ascii="宋体" w:hAnsi="宋体" w:eastAsia="宋体" w:cs="宋体"/>
          <w:sz w:val="28"/>
          <w:szCs w:val="28"/>
        </w:rPr>
      </w:pPr>
      <w:r>
        <w:rPr>
          <w:rFonts w:ascii="宋体" w:hAnsi="宋体" w:eastAsia="宋体" w:cs="宋体"/>
          <w:sz w:val="28"/>
          <w:szCs w:val="28"/>
        </w:rPr>
        <w:drawing>
          <wp:inline distT="0" distB="0" distL="0" distR="0">
            <wp:extent cx="2800350" cy="1274445"/>
            <wp:effectExtent l="19050" t="0" r="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pic:cNvPicPr>
                      <a:picLocks noChangeAspect="1" noChangeArrowheads="1"/>
                    </pic:cNvPicPr>
                  </pic:nvPicPr>
                  <pic:blipFill>
                    <a:blip r:embed="rId4" cstate="print"/>
                    <a:srcRect/>
                    <a:stretch>
                      <a:fillRect/>
                    </a:stretch>
                  </pic:blipFill>
                  <pic:spPr>
                    <a:xfrm>
                      <a:off x="0" y="0"/>
                      <a:ext cx="2800350" cy="1275022"/>
                    </a:xfrm>
                    <a:prstGeom prst="rect">
                      <a:avLst/>
                    </a:prstGeom>
                    <a:noFill/>
                    <a:ln w="9525">
                      <a:noFill/>
                      <a:miter lim="800000"/>
                      <a:headEnd/>
                      <a:tailEnd/>
                    </a:ln>
                  </pic:spPr>
                </pic:pic>
              </a:graphicData>
            </a:graphic>
          </wp:inline>
        </w:drawing>
      </w:r>
    </w:p>
    <w:p>
      <w:pPr>
        <w:spacing w:before="120" w:line="276" w:lineRule="auto"/>
        <w:rPr>
          <w:rFonts w:ascii="宋体" w:hAnsi="宋体" w:eastAsia="宋体" w:cs="宋体"/>
          <w:sz w:val="28"/>
          <w:szCs w:val="28"/>
        </w:rPr>
      </w:pPr>
    </w:p>
    <w:p>
      <w:pPr>
        <w:spacing w:before="240" w:line="276" w:lineRule="auto"/>
        <w:ind w:firstLine="360" w:firstLineChars="150"/>
        <w:rPr>
          <w:rFonts w:cs="宋体" w:asciiTheme="minorEastAsia" w:hAnsiTheme="minorEastAsia" w:eastAsiaTheme="minorEastAsia"/>
          <w:sz w:val="24"/>
          <w:szCs w:val="24"/>
        </w:rPr>
        <w:sectPr>
          <w:type w:val="continuous"/>
          <w:pgSz w:w="11906" w:h="16838"/>
          <w:pgMar w:top="1440" w:right="1800" w:bottom="1440" w:left="1800" w:header="708" w:footer="708" w:gutter="0"/>
          <w:cols w:space="708" w:num="2"/>
          <w:docGrid w:linePitch="360" w:charSpace="0"/>
        </w:sectPr>
      </w:pPr>
    </w:p>
    <w:p>
      <w:pPr>
        <w:spacing w:before="240" w:line="276" w:lineRule="auto"/>
        <w:ind w:firstLine="360" w:firstLineChars="200"/>
        <w:jc w:val="center"/>
        <w:rPr>
          <w:rStyle w:val="13"/>
          <w:rFonts w:hint="default"/>
          <w:sz w:val="18"/>
          <w:szCs w:val="18"/>
        </w:rPr>
      </w:pPr>
      <w:r>
        <w:rPr>
          <w:rStyle w:val="13"/>
          <w:rFonts w:hint="default"/>
          <w:sz w:val="18"/>
          <w:szCs w:val="18"/>
        </w:rPr>
        <w:t>实验装置图</w:t>
      </w:r>
    </w:p>
    <w:p>
      <w:pPr>
        <w:spacing w:before="240" w:line="276" w:lineRule="auto"/>
        <w:ind w:firstLine="400" w:firstLineChars="200"/>
        <w:jc w:val="both"/>
        <w:rPr>
          <w:rStyle w:val="13"/>
          <w:rFonts w:hint="default"/>
        </w:rPr>
        <w:sectPr>
          <w:type w:val="continuous"/>
          <w:pgSz w:w="11906" w:h="16838"/>
          <w:pgMar w:top="1440" w:right="1800" w:bottom="1440" w:left="1800" w:header="708" w:footer="708" w:gutter="0"/>
          <w:cols w:space="440" w:num="2"/>
          <w:docGrid w:linePitch="360" w:charSpace="0"/>
        </w:sectPr>
      </w:pPr>
    </w:p>
    <w:p>
      <w:pPr>
        <w:spacing w:before="240" w:line="276" w:lineRule="auto"/>
        <w:ind w:firstLine="400" w:firstLineChars="200"/>
        <w:jc w:val="both"/>
        <w:rPr>
          <w:rFonts w:ascii="宋体" w:hAnsi="宋体" w:eastAsia="宋体"/>
          <w:color w:val="000000"/>
          <w:sz w:val="20"/>
          <w:szCs w:val="20"/>
        </w:rPr>
      </w:pPr>
      <w:r>
        <w:rPr>
          <w:rStyle w:val="13"/>
          <w:rFonts w:hint="default"/>
        </w:rPr>
        <w:t xml:space="preserve">从下图液态钢水LIBS光谱图可以看到，液态钢光谱中 </w:t>
      </w:r>
      <w:r>
        <w:rPr>
          <w:rStyle w:val="15"/>
        </w:rPr>
        <w:t xml:space="preserve">Fe </w:t>
      </w:r>
      <w:r>
        <w:rPr>
          <w:rStyle w:val="13"/>
          <w:rFonts w:hint="default"/>
        </w:rPr>
        <w:t>发射谱线非常密集， 会对其他元素的特征谱线带来严重的重叠干扰</w:t>
      </w:r>
      <w:r>
        <w:rPr>
          <w:rStyle w:val="14"/>
        </w:rPr>
        <w:t>。</w:t>
      </w:r>
      <w:r>
        <w:rPr>
          <w:rStyle w:val="13"/>
          <w:rFonts w:hint="default"/>
        </w:rPr>
        <w:t xml:space="preserve">尤其是 </w:t>
      </w:r>
      <w:r>
        <w:rPr>
          <w:rStyle w:val="15"/>
        </w:rPr>
        <w:t>Cr</w:t>
      </w:r>
      <w:r>
        <w:rPr>
          <w:rStyle w:val="14"/>
        </w:rPr>
        <w:t xml:space="preserve">、 </w:t>
      </w:r>
      <w:r>
        <w:rPr>
          <w:rStyle w:val="15"/>
        </w:rPr>
        <w:t>Ni</w:t>
      </w:r>
      <w:r>
        <w:rPr>
          <w:rStyle w:val="14"/>
        </w:rPr>
        <w:t xml:space="preserve">、 </w:t>
      </w:r>
      <w:r>
        <w:rPr>
          <w:rStyle w:val="15"/>
        </w:rPr>
        <w:t xml:space="preserve">Si </w:t>
      </w:r>
      <w:r>
        <w:rPr>
          <w:rStyle w:val="13"/>
          <w:rFonts w:hint="default"/>
        </w:rPr>
        <w:t>的谱线，受重叠干扰严重， 可以选择的分析谱线有限</w:t>
      </w:r>
      <w:r>
        <w:rPr>
          <w:rStyle w:val="14"/>
          <w:rFonts w:hint="eastAsia"/>
        </w:rPr>
        <w:t>。</w:t>
      </w:r>
      <w:r>
        <w:rPr>
          <w:rStyle w:val="13"/>
          <w:rFonts w:hint="default"/>
        </w:rPr>
        <w:t>元素的波长范围较宽，达不到元素的精确测量。</w:t>
      </w:r>
      <w:r>
        <w:rPr>
          <w:rFonts w:cs="宋体" w:asciiTheme="minorEastAsia" w:hAnsiTheme="minorEastAsia" w:eastAsiaTheme="minorEastAsia"/>
          <w:sz w:val="24"/>
          <w:szCs w:val="24"/>
        </w:rPr>
        <w:drawing>
          <wp:inline distT="0" distB="0" distL="0" distR="0">
            <wp:extent cx="2743200" cy="1797050"/>
            <wp:effectExtent l="19050" t="0" r="0" b="0"/>
            <wp:docPr id="4" name="图片 10" descr="C:\Users\Administrator\Desktop\QQ截图20161219100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descr="C:\Users\Administrator\Desktop\QQ截图20161219100902.png"/>
                    <pic:cNvPicPr>
                      <a:picLocks noChangeAspect="1" noChangeArrowheads="1"/>
                    </pic:cNvPicPr>
                  </pic:nvPicPr>
                  <pic:blipFill>
                    <a:blip r:embed="rId5" cstate="print"/>
                    <a:srcRect/>
                    <a:stretch>
                      <a:fillRect/>
                    </a:stretch>
                  </pic:blipFill>
                  <pic:spPr>
                    <a:xfrm>
                      <a:off x="0" y="0"/>
                      <a:ext cx="2749877" cy="1801424"/>
                    </a:xfrm>
                    <a:prstGeom prst="rect">
                      <a:avLst/>
                    </a:prstGeom>
                    <a:noFill/>
                    <a:ln w="9525">
                      <a:noFill/>
                      <a:miter lim="800000"/>
                      <a:headEnd/>
                      <a:tailEnd/>
                    </a:ln>
                  </pic:spPr>
                </pic:pic>
              </a:graphicData>
            </a:graphic>
          </wp:inline>
        </w:drawing>
      </w:r>
    </w:p>
    <w:p>
      <w:pPr>
        <w:spacing w:line="276" w:lineRule="auto"/>
        <w:jc w:val="center"/>
        <w:rPr>
          <w:rFonts w:ascii="宋体" w:hAnsi="宋体" w:eastAsia="宋体" w:cs="宋体"/>
          <w:sz w:val="18"/>
          <w:szCs w:val="18"/>
        </w:rPr>
      </w:pPr>
      <w:r>
        <w:rPr>
          <w:rFonts w:hint="eastAsia" w:ascii="宋体" w:hAnsi="宋体" w:eastAsia="宋体" w:cs="宋体"/>
          <w:sz w:val="18"/>
          <w:szCs w:val="18"/>
        </w:rPr>
        <w:t>LIBS光谱图</w:t>
      </w:r>
    </w:p>
    <w:p>
      <w:pPr>
        <w:spacing w:line="276" w:lineRule="auto"/>
        <w:rPr>
          <w:rFonts w:ascii="宋体" w:hAnsi="宋体" w:eastAsia="宋体" w:cs="宋体"/>
          <w:sz w:val="21"/>
          <w:szCs w:val="21"/>
        </w:rPr>
      </w:pPr>
      <w:r>
        <w:rPr>
          <w:rFonts w:ascii="宋体" w:hAnsi="宋体" w:eastAsia="宋体" w:cs="宋体"/>
          <w:sz w:val="21"/>
          <w:szCs w:val="21"/>
        </w:rPr>
        <w:drawing>
          <wp:inline distT="0" distB="0" distL="0" distR="0">
            <wp:extent cx="2254250" cy="1371600"/>
            <wp:effectExtent l="19050" t="0" r="0" b="0"/>
            <wp:docPr id="35" name="图片 35" descr="C:\Users\Administrator\Desktop\QQ截图20161219115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Administrator\Desktop\QQ截图20161219115223.png"/>
                    <pic:cNvPicPr>
                      <a:picLocks noChangeAspect="1" noChangeArrowheads="1"/>
                    </pic:cNvPicPr>
                  </pic:nvPicPr>
                  <pic:blipFill>
                    <a:blip r:embed="rId6" cstate="print"/>
                    <a:srcRect/>
                    <a:stretch>
                      <a:fillRect/>
                    </a:stretch>
                  </pic:blipFill>
                  <pic:spPr>
                    <a:xfrm>
                      <a:off x="0" y="0"/>
                      <a:ext cx="2254250" cy="1371600"/>
                    </a:xfrm>
                    <a:prstGeom prst="rect">
                      <a:avLst/>
                    </a:prstGeom>
                    <a:noFill/>
                    <a:ln w="9525">
                      <a:noFill/>
                      <a:miter lim="800000"/>
                      <a:headEnd/>
                      <a:tailEnd/>
                    </a:ln>
                  </pic:spPr>
                </pic:pic>
              </a:graphicData>
            </a:graphic>
          </wp:inline>
        </w:drawing>
      </w:r>
    </w:p>
    <w:p>
      <w:pPr>
        <w:spacing w:line="276" w:lineRule="auto"/>
        <w:jc w:val="center"/>
        <w:rPr>
          <w:rFonts w:ascii="宋体" w:hAnsi="宋体" w:eastAsia="宋体" w:cs="宋体"/>
          <w:sz w:val="18"/>
          <w:szCs w:val="18"/>
        </w:rPr>
      </w:pPr>
      <w:r>
        <w:rPr>
          <w:rFonts w:hint="eastAsia" w:ascii="宋体" w:hAnsi="宋体" w:eastAsia="宋体" w:cs="宋体"/>
          <w:sz w:val="18"/>
          <w:szCs w:val="18"/>
        </w:rPr>
        <w:t>钢液在线测量图</w:t>
      </w:r>
    </w:p>
    <w:p>
      <w:pPr>
        <w:spacing w:line="276" w:lineRule="auto"/>
        <w:rPr>
          <w:rFonts w:ascii="宋体" w:hAnsi="宋体" w:eastAsia="宋体" w:cs="宋体"/>
          <w:b/>
          <w:sz w:val="24"/>
          <w:szCs w:val="24"/>
        </w:rPr>
      </w:pPr>
      <w:r>
        <w:rPr>
          <w:rFonts w:hint="eastAsia" w:ascii="宋体" w:hAnsi="宋体" w:eastAsia="宋体" w:cs="宋体"/>
          <w:b/>
          <w:sz w:val="24"/>
          <w:szCs w:val="24"/>
        </w:rPr>
        <w:t xml:space="preserve">2.2 实验条件对钢水元素测量的影响  </w:t>
      </w:r>
    </w:p>
    <w:p>
      <w:pPr>
        <w:spacing w:line="276" w:lineRule="auto"/>
        <w:ind w:firstLine="420" w:firstLineChars="200"/>
        <w:rPr>
          <w:rFonts w:ascii="宋体" w:hAnsi="宋体" w:eastAsia="宋体" w:cs="宋体"/>
          <w:sz w:val="21"/>
          <w:szCs w:val="21"/>
        </w:rPr>
      </w:pPr>
      <w:r>
        <w:rPr>
          <w:rFonts w:hint="eastAsia" w:ascii="宋体" w:hAnsi="宋体" w:eastAsia="宋体" w:cs="宋体"/>
          <w:sz w:val="21"/>
          <w:szCs w:val="21"/>
        </w:rPr>
        <w:t>第一，基体效应的影响</w:t>
      </w:r>
    </w:p>
    <w:p>
      <w:pPr>
        <w:spacing w:line="276" w:lineRule="auto"/>
        <w:ind w:firstLine="420" w:firstLineChars="200"/>
        <w:jc w:val="both"/>
        <w:rPr>
          <w:rFonts w:ascii="宋体" w:hAnsi="宋体" w:eastAsia="宋体" w:cs="宋体"/>
          <w:sz w:val="21"/>
          <w:szCs w:val="21"/>
        </w:rPr>
      </w:pPr>
      <w:r>
        <w:rPr>
          <w:rFonts w:hint="eastAsia" w:ascii="宋体" w:hAnsi="宋体" w:eastAsia="宋体" w:cs="宋体"/>
          <w:sz w:val="21"/>
          <w:szCs w:val="21"/>
        </w:rPr>
        <w:t>由于待测样品常常是化合物，甚至是混合物，把待测元素以外都叫做基体。当基体成分发生变化时，由于不同原子的平均原子序数和对激光发射谱能量的吸收系数都不相同，导致所测的元素含量和原子发射谱线不成线性关系，这就是“基体效应”</w:t>
      </w:r>
      <w:r>
        <w:rPr>
          <w:rFonts w:hint="eastAsia" w:ascii="宋体" w:hAnsi="宋体" w:eastAsia="宋体" w:cs="宋体"/>
          <w:sz w:val="21"/>
          <w:szCs w:val="21"/>
          <w:vertAlign w:val="superscript"/>
        </w:rPr>
        <w:t>[1]</w:t>
      </w:r>
      <w:r>
        <w:rPr>
          <w:rFonts w:hint="eastAsia" w:ascii="宋体" w:hAnsi="宋体" w:eastAsia="宋体" w:cs="宋体"/>
          <w:sz w:val="21"/>
          <w:szCs w:val="21"/>
        </w:rPr>
        <w:t>。在激光诱导击穿光谱技术定量分析中，基体效应受激光烧灼样品的速率、等离子体状态（尤其是等离子体温度）等因素影响，从而使得测量稳定性低。</w:t>
      </w:r>
    </w:p>
    <w:p>
      <w:pPr>
        <w:spacing w:line="276" w:lineRule="auto"/>
        <w:ind w:firstLine="420" w:firstLineChars="200"/>
        <w:jc w:val="both"/>
        <w:rPr>
          <w:rFonts w:ascii="宋体" w:hAnsi="宋体" w:eastAsia="宋体" w:cs="宋体"/>
          <w:sz w:val="21"/>
          <w:szCs w:val="21"/>
        </w:rPr>
      </w:pPr>
      <w:r>
        <w:rPr>
          <w:rFonts w:hint="eastAsia" w:ascii="宋体" w:hAnsi="宋体" w:eastAsia="宋体" w:cs="宋体"/>
          <w:sz w:val="21"/>
          <w:szCs w:val="21"/>
        </w:rPr>
        <w:t>第二，环境气体的性质和压力的影响</w:t>
      </w:r>
    </w:p>
    <w:p>
      <w:pPr>
        <w:spacing w:line="276" w:lineRule="auto"/>
        <w:ind w:firstLine="420" w:firstLineChars="200"/>
        <w:jc w:val="both"/>
        <w:rPr>
          <w:rFonts w:ascii="宋体" w:hAnsi="宋体" w:eastAsia="宋体" w:cs="宋体"/>
          <w:sz w:val="21"/>
          <w:szCs w:val="21"/>
        </w:rPr>
      </w:pPr>
      <w:r>
        <w:rPr>
          <w:rFonts w:hint="eastAsia" w:ascii="宋体" w:hAnsi="宋体" w:eastAsia="宋体" w:cs="宋体"/>
          <w:sz w:val="21"/>
          <w:szCs w:val="21"/>
        </w:rPr>
        <w:t>环境气体会影响等离子体的形成，从而对收集到的的 LIBS 信号产生作用。首先，不同气氛下气体对激光的散射率不同，由此影响激光在样品表面的烧灼程度，导致等离子体的产生几率不同，从而影响检测的灵敏度。其次，不同气体产生的背景信号也不同，由于样品产生的等离子体与环境气体之间的相互作用的过程十分复杂，因此很难消除环境气氛的影响。所以在激光诱导等离子体测量钢水元素浓度的过程中，还应该考虑环境气体的影响。</w:t>
      </w:r>
    </w:p>
    <w:p>
      <w:pPr>
        <w:spacing w:line="276" w:lineRule="auto"/>
        <w:ind w:firstLine="420" w:firstLineChars="200"/>
        <w:jc w:val="both"/>
        <w:rPr>
          <w:rFonts w:ascii="宋体" w:hAnsi="宋体" w:eastAsia="宋体" w:cs="宋体"/>
          <w:sz w:val="21"/>
          <w:szCs w:val="21"/>
        </w:rPr>
      </w:pPr>
      <w:r>
        <w:rPr>
          <w:rFonts w:ascii="宋体" w:hAnsi="宋体" w:eastAsia="宋体" w:cs="宋体"/>
          <w:sz w:val="21"/>
          <w:szCs w:val="21"/>
        </w:rPr>
        <w:drawing>
          <wp:inline distT="0" distB="0" distL="0" distR="0">
            <wp:extent cx="2349500" cy="1600200"/>
            <wp:effectExtent l="19050" t="0" r="0" b="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noChangeArrowheads="1"/>
                    </pic:cNvPicPr>
                  </pic:nvPicPr>
                  <pic:blipFill>
                    <a:blip r:embed="rId7" cstate="print"/>
                    <a:srcRect/>
                    <a:stretch>
                      <a:fillRect/>
                    </a:stretch>
                  </pic:blipFill>
                  <pic:spPr>
                    <a:xfrm>
                      <a:off x="0" y="0"/>
                      <a:ext cx="2354817" cy="1603821"/>
                    </a:xfrm>
                    <a:prstGeom prst="rect">
                      <a:avLst/>
                    </a:prstGeom>
                    <a:noFill/>
                    <a:ln w="9525">
                      <a:noFill/>
                      <a:miter lim="800000"/>
                      <a:headEnd/>
                      <a:tailEnd/>
                    </a:ln>
                  </pic:spPr>
                </pic:pic>
              </a:graphicData>
            </a:graphic>
          </wp:inline>
        </w:drawing>
      </w:r>
    </w:p>
    <w:p>
      <w:pPr>
        <w:spacing w:line="276" w:lineRule="auto"/>
        <w:ind w:firstLine="315" w:firstLineChars="150"/>
        <w:jc w:val="both"/>
        <w:rPr>
          <w:rFonts w:ascii="宋体" w:hAnsi="宋体" w:eastAsia="宋体" w:cs="宋体"/>
          <w:sz w:val="21"/>
          <w:szCs w:val="21"/>
        </w:rPr>
      </w:pPr>
      <w:r>
        <w:rPr>
          <w:rFonts w:hint="eastAsia" w:ascii="宋体" w:hAnsi="宋体" w:eastAsia="宋体" w:cs="宋体"/>
          <w:sz w:val="21"/>
          <w:szCs w:val="21"/>
        </w:rPr>
        <w:t>第三，自吸收效应的影响</w:t>
      </w:r>
    </w:p>
    <w:p>
      <w:pPr>
        <w:spacing w:after="0" w:line="276" w:lineRule="auto"/>
        <w:ind w:firstLine="420" w:firstLineChars="200"/>
        <w:jc w:val="both"/>
        <w:rPr>
          <w:rFonts w:ascii="宋体" w:hAnsi="宋体" w:eastAsia="宋体" w:cs="宋体"/>
          <w:sz w:val="21"/>
          <w:szCs w:val="21"/>
        </w:rPr>
      </w:pPr>
      <w:r>
        <w:rPr>
          <w:rFonts w:hint="eastAsia" w:ascii="宋体" w:hAnsi="宋体" w:eastAsia="宋体" w:cs="宋体"/>
          <w:sz w:val="21"/>
          <w:szCs w:val="21"/>
        </w:rPr>
        <w:t>自吸收效应在激光诱导击穿光谱定量分析中起很重要的作用，它可以吸收自身原子的发射峰能量，影响发射谱线的强度。处于基态的原子，受外界能量激发时，能产生一定波长的特征谱线，同样，它也能吸收这些特征谱线。当谱线由光源发光区域的中心轴辐射出来时，将通过周围空间一段路程，然后向四周空间发射，但因发光层四周的温度较中心温度低，故外围原子多数处于基态或低能态，因而产生自吸收，使谱线中心强度减弱。自吸严重的情况下，谱线中央消失，形成双线，称为“自蚀”。自吸最强的谱线称为自蚀线</w:t>
      </w:r>
      <w:r>
        <w:rPr>
          <w:rFonts w:hint="eastAsia" w:ascii="宋体" w:hAnsi="宋体" w:eastAsia="宋体" w:cs="宋体"/>
          <w:sz w:val="21"/>
          <w:szCs w:val="21"/>
          <w:vertAlign w:val="superscript"/>
        </w:rPr>
        <w:t>[1]</w:t>
      </w:r>
      <w:r>
        <w:rPr>
          <w:rFonts w:hint="eastAsia" w:ascii="宋体" w:hAnsi="宋体" w:eastAsia="宋体" w:cs="宋体"/>
          <w:sz w:val="21"/>
          <w:szCs w:val="21"/>
        </w:rPr>
        <w:t>。</w:t>
      </w:r>
    </w:p>
    <w:p>
      <w:pPr>
        <w:spacing w:after="0" w:line="276" w:lineRule="auto"/>
        <w:jc w:val="both"/>
        <w:rPr>
          <w:rFonts w:ascii="宋体" w:hAnsi="宋体" w:eastAsia="宋体" w:cs="宋体"/>
          <w:sz w:val="21"/>
          <w:szCs w:val="21"/>
        </w:rPr>
      </w:pPr>
      <w:r>
        <w:rPr>
          <w:rFonts w:hint="eastAsia" w:ascii="宋体" w:hAnsi="宋体" w:eastAsia="宋体" w:cs="宋体"/>
          <w:sz w:val="21"/>
          <w:szCs w:val="21"/>
        </w:rPr>
        <w:t>因此在激光诱导等离子体测量钢水中元素的浓度时，自吸收效应会导致钢水元素测量的精确度低，测量稳定性不高。</w:t>
      </w:r>
    </w:p>
    <w:p>
      <w:pPr>
        <w:spacing w:after="0" w:line="276" w:lineRule="auto"/>
        <w:rPr>
          <w:rFonts w:ascii="宋体" w:hAnsi="宋体" w:eastAsia="宋体" w:cs="宋体"/>
          <w:sz w:val="21"/>
          <w:szCs w:val="21"/>
        </w:rPr>
      </w:pPr>
    </w:p>
    <w:p>
      <w:pPr>
        <w:spacing w:after="0" w:line="276" w:lineRule="auto"/>
        <w:ind w:firstLine="420" w:firstLineChars="200"/>
        <w:rPr>
          <w:rFonts w:ascii="宋体" w:hAnsi="宋体" w:eastAsia="宋体" w:cs="宋体"/>
          <w:sz w:val="21"/>
          <w:szCs w:val="21"/>
        </w:rPr>
      </w:pPr>
      <w:r>
        <w:rPr>
          <w:rFonts w:hint="eastAsia" w:ascii="宋体" w:hAnsi="宋体" w:eastAsia="宋体" w:cs="宋体"/>
          <w:sz w:val="21"/>
          <w:szCs w:val="21"/>
        </w:rPr>
        <w:t>自吸收效应的影响如图所示：</w:t>
      </w:r>
    </w:p>
    <w:p>
      <w:pPr>
        <w:spacing w:line="276" w:lineRule="auto"/>
        <w:ind w:firstLine="465"/>
        <w:rPr>
          <w:rFonts w:ascii="宋体" w:hAnsi="宋体" w:eastAsia="宋体" w:cs="宋体"/>
          <w:sz w:val="21"/>
          <w:szCs w:val="21"/>
        </w:rPr>
      </w:pPr>
      <w:r>
        <w:rPr>
          <w:sz w:val="21"/>
          <w:szCs w:val="21"/>
        </w:rPr>
        <w:drawing>
          <wp:inline distT="0" distB="0" distL="0" distR="0">
            <wp:extent cx="1695450" cy="1529715"/>
            <wp:effectExtent l="19050" t="0" r="0" b="0"/>
            <wp:docPr id="1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pic:cNvPicPr>
                      <a:picLocks noChangeAspect="1" noChangeArrowheads="1"/>
                    </pic:cNvPicPr>
                  </pic:nvPicPr>
                  <pic:blipFill>
                    <a:blip r:embed="rId8" cstate="print"/>
                    <a:srcRect/>
                    <a:stretch>
                      <a:fillRect/>
                    </a:stretch>
                  </pic:blipFill>
                  <pic:spPr>
                    <a:xfrm>
                      <a:off x="0" y="0"/>
                      <a:ext cx="1699475" cy="1533525"/>
                    </a:xfrm>
                    <a:prstGeom prst="rect">
                      <a:avLst/>
                    </a:prstGeom>
                    <a:noFill/>
                    <a:ln w="9525">
                      <a:noFill/>
                      <a:miter lim="800000"/>
                      <a:headEnd/>
                      <a:tailEnd/>
                    </a:ln>
                  </pic:spPr>
                </pic:pic>
              </a:graphicData>
            </a:graphic>
          </wp:inline>
        </w:drawing>
      </w:r>
    </w:p>
    <w:p>
      <w:pPr>
        <w:spacing w:line="276" w:lineRule="auto"/>
        <w:rPr>
          <w:rFonts w:ascii="宋体" w:hAnsi="宋体" w:eastAsia="宋体" w:cs="宋体"/>
          <w:b/>
          <w:sz w:val="28"/>
          <w:szCs w:val="28"/>
        </w:rPr>
      </w:pPr>
      <w:r>
        <w:rPr>
          <w:rFonts w:hint="eastAsia" w:ascii="宋体" w:hAnsi="宋体" w:eastAsia="宋体" w:cs="宋体"/>
          <w:b/>
          <w:sz w:val="28"/>
          <w:szCs w:val="28"/>
        </w:rPr>
        <w:t>3.聚类方法结合偏最小二乘法的提出和描述</w:t>
      </w:r>
    </w:p>
    <w:p>
      <w:pPr>
        <w:spacing w:line="276" w:lineRule="auto"/>
        <w:ind w:firstLine="420" w:firstLineChars="200"/>
        <w:jc w:val="both"/>
        <w:rPr>
          <w:rFonts w:ascii="宋体" w:hAnsi="宋体" w:eastAsia="宋体" w:cs="宋体"/>
          <w:sz w:val="21"/>
          <w:szCs w:val="21"/>
        </w:rPr>
      </w:pPr>
      <w:r>
        <w:rPr>
          <w:rFonts w:hint="eastAsia" w:ascii="宋体" w:hAnsi="宋体" w:eastAsia="宋体" w:cs="宋体"/>
          <w:sz w:val="21"/>
          <w:szCs w:val="21"/>
        </w:rPr>
        <w:t>LIBS光谱探测中，对于复杂的基体样品，同种元素在不同的基质下被激发导致等离子体特征不同，并且由于样品中各元素谱线之间的相互干扰以及浓度的变化等，形成严重的基体效应，使用单一谱线对待测元素拟合定标会产生较大误差。因为在光谱采集中可以获得大量的不同波长的光谱数据，这些数据中包含不同的元素的特征谱线，由于基体效应导致了不同元素特征谱线之间的相互影响</w:t>
      </w:r>
      <w:r>
        <w:rPr>
          <w:rFonts w:hint="eastAsia" w:ascii="宋体" w:hAnsi="宋体" w:eastAsia="宋体" w:cs="宋体"/>
          <w:sz w:val="21"/>
          <w:szCs w:val="21"/>
          <w:vertAlign w:val="superscript"/>
        </w:rPr>
        <w:t>[4]</w:t>
      </w:r>
      <w:r>
        <w:rPr>
          <w:rFonts w:hint="eastAsia" w:ascii="宋体" w:hAnsi="宋体" w:eastAsia="宋体" w:cs="宋体"/>
          <w:sz w:val="21"/>
          <w:szCs w:val="21"/>
        </w:rPr>
        <w:t>。在实际的光谱探测中，光谱由大量的光谱数据组成，各数据之间不是独立的，它们之间存在一定的相互影响。因此在本论文中，选用的是多变量定量分析方法。输入数据为多组光谱强度数据，输出数据为多组元素浓度数据。多变量定量分析方法充分利用光谱中的多条相关谱线进行定量分析，可以降低基底效应对待测元素特征谱线的干扰，提高定量分析的精度。</w:t>
      </w:r>
    </w:p>
    <w:p>
      <w:pPr>
        <w:ind w:firstLine="420" w:firstLineChars="200"/>
        <w:jc w:val="both"/>
        <w:rPr>
          <w:rFonts w:asciiTheme="minorEastAsia" w:hAnsiTheme="minorEastAsia" w:eastAsiaTheme="minorEastAsia"/>
          <w:sz w:val="21"/>
          <w:szCs w:val="21"/>
        </w:rPr>
      </w:pPr>
      <w:r>
        <w:rPr>
          <w:rFonts w:hint="eastAsia" w:asciiTheme="minorEastAsia" w:hAnsiTheme="minorEastAsia" w:eastAsiaTheme="minorEastAsia"/>
          <w:sz w:val="21"/>
          <w:szCs w:val="21"/>
        </w:rPr>
        <w:t>利用化学计量学中多元校正的方法可以充分挖掘光谱数据与元素浓度的关系。其中偏最小二乘法（PLS）是通过降维的方式从大量数据中提取几个足够反应待测样品的特征变量，保留足够的光谱信息反映待测元素浓度与光谱强度的关系。通过在光谱强度和元素浓度之间建立数学模型，来实现LIBS技术对钢水元素测量的优化定标问题。</w:t>
      </w:r>
    </w:p>
    <w:p>
      <w:pPr>
        <w:ind w:firstLine="420" w:firstLineChars="200"/>
        <w:jc w:val="both"/>
        <w:rPr>
          <w:rFonts w:ascii="宋体" w:hAnsi="宋体" w:eastAsia="宋体" w:cs="宋体"/>
          <w:sz w:val="21"/>
          <w:szCs w:val="21"/>
        </w:rPr>
      </w:pPr>
      <w:r>
        <w:rPr>
          <w:rFonts w:hint="eastAsia" w:ascii="宋体" w:hAnsi="宋体" w:eastAsia="宋体" w:cs="宋体"/>
          <w:sz w:val="21"/>
          <w:szCs w:val="21"/>
        </w:rPr>
        <w:t>但是，当利用 PLS方法建模时，当训练集样本浓度范围很大时，建立校正模型的适用范围也越宽，可分析精度有可能变差，如果模型的适用范围较小，则分析精度相对较高，但这是 PLS方法的一个缺点。 为了进一步提高分析测试精度，本尝试把训练样本按照其浓度范围分成几个子区间，在每个子区间上建立 PLS 预测模型。预测时，先利用聚类分析判别样本所属的浓度子区间，然后利用此子区间上的 PLS 模型进行预测</w:t>
      </w:r>
      <w:r>
        <w:rPr>
          <w:rFonts w:hint="eastAsia" w:ascii="宋体" w:hAnsi="宋体" w:eastAsia="宋体" w:cs="宋体"/>
          <w:sz w:val="21"/>
          <w:szCs w:val="21"/>
          <w:vertAlign w:val="superscript"/>
        </w:rPr>
        <w:t>[3]</w:t>
      </w:r>
      <w:r>
        <w:rPr>
          <w:rFonts w:hint="eastAsia" w:ascii="宋体" w:hAnsi="宋体" w:eastAsia="宋体" w:cs="宋体"/>
          <w:sz w:val="21"/>
          <w:szCs w:val="21"/>
        </w:rPr>
        <w:t xml:space="preserve">。这样，既提高了模型的适用范围也提高了分析精度，提供了一种新的更有效的LIBS 数据处理方法。 </w:t>
      </w:r>
    </w:p>
    <w:p>
      <w:pPr>
        <w:spacing w:before="100" w:beforeAutospacing="1" w:line="360" w:lineRule="auto"/>
        <w:rPr>
          <w:rFonts w:ascii="宋体" w:hAnsi="宋体" w:eastAsia="宋体" w:cs="宋体"/>
          <w:b/>
          <w:sz w:val="28"/>
          <w:szCs w:val="28"/>
        </w:rPr>
      </w:pPr>
      <w:r>
        <w:rPr>
          <w:rFonts w:hint="eastAsia" w:ascii="宋体" w:hAnsi="宋体" w:eastAsia="宋体" w:cs="宋体"/>
          <w:b/>
          <w:sz w:val="28"/>
          <w:szCs w:val="28"/>
        </w:rPr>
        <w:t>4.偏最小二乘法</w:t>
      </w:r>
    </w:p>
    <w:p>
      <w:pPr>
        <w:spacing w:before="100" w:beforeAutospacing="1" w:line="360" w:lineRule="auto"/>
        <w:rPr>
          <w:rFonts w:ascii="宋体" w:hAnsi="宋体" w:eastAsia="宋体" w:cs="宋体"/>
          <w:b/>
          <w:sz w:val="28"/>
          <w:szCs w:val="28"/>
        </w:rPr>
      </w:pPr>
      <w:r>
        <w:rPr>
          <w:rFonts w:hint="eastAsia" w:ascii="宋体" w:hAnsi="宋体" w:eastAsia="宋体" w:cs="宋体"/>
          <w:b/>
          <w:sz w:val="28"/>
          <w:szCs w:val="28"/>
        </w:rPr>
        <w:t>4.1 偏最小二乘法原理</w:t>
      </w:r>
    </w:p>
    <w:p>
      <w:pPr>
        <w:spacing w:before="100" w:beforeAutospacing="1" w:line="276" w:lineRule="auto"/>
        <w:ind w:firstLine="420"/>
        <w:jc w:val="both"/>
        <w:rPr>
          <w:rFonts w:ascii="宋体" w:hAnsi="宋体" w:eastAsia="宋体" w:cs="Times New Roman"/>
          <w:sz w:val="21"/>
          <w:szCs w:val="21"/>
        </w:rPr>
      </w:pPr>
      <w:r>
        <w:rPr>
          <w:rFonts w:hint="eastAsia" w:ascii="宋体" w:hAnsi="宋体" w:eastAsia="宋体" w:cs="Times New Roman"/>
          <w:sz w:val="21"/>
          <w:szCs w:val="21"/>
        </w:rPr>
        <w:t>偏最小二乘法（PLS）是基于因子分析的多变量校正方法，其数学基础为主成分分析。但它相对于主成分回归（PCR）更进了一步，两者的区别在于PLS法将浓度矩阵Y和相应的光谱强度矩阵X同时进行主成分分解：</w:t>
      </w:r>
    </w:p>
    <w:p>
      <w:pPr>
        <w:spacing w:before="100" w:beforeAutospacing="1" w:line="276" w:lineRule="auto"/>
        <w:ind w:firstLine="420"/>
        <w:jc w:val="both"/>
        <w:rPr>
          <w:rFonts w:ascii="宋体" w:hAnsi="宋体" w:eastAsia="宋体" w:cs="Times New Roman"/>
          <w:sz w:val="21"/>
          <w:szCs w:val="21"/>
        </w:rPr>
      </w:pPr>
      <w:r>
        <w:rPr>
          <w:rFonts w:hint="eastAsia" w:ascii="宋体" w:hAnsi="宋体" w:eastAsia="宋体" w:cs="Times New Roman"/>
          <w:i/>
          <w:sz w:val="21"/>
          <w:szCs w:val="21"/>
        </w:rPr>
        <w:t>X=TP+E</w:t>
      </w:r>
    </w:p>
    <w:p>
      <w:pPr>
        <w:spacing w:line="276" w:lineRule="auto"/>
        <w:ind w:firstLine="420" w:firstLineChars="200"/>
        <w:jc w:val="both"/>
        <w:rPr>
          <w:rFonts w:ascii="宋体" w:hAnsi="宋体" w:eastAsia="宋体" w:cs="Times New Roman"/>
          <w:i/>
          <w:sz w:val="21"/>
          <w:szCs w:val="21"/>
        </w:rPr>
      </w:pPr>
      <w:r>
        <w:rPr>
          <w:rFonts w:hint="eastAsia" w:ascii="宋体" w:hAnsi="宋体" w:eastAsia="宋体" w:cs="Times New Roman"/>
          <w:i/>
          <w:sz w:val="21"/>
          <w:szCs w:val="21"/>
        </w:rPr>
        <w:t>Y=UQ+F</w:t>
      </w:r>
    </w:p>
    <w:p>
      <w:pPr>
        <w:spacing w:line="276" w:lineRule="auto"/>
        <w:ind w:firstLine="315" w:firstLineChars="150"/>
        <w:jc w:val="both"/>
        <w:rPr>
          <w:rFonts w:ascii="宋体" w:hAnsi="宋体" w:eastAsia="宋体" w:cs="Times New Roman"/>
          <w:sz w:val="21"/>
          <w:szCs w:val="21"/>
        </w:rPr>
      </w:pPr>
      <w:r>
        <w:rPr>
          <w:rFonts w:hint="eastAsia" w:ascii="宋体" w:hAnsi="宋体" w:eastAsia="宋体" w:cs="Times New Roman"/>
          <w:sz w:val="21"/>
          <w:szCs w:val="21"/>
        </w:rPr>
        <w:t>式中T和U分别为X和Y的得分矩阵，而P和Q分别为X和Y的载荷矩阵，E和F分别为运用偏最小二乘法去拟合矩阵X和Y时所引进的误差。</w:t>
      </w:r>
    </w:p>
    <w:p>
      <w:pPr>
        <w:spacing w:line="276" w:lineRule="auto"/>
        <w:ind w:firstLine="420"/>
        <w:jc w:val="both"/>
        <w:rPr>
          <w:rFonts w:ascii="宋体" w:hAnsi="宋体" w:eastAsia="宋体" w:cs="Times New Roman"/>
          <w:sz w:val="21"/>
          <w:szCs w:val="21"/>
        </w:rPr>
      </w:pPr>
      <w:r>
        <w:rPr>
          <w:rFonts w:hint="eastAsia" w:ascii="宋体" w:hAnsi="宋体" w:eastAsia="宋体" w:cs="Times New Roman"/>
          <w:sz w:val="21"/>
          <w:szCs w:val="21"/>
        </w:rPr>
        <w:t>偏最小二乘法和主成分回归很相似，其差别在于用于描述变量Y中因子的同时也用于描述变量X。为了实现这一点，数学中是以矩阵Y的列去计算矩阵X的因子。同时，矩阵Y的因子则由矩阵X的列去预测。分解得到的T和U矩阵分别是除去了大部分测量误差的响应和浓度的信息。偏最小二乘法就是利用各列向量相互正交的特征响应矩阵T和特征浓度矩阵U进行回归：</w:t>
      </w:r>
    </w:p>
    <w:p>
      <w:pPr>
        <w:spacing w:line="276" w:lineRule="auto"/>
        <w:ind w:firstLine="420" w:firstLineChars="200"/>
        <w:rPr>
          <w:rFonts w:ascii="宋体" w:hAnsi="宋体" w:eastAsia="宋体" w:cs="Times New Roman"/>
          <w:sz w:val="21"/>
          <w:szCs w:val="21"/>
        </w:rPr>
      </w:pPr>
      <w:r>
        <w:rPr>
          <w:rFonts w:hint="eastAsia" w:ascii="宋体" w:hAnsi="宋体" w:eastAsia="宋体" w:cs="Times New Roman"/>
          <w:i/>
          <w:sz w:val="21"/>
          <w:szCs w:val="21"/>
        </w:rPr>
        <w:t>U=TB</w:t>
      </w:r>
    </w:p>
    <w:p>
      <w:pPr>
        <w:spacing w:line="276" w:lineRule="auto"/>
        <w:ind w:firstLine="420"/>
        <w:rPr>
          <w:rFonts w:ascii="宋体" w:hAnsi="宋体" w:eastAsia="宋体" w:cs="Times New Roman"/>
          <w:sz w:val="21"/>
          <w:szCs w:val="21"/>
        </w:rPr>
      </w:pPr>
      <w:r>
        <w:rPr>
          <w:rFonts w:hint="eastAsia" w:ascii="宋体" w:hAnsi="宋体" w:eastAsia="宋体" w:cs="Times New Roman"/>
          <w:sz w:val="21"/>
          <w:szCs w:val="21"/>
        </w:rPr>
        <w:t>得到回归系数矩阵，又称关联矩阵B：</w:t>
      </w:r>
    </w:p>
    <w:p>
      <w:pPr>
        <w:spacing w:line="276" w:lineRule="auto"/>
        <w:ind w:firstLine="420" w:firstLineChars="200"/>
        <w:rPr>
          <w:rFonts w:ascii="宋体" w:hAnsi="宋体" w:eastAsia="宋体" w:cs="Times New Roman"/>
          <w:i/>
          <w:sz w:val="21"/>
          <w:szCs w:val="21"/>
        </w:rPr>
      </w:pPr>
      <w:r>
        <w:rPr>
          <w:rFonts w:hint="eastAsia" w:ascii="宋体" w:hAnsi="宋体" w:eastAsia="宋体" w:cs="Times New Roman"/>
          <w:i/>
          <w:sz w:val="21"/>
          <w:szCs w:val="21"/>
        </w:rPr>
        <w:t>B=(T</w:t>
      </w:r>
      <w:r>
        <w:rPr>
          <w:rFonts w:hint="eastAsia" w:ascii="宋体" w:hAnsi="宋体" w:eastAsia="宋体" w:cs="Times New Roman"/>
          <w:i/>
          <w:sz w:val="21"/>
          <w:szCs w:val="21"/>
          <w:vertAlign w:val="superscript"/>
        </w:rPr>
        <w:t>T</w:t>
      </w:r>
      <w:r>
        <w:rPr>
          <w:rFonts w:hint="eastAsia" w:ascii="宋体" w:hAnsi="宋体" w:eastAsia="宋体" w:cs="Times New Roman"/>
          <w:i/>
          <w:sz w:val="21"/>
          <w:szCs w:val="21"/>
        </w:rPr>
        <w:t>T</w:t>
      </w:r>
      <w:r>
        <w:rPr>
          <w:rFonts w:hint="eastAsia" w:ascii="宋体" w:hAnsi="宋体" w:eastAsia="宋体" w:cs="Times New Roman"/>
          <w:i/>
          <w:sz w:val="21"/>
          <w:szCs w:val="21"/>
          <w:vertAlign w:val="superscript"/>
        </w:rPr>
        <w:t>-1</w:t>
      </w:r>
      <w:r>
        <w:rPr>
          <w:rFonts w:hint="eastAsia" w:ascii="宋体" w:hAnsi="宋体" w:eastAsia="宋体" w:cs="Times New Roman"/>
          <w:i/>
          <w:sz w:val="21"/>
          <w:szCs w:val="21"/>
        </w:rPr>
        <w:t>)T</w:t>
      </w:r>
      <w:r>
        <w:rPr>
          <w:rFonts w:hint="eastAsia" w:ascii="宋体" w:hAnsi="宋体" w:eastAsia="宋体" w:cs="Times New Roman"/>
          <w:i/>
          <w:sz w:val="21"/>
          <w:szCs w:val="21"/>
          <w:vertAlign w:val="superscript"/>
        </w:rPr>
        <w:t>T</w:t>
      </w:r>
      <w:r>
        <w:rPr>
          <w:rFonts w:hint="eastAsia" w:ascii="宋体" w:hAnsi="宋体" w:eastAsia="宋体" w:cs="Times New Roman"/>
          <w:i/>
          <w:sz w:val="21"/>
          <w:szCs w:val="21"/>
        </w:rPr>
        <w:t>U</w:t>
      </w:r>
    </w:p>
    <w:p>
      <w:pPr>
        <w:spacing w:line="276" w:lineRule="auto"/>
        <w:rPr>
          <w:rFonts w:ascii="宋体" w:hAnsi="宋体" w:eastAsia="宋体" w:cs="宋体"/>
          <w:sz w:val="21"/>
          <w:szCs w:val="21"/>
        </w:rPr>
      </w:pPr>
    </w:p>
    <w:p>
      <w:pPr>
        <w:spacing w:line="276" w:lineRule="auto"/>
        <w:rPr>
          <w:rFonts w:asciiTheme="minorEastAsia" w:hAnsiTheme="minorEastAsia" w:eastAsiaTheme="minorEastAsia"/>
          <w:b/>
          <w:sz w:val="28"/>
          <w:szCs w:val="28"/>
        </w:rPr>
      </w:pPr>
      <w:r>
        <w:rPr>
          <w:rFonts w:hint="eastAsia" w:asciiTheme="minorEastAsia" w:hAnsiTheme="minorEastAsia" w:eastAsiaTheme="minorEastAsia"/>
          <w:b/>
          <w:sz w:val="28"/>
          <w:szCs w:val="28"/>
        </w:rPr>
        <w:t>4.2偏最小二乘法算法</w:t>
      </w:r>
    </w:p>
    <w:p>
      <w:pPr>
        <w:spacing w:line="276" w:lineRule="auto"/>
        <w:ind w:firstLine="420" w:firstLineChars="200"/>
        <w:jc w:val="both"/>
        <w:rPr>
          <w:rFonts w:ascii="宋体" w:hAnsi="宋体" w:eastAsia="宋体" w:cs="宋体"/>
          <w:sz w:val="21"/>
          <w:szCs w:val="21"/>
        </w:rPr>
      </w:pPr>
      <w:r>
        <w:rPr>
          <w:rFonts w:hint="eastAsia" w:ascii="宋体" w:hAnsi="宋体" w:eastAsia="宋体" w:cs="Times New Roman"/>
          <w:sz w:val="21"/>
          <w:szCs w:val="21"/>
        </w:rPr>
        <w:t>偏最小二乘法的校正步骤包括对矩阵Y和矩阵X的主成分分解以及对关联矩阵B的计算。</w:t>
      </w:r>
      <w:r>
        <w:rPr>
          <w:rFonts w:hint="eastAsia" w:ascii="宋体" w:hAnsi="宋体" w:eastAsia="宋体" w:cs="宋体"/>
          <w:sz w:val="21"/>
          <w:szCs w:val="21"/>
        </w:rPr>
        <w:t>偏最小二乘法的步骤是首先把元素浓度矩阵Y和光谱强度矩阵X分解成载荷矩阵和得分矩阵，然后做主成分分析，选择适当的主成分数，滤除光谱矩阵和浓度矩阵中的噪声。最后，利用回归分析求出关联系数矩阵，通过校正，求出相对标准误差。具体步骤如下：</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(1) 矩阵X和Y的标准化处理</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(2) 取Y中任意一列赋给作为起始的u</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对于X矩阵</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(3) </w:t>
      </w:r>
      <w:r>
        <w:rPr>
          <w:rFonts w:hint="eastAsia" w:asciiTheme="minorEastAsia" w:hAnsiTheme="minorEastAsia" w:eastAsiaTheme="minorEastAsia"/>
          <w:i/>
          <w:sz w:val="21"/>
          <w:szCs w:val="21"/>
        </w:rPr>
        <w:t>w</w:t>
      </w:r>
      <w:r>
        <w:rPr>
          <w:rFonts w:hint="eastAsia" w:asciiTheme="minorEastAsia" w:hAnsiTheme="minorEastAsia" w:eastAsiaTheme="minorEastAsia"/>
          <w:i/>
          <w:sz w:val="21"/>
          <w:szCs w:val="21"/>
          <w:vertAlign w:val="superscript"/>
        </w:rPr>
        <w:t>T</w:t>
      </w:r>
      <w:r>
        <w:rPr>
          <w:rFonts w:hint="eastAsia" w:asciiTheme="minorEastAsia" w:hAnsiTheme="minorEastAsia" w:eastAsiaTheme="minorEastAsia"/>
          <w:i/>
          <w:sz w:val="21"/>
          <w:szCs w:val="21"/>
        </w:rPr>
        <w:t>=u</w:t>
      </w:r>
      <w:r>
        <w:rPr>
          <w:rFonts w:hint="eastAsia" w:asciiTheme="minorEastAsia" w:hAnsiTheme="minorEastAsia" w:eastAsiaTheme="minorEastAsia"/>
          <w:i/>
          <w:sz w:val="21"/>
          <w:szCs w:val="21"/>
          <w:vertAlign w:val="superscript"/>
        </w:rPr>
        <w:t>T</w:t>
      </w:r>
      <w:r>
        <w:rPr>
          <w:rFonts w:hint="eastAsia" w:asciiTheme="minorEastAsia" w:hAnsiTheme="minorEastAsia" w:eastAsiaTheme="minorEastAsia"/>
          <w:i/>
          <w:sz w:val="21"/>
          <w:szCs w:val="21"/>
        </w:rPr>
        <w:t>X/u</w:t>
      </w:r>
      <w:r>
        <w:rPr>
          <w:rFonts w:hint="eastAsia" w:asciiTheme="minorEastAsia" w:hAnsiTheme="minorEastAsia" w:eastAsiaTheme="minorEastAsia"/>
          <w:i/>
          <w:sz w:val="21"/>
          <w:szCs w:val="21"/>
          <w:vertAlign w:val="superscript"/>
        </w:rPr>
        <w:t>T</w:t>
      </w:r>
      <w:r>
        <w:rPr>
          <w:rFonts w:hint="eastAsia" w:asciiTheme="minorEastAsia" w:hAnsiTheme="minorEastAsia" w:eastAsiaTheme="minorEastAsia"/>
          <w:i/>
          <w:sz w:val="21"/>
          <w:szCs w:val="21"/>
        </w:rPr>
        <w:t>u</w:t>
      </w:r>
    </w:p>
    <w:p>
      <w:pPr>
        <w:spacing w:line="276" w:lineRule="auto"/>
        <w:jc w:val="both"/>
        <w:rPr>
          <w:rFonts w:ascii="宋体" w:hAnsi="宋体" w:eastAsia="宋体" w:cs="宋体"/>
          <w:sz w:val="21"/>
          <w:szCs w:val="21"/>
        </w:rPr>
      </w:pPr>
      <w:r>
        <w:rPr>
          <w:rFonts w:hint="eastAsia" w:asciiTheme="minorEastAsia" w:hAnsiTheme="minorEastAsia" w:eastAsiaTheme="minorEastAsia"/>
          <w:sz w:val="21"/>
          <w:szCs w:val="21"/>
        </w:rPr>
        <w:t xml:space="preserve">(4) </w:t>
      </w:r>
      <w:r>
        <w:rPr>
          <w:rFonts w:hint="eastAsia" w:ascii="宋体" w:hAnsi="宋体" w:eastAsia="宋体" w:cs="宋体"/>
          <w:sz w:val="21"/>
          <w:szCs w:val="21"/>
        </w:rPr>
        <w:t>归一化：</w:t>
      </w:r>
      <w:r>
        <w:rPr>
          <w:rFonts w:hint="eastAsia" w:ascii="宋体" w:hAnsi="宋体" w:eastAsia="宋体" w:cs="宋体"/>
          <w:position w:val="-12"/>
          <w:sz w:val="21"/>
          <w:szCs w:val="21"/>
        </w:rPr>
        <w:object>
          <v:shape id="_x0000_i1025" o:spt="75" type="#_x0000_t75" style="height:19pt;width:93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p>
    <w:p>
      <w:pPr>
        <w:spacing w:line="276" w:lineRule="auto"/>
        <w:jc w:val="both"/>
        <w:rPr>
          <w:rFonts w:asciiTheme="minorEastAsia" w:hAnsiTheme="minorEastAsia" w:eastAsiaTheme="minorEastAsia"/>
          <w:i/>
          <w:sz w:val="21"/>
          <w:szCs w:val="21"/>
        </w:rPr>
      </w:pPr>
      <w:r>
        <w:rPr>
          <w:rFonts w:hint="eastAsia" w:asciiTheme="minorEastAsia" w:hAnsiTheme="minorEastAsia" w:eastAsiaTheme="minorEastAsia"/>
          <w:sz w:val="21"/>
          <w:szCs w:val="21"/>
        </w:rPr>
        <w:t>(5) 计算新的t：</w:t>
      </w:r>
      <w:r>
        <w:rPr>
          <w:rFonts w:hint="eastAsia" w:asciiTheme="minorEastAsia" w:hAnsiTheme="minorEastAsia" w:eastAsiaTheme="minorEastAsia"/>
          <w:i/>
          <w:sz w:val="21"/>
          <w:szCs w:val="21"/>
        </w:rPr>
        <w:t>t=Xw/w</w:t>
      </w:r>
      <w:r>
        <w:rPr>
          <w:rFonts w:hint="eastAsia" w:asciiTheme="minorEastAsia" w:hAnsiTheme="minorEastAsia" w:eastAsiaTheme="minorEastAsia"/>
          <w:i/>
          <w:sz w:val="21"/>
          <w:szCs w:val="21"/>
          <w:vertAlign w:val="superscript"/>
        </w:rPr>
        <w:t>T</w:t>
      </w:r>
      <w:r>
        <w:rPr>
          <w:rFonts w:hint="eastAsia" w:asciiTheme="minorEastAsia" w:hAnsiTheme="minorEastAsia" w:eastAsiaTheme="minorEastAsia"/>
          <w:i/>
          <w:sz w:val="21"/>
          <w:szCs w:val="21"/>
        </w:rPr>
        <w:t>w</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对于Y矩阵</w:t>
      </w:r>
    </w:p>
    <w:p>
      <w:pPr>
        <w:spacing w:line="276" w:lineRule="auto"/>
        <w:jc w:val="both"/>
        <w:rPr>
          <w:rFonts w:asciiTheme="minorEastAsia" w:hAnsiTheme="minorEastAsia" w:eastAsiaTheme="minorEastAsia"/>
          <w:i/>
          <w:sz w:val="21"/>
          <w:szCs w:val="21"/>
        </w:rPr>
      </w:pPr>
      <w:r>
        <w:rPr>
          <w:rFonts w:hint="eastAsia" w:asciiTheme="minorEastAsia" w:hAnsiTheme="minorEastAsia" w:eastAsiaTheme="minorEastAsia"/>
          <w:sz w:val="21"/>
          <w:szCs w:val="21"/>
        </w:rPr>
        <w:t xml:space="preserve">(6) </w:t>
      </w:r>
      <w:r>
        <w:rPr>
          <w:rFonts w:hint="eastAsia" w:asciiTheme="minorEastAsia" w:hAnsiTheme="minorEastAsia" w:eastAsiaTheme="minorEastAsia"/>
          <w:i/>
          <w:sz w:val="21"/>
          <w:szCs w:val="21"/>
        </w:rPr>
        <w:t>q</w:t>
      </w:r>
      <w:r>
        <w:rPr>
          <w:rFonts w:hint="eastAsia" w:asciiTheme="minorEastAsia" w:hAnsiTheme="minorEastAsia" w:eastAsiaTheme="minorEastAsia"/>
          <w:i/>
          <w:sz w:val="21"/>
          <w:szCs w:val="21"/>
          <w:vertAlign w:val="superscript"/>
        </w:rPr>
        <w:t>T</w:t>
      </w:r>
      <w:r>
        <w:rPr>
          <w:rFonts w:hint="eastAsia" w:asciiTheme="minorEastAsia" w:hAnsiTheme="minorEastAsia" w:eastAsiaTheme="minorEastAsia"/>
          <w:i/>
          <w:sz w:val="21"/>
          <w:szCs w:val="21"/>
        </w:rPr>
        <w:t>=t</w:t>
      </w:r>
      <w:r>
        <w:rPr>
          <w:rFonts w:hint="eastAsia" w:asciiTheme="minorEastAsia" w:hAnsiTheme="minorEastAsia" w:eastAsiaTheme="minorEastAsia"/>
          <w:i/>
          <w:sz w:val="21"/>
          <w:szCs w:val="21"/>
          <w:vertAlign w:val="superscript"/>
        </w:rPr>
        <w:t>T</w:t>
      </w:r>
      <w:r>
        <w:rPr>
          <w:rFonts w:hint="eastAsia" w:asciiTheme="minorEastAsia" w:hAnsiTheme="minorEastAsia" w:eastAsiaTheme="minorEastAsia"/>
          <w:i/>
          <w:sz w:val="21"/>
          <w:szCs w:val="21"/>
        </w:rPr>
        <w:t>Y/t</w:t>
      </w:r>
      <w:r>
        <w:rPr>
          <w:rFonts w:hint="eastAsia" w:asciiTheme="minorEastAsia" w:hAnsiTheme="minorEastAsia" w:eastAsiaTheme="minorEastAsia"/>
          <w:i/>
          <w:sz w:val="21"/>
          <w:szCs w:val="21"/>
          <w:vertAlign w:val="superscript"/>
        </w:rPr>
        <w:t>T</w:t>
      </w:r>
      <w:r>
        <w:rPr>
          <w:rFonts w:hint="eastAsia" w:asciiTheme="minorEastAsia" w:hAnsiTheme="minorEastAsia" w:eastAsiaTheme="minorEastAsia"/>
          <w:i/>
          <w:sz w:val="21"/>
          <w:szCs w:val="21"/>
        </w:rPr>
        <w:t>t</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(7) 归一化：</w:t>
      </w:r>
      <w:r>
        <w:rPr>
          <w:rFonts w:asciiTheme="minorEastAsia" w:hAnsiTheme="minorEastAsia" w:eastAsiaTheme="minorEastAsia"/>
          <w:position w:val="-12"/>
          <w:sz w:val="21"/>
          <w:szCs w:val="21"/>
        </w:rPr>
        <w:object>
          <v:shape id="_x0000_i1026" o:spt="75" type="#_x0000_t75" style="height:19pt;width:87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(8) </w:t>
      </w:r>
      <w:r>
        <w:rPr>
          <w:rFonts w:hint="eastAsia" w:asciiTheme="minorEastAsia" w:hAnsiTheme="minorEastAsia" w:eastAsiaTheme="minorEastAsia"/>
          <w:i/>
          <w:sz w:val="21"/>
          <w:szCs w:val="21"/>
        </w:rPr>
        <w:t>u=Yq/q</w:t>
      </w:r>
      <w:r>
        <w:rPr>
          <w:rFonts w:hint="eastAsia" w:asciiTheme="minorEastAsia" w:hAnsiTheme="minorEastAsia" w:eastAsiaTheme="minorEastAsia"/>
          <w:i/>
          <w:sz w:val="21"/>
          <w:szCs w:val="21"/>
          <w:vertAlign w:val="superscript"/>
        </w:rPr>
        <w:t>T</w:t>
      </w:r>
      <w:r>
        <w:rPr>
          <w:rFonts w:hint="eastAsia" w:asciiTheme="minorEastAsia" w:hAnsiTheme="minorEastAsia" w:eastAsiaTheme="minorEastAsia"/>
          <w:i/>
          <w:sz w:val="21"/>
          <w:szCs w:val="21"/>
        </w:rPr>
        <w:t>q</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(9) 将步骤8所得的u 与前一次迭代的结果相比较，若等于（在允许误差范围内）,到步骤10，否则返回3。</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(10)  </w:t>
      </w:r>
      <w:r>
        <w:rPr>
          <w:rFonts w:hint="eastAsia" w:asciiTheme="minorEastAsia" w:hAnsiTheme="minorEastAsia" w:eastAsiaTheme="minorEastAsia"/>
          <w:i/>
          <w:sz w:val="21"/>
          <w:szCs w:val="21"/>
        </w:rPr>
        <w:t>p</w:t>
      </w:r>
      <w:r>
        <w:rPr>
          <w:rFonts w:hint="eastAsia" w:asciiTheme="minorEastAsia" w:hAnsiTheme="minorEastAsia" w:eastAsiaTheme="minorEastAsia"/>
          <w:i/>
          <w:sz w:val="21"/>
          <w:szCs w:val="21"/>
          <w:vertAlign w:val="superscript"/>
        </w:rPr>
        <w:t>T</w:t>
      </w:r>
      <w:r>
        <w:rPr>
          <w:rFonts w:hint="eastAsia" w:asciiTheme="minorEastAsia" w:hAnsiTheme="minorEastAsia" w:eastAsiaTheme="minorEastAsia"/>
          <w:i/>
          <w:sz w:val="21"/>
          <w:szCs w:val="21"/>
        </w:rPr>
        <w:t>=t</w:t>
      </w:r>
      <w:r>
        <w:rPr>
          <w:rFonts w:hint="eastAsia" w:asciiTheme="minorEastAsia" w:hAnsiTheme="minorEastAsia" w:eastAsiaTheme="minorEastAsia"/>
          <w:i/>
          <w:sz w:val="21"/>
          <w:szCs w:val="21"/>
          <w:vertAlign w:val="superscript"/>
        </w:rPr>
        <w:t>T</w:t>
      </w:r>
      <w:r>
        <w:rPr>
          <w:rFonts w:hint="eastAsia" w:asciiTheme="minorEastAsia" w:hAnsiTheme="minorEastAsia" w:eastAsiaTheme="minorEastAsia"/>
          <w:i/>
          <w:sz w:val="21"/>
          <w:szCs w:val="21"/>
        </w:rPr>
        <w:t>X/t</w:t>
      </w:r>
      <w:r>
        <w:rPr>
          <w:rFonts w:hint="eastAsia" w:asciiTheme="minorEastAsia" w:hAnsiTheme="minorEastAsia" w:eastAsiaTheme="minorEastAsia"/>
          <w:i/>
          <w:sz w:val="21"/>
          <w:szCs w:val="21"/>
          <w:vertAlign w:val="superscript"/>
        </w:rPr>
        <w:t>T</w:t>
      </w:r>
      <w:r>
        <w:rPr>
          <w:rFonts w:hint="eastAsia" w:asciiTheme="minorEastAsia" w:hAnsiTheme="minorEastAsia" w:eastAsiaTheme="minorEastAsia"/>
          <w:i/>
          <w:sz w:val="21"/>
          <w:szCs w:val="21"/>
        </w:rPr>
        <w:t>t</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(11) 归一化：</w:t>
      </w:r>
      <w:r>
        <w:rPr>
          <w:rFonts w:asciiTheme="minorEastAsia" w:hAnsiTheme="minorEastAsia" w:eastAsiaTheme="minorEastAsia"/>
          <w:position w:val="-12"/>
          <w:sz w:val="21"/>
          <w:szCs w:val="21"/>
        </w:rPr>
        <w:object>
          <v:shape id="_x0000_i1027" o:spt="75" type="#_x0000_t75" style="height:19pt;width:92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7" r:id="rId13">
            <o:LockedField>false</o:LockedField>
          </o:OLEObject>
        </w:object>
      </w:r>
    </w:p>
    <w:p>
      <w:pPr>
        <w:spacing w:line="276" w:lineRule="auto"/>
        <w:jc w:val="both"/>
        <w:rPr>
          <w:rFonts w:asciiTheme="minorEastAsia" w:hAnsiTheme="minorEastAsia" w:eastAsiaTheme="minorEastAsia"/>
          <w:i/>
          <w:sz w:val="21"/>
          <w:szCs w:val="21"/>
        </w:rPr>
      </w:pPr>
      <w:r>
        <w:rPr>
          <w:rFonts w:hint="eastAsia" w:asciiTheme="minorEastAsia" w:hAnsiTheme="minorEastAsia" w:eastAsiaTheme="minorEastAsia"/>
          <w:sz w:val="21"/>
          <w:szCs w:val="21"/>
        </w:rPr>
        <w:t xml:space="preserve">(12)  </w:t>
      </w:r>
      <w:r>
        <w:rPr>
          <w:rFonts w:hint="eastAsia" w:asciiTheme="minorEastAsia" w:hAnsiTheme="minorEastAsia" w:eastAsiaTheme="minorEastAsia"/>
          <w:i/>
          <w:sz w:val="21"/>
          <w:szCs w:val="21"/>
        </w:rPr>
        <w:t>t</w:t>
      </w:r>
      <w:r>
        <w:rPr>
          <w:rFonts w:hint="eastAsia" w:asciiTheme="minorEastAsia" w:hAnsiTheme="minorEastAsia" w:eastAsiaTheme="minorEastAsia"/>
          <w:i/>
          <w:sz w:val="21"/>
          <w:szCs w:val="21"/>
          <w:vertAlign w:val="subscript"/>
        </w:rPr>
        <w:t>new</w:t>
      </w:r>
      <w:r>
        <w:rPr>
          <w:rFonts w:hint="eastAsia" w:asciiTheme="minorEastAsia" w:hAnsiTheme="minorEastAsia" w:eastAsiaTheme="minorEastAsia"/>
          <w:i/>
          <w:sz w:val="21"/>
          <w:szCs w:val="21"/>
        </w:rPr>
        <w:t xml:space="preserve"> = t</w:t>
      </w:r>
      <w:r>
        <w:rPr>
          <w:rFonts w:hint="eastAsia" w:asciiTheme="minorEastAsia" w:hAnsiTheme="minorEastAsia" w:eastAsiaTheme="minorEastAsia"/>
          <w:i/>
          <w:sz w:val="21"/>
          <w:szCs w:val="21"/>
          <w:vertAlign w:val="subscript"/>
        </w:rPr>
        <w:t>old</w:t>
      </w:r>
      <w:r>
        <w:rPr>
          <w:rFonts w:hint="eastAsia" w:asciiTheme="minorEastAsia" w:hAnsiTheme="minorEastAsia" w:eastAsiaTheme="minorEastAsia"/>
          <w:i/>
          <w:sz w:val="21"/>
          <w:szCs w:val="21"/>
        </w:rPr>
        <w:t xml:space="preserve"> </w:t>
      </w:r>
      <w:r>
        <w:rPr>
          <w:rFonts w:asciiTheme="minorEastAsia" w:hAnsiTheme="minorEastAsia" w:eastAsiaTheme="minorEastAsia"/>
          <w:i/>
          <w:sz w:val="21"/>
          <w:szCs w:val="21"/>
        </w:rPr>
        <w:t>·</w:t>
      </w:r>
      <w:r>
        <w:rPr>
          <w:rFonts w:hint="eastAsia" w:asciiTheme="minorEastAsia" w:hAnsiTheme="minorEastAsia" w:eastAsiaTheme="minorEastAsia"/>
          <w:i/>
          <w:sz w:val="21"/>
          <w:szCs w:val="21"/>
        </w:rPr>
        <w:t>|| p</w:t>
      </w:r>
      <w:r>
        <w:rPr>
          <w:rFonts w:hint="eastAsia" w:asciiTheme="minorEastAsia" w:hAnsiTheme="minorEastAsia" w:eastAsiaTheme="minorEastAsia"/>
          <w:i/>
          <w:sz w:val="21"/>
          <w:szCs w:val="21"/>
          <w:vertAlign w:val="subscript"/>
        </w:rPr>
        <w:t>old</w:t>
      </w:r>
      <w:r>
        <w:rPr>
          <w:rFonts w:hint="eastAsia" w:asciiTheme="minorEastAsia" w:hAnsiTheme="minorEastAsia" w:eastAsiaTheme="minorEastAsia"/>
          <w:i/>
          <w:sz w:val="21"/>
          <w:szCs w:val="21"/>
        </w:rPr>
        <w:t>||</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(13) 计算回归系数b 以用于内部关联：</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(14) </w:t>
      </w:r>
      <w:r>
        <w:rPr>
          <w:rFonts w:hint="eastAsia" w:asciiTheme="minorEastAsia" w:hAnsiTheme="minorEastAsia" w:eastAsiaTheme="minorEastAsia"/>
          <w:i/>
          <w:sz w:val="21"/>
          <w:szCs w:val="21"/>
        </w:rPr>
        <w:t>b=u</w:t>
      </w:r>
      <w:r>
        <w:rPr>
          <w:rFonts w:hint="eastAsia" w:asciiTheme="minorEastAsia" w:hAnsiTheme="minorEastAsia" w:eastAsiaTheme="minorEastAsia"/>
          <w:i/>
          <w:sz w:val="21"/>
          <w:szCs w:val="21"/>
          <w:vertAlign w:val="superscript"/>
        </w:rPr>
        <w:t>T</w:t>
      </w:r>
      <w:r>
        <w:rPr>
          <w:rFonts w:hint="eastAsia" w:asciiTheme="minorEastAsia" w:hAnsiTheme="minorEastAsia" w:eastAsiaTheme="minorEastAsia"/>
          <w:i/>
          <w:sz w:val="21"/>
          <w:szCs w:val="21"/>
        </w:rPr>
        <w:t>t/t</w:t>
      </w:r>
      <w:r>
        <w:rPr>
          <w:rFonts w:hint="eastAsia" w:asciiTheme="minorEastAsia" w:hAnsiTheme="minorEastAsia" w:eastAsiaTheme="minorEastAsia"/>
          <w:i/>
          <w:sz w:val="21"/>
          <w:szCs w:val="21"/>
          <w:vertAlign w:val="superscript"/>
        </w:rPr>
        <w:t>T</w:t>
      </w:r>
      <w:r>
        <w:rPr>
          <w:rFonts w:hint="eastAsia" w:asciiTheme="minorEastAsia" w:hAnsiTheme="minorEastAsia" w:eastAsiaTheme="minorEastAsia"/>
          <w:i/>
          <w:sz w:val="21"/>
          <w:szCs w:val="21"/>
        </w:rPr>
        <w:t>t</w:t>
      </w:r>
      <w:r>
        <w:rPr>
          <w:rFonts w:hint="eastAsia" w:asciiTheme="minorEastAsia" w:hAnsiTheme="minorEastAsia" w:eastAsiaTheme="minorEastAsia"/>
          <w:sz w:val="21"/>
          <w:szCs w:val="21"/>
        </w:rPr>
        <w:t xml:space="preserve"> 对于主成分h计算残差：</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(15) </w:t>
      </w:r>
      <w:r>
        <w:rPr>
          <w:rFonts w:asciiTheme="minorEastAsia" w:hAnsiTheme="minorEastAsia" w:eastAsiaTheme="minorEastAsia"/>
          <w:position w:val="-12"/>
          <w:sz w:val="21"/>
          <w:szCs w:val="21"/>
        </w:rPr>
        <w:object>
          <v:shape id="_x0000_i1028" o:spt="75" type="#_x0000_t75" style="height:19.5pt;width:75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5">
            <o:LockedField>false</o:LockedField>
          </o:OLEObject>
        </w:objec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(16)</w:t>
      </w:r>
      <w:r>
        <w:rPr>
          <w:rFonts w:asciiTheme="minorEastAsia" w:hAnsiTheme="minorEastAsia" w:eastAsiaTheme="minorEastAsia"/>
          <w:sz w:val="21"/>
          <w:szCs w:val="21"/>
        </w:rPr>
        <w:t xml:space="preserve"> </w:t>
      </w:r>
      <w:r>
        <w:rPr>
          <w:rFonts w:asciiTheme="minorEastAsia" w:hAnsiTheme="minorEastAsia" w:eastAsiaTheme="minorEastAsia"/>
          <w:position w:val="-12"/>
          <w:sz w:val="21"/>
          <w:szCs w:val="21"/>
        </w:rPr>
        <w:object>
          <v:shape id="_x0000_i1029" o:spt="75" type="#_x0000_t75" style="height:19pt;width:93.5pt;" o:ole="t" filled="f" o:preferrelative="t" stroked="f" coordsize="21600,21600">
            <v:path/>
            <v:fill on="f" focussize="0,0"/>
            <v:stroke on="f" joinstyle="miter"/>
            <v:imagedata r:id="rId18" o:title=""/>
            <o:lock v:ext="edit" aspectratio="t"/>
            <w10:wrap type="none"/>
            <w10:anchorlock/>
          </v:shape>
          <o:OLEObject Type="Embed" ProgID="Equation.DSMT4" ShapeID="_x0000_i1029" DrawAspect="Content" ObjectID="_1468075729" r:id="rId17">
            <o:LockedField>false</o:LockedField>
          </o:OLEObject>
        </w:objec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之后回到步骤(2),去进行下一主成分的运算，直到残差趋近于零。</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未知样品预测</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(17) 校正部分，将X矩阵标准化</w:t>
      </w:r>
      <w:r>
        <w:rPr>
          <w:rFonts w:asciiTheme="minorEastAsia" w:hAnsiTheme="minorEastAsia" w:eastAsiaTheme="minorEastAsia"/>
          <w:position w:val="-12"/>
          <w:sz w:val="21"/>
          <w:szCs w:val="21"/>
        </w:rPr>
        <w:object>
          <v:shape id="_x0000_i1030" o:spt="75" type="#_x0000_t75" style="height:19pt;width:93pt;" o:ole="t" filled="f" o:preferrelative="t" stroked="f" coordsize="21600,21600">
            <v:path/>
            <v:fill on="f" focussize="0,0"/>
            <v:stroke on="f" joinstyle="miter"/>
            <v:imagedata r:id="rId20" o:title=""/>
            <o:lock v:ext="edit" aspectratio="t"/>
            <w10:wrap type="none"/>
            <w10:anchorlock/>
          </v:shape>
          <o:OLEObject Type="Embed" ProgID="Equation.DSMT4" ShapeID="_x0000_i1030" DrawAspect="Content" ObjectID="_1468075730" r:id="rId19">
            <o:LockedField>false</o:LockedField>
          </o:OLEObject>
        </w:objec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(18) </w:t>
      </w:r>
      <w:r>
        <w:rPr>
          <w:rFonts w:hint="eastAsia" w:asciiTheme="minorEastAsia" w:hAnsiTheme="minorEastAsia" w:eastAsiaTheme="minorEastAsia"/>
          <w:i/>
          <w:sz w:val="21"/>
          <w:szCs w:val="21"/>
        </w:rPr>
        <w:t>h=0</w:t>
      </w:r>
      <w:r>
        <w:rPr>
          <w:rFonts w:hint="eastAsia" w:asciiTheme="minorEastAsia" w:hAnsiTheme="minorEastAsia" w:eastAsiaTheme="minorEastAsia"/>
          <w:sz w:val="21"/>
          <w:szCs w:val="21"/>
        </w:rPr>
        <w:t>，</w:t>
      </w:r>
      <w:r>
        <w:rPr>
          <w:rFonts w:hint="eastAsia" w:asciiTheme="minorEastAsia" w:hAnsiTheme="minorEastAsia" w:eastAsiaTheme="minorEastAsia"/>
          <w:i/>
          <w:sz w:val="21"/>
          <w:szCs w:val="21"/>
        </w:rPr>
        <w:t>y=0</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(19)</w:t>
      </w:r>
      <w:r>
        <w:rPr>
          <w:rFonts w:hint="eastAsia" w:asciiTheme="minorEastAsia" w:hAnsiTheme="minorEastAsia" w:eastAsiaTheme="minorEastAsia"/>
          <w:i/>
          <w:sz w:val="21"/>
          <w:szCs w:val="21"/>
        </w:rPr>
        <w:t xml:space="preserve"> h=h+</w:t>
      </w:r>
      <w:r>
        <w:rPr>
          <w:rFonts w:hint="eastAsia" w:asciiTheme="minorEastAsia" w:hAnsiTheme="minorEastAsia" w:eastAsiaTheme="minorEastAsia"/>
          <w:sz w:val="21"/>
          <w:szCs w:val="21"/>
        </w:rPr>
        <w:t>1,</w:t>
      </w:r>
      <w:r>
        <w:rPr>
          <w:rFonts w:hint="eastAsia" w:ascii="宋体" w:hAnsi="宋体" w:eastAsia="宋体" w:cs="宋体"/>
          <w:position w:val="-12"/>
          <w:sz w:val="21"/>
          <w:szCs w:val="21"/>
        </w:rPr>
        <w:object>
          <v:shape id="_x0000_i1031" o:spt="75" type="#_x0000_t75" style="height:19pt;width:48.5pt;" o:ole="t" filled="f" o:preferrelative="t" stroked="f" coordsize="21600,21600">
            <v:path/>
            <v:fill on="f" focussize="0,0"/>
            <v:stroke on="f" joinstyle="miter"/>
            <v:imagedata r:id="rId22" o:title=""/>
            <o:lock v:ext="edit" aspectratio="t"/>
            <w10:wrap type="none"/>
            <w10:anchorlock/>
          </v:shape>
          <o:OLEObject Type="Embed" ProgID="Equation.DSMT4" ShapeID="_x0000_i1031" DrawAspect="Content" ObjectID="_1468075731" r:id="rId21">
            <o:LockedField>false</o:LockedField>
          </o:OLEObject>
        </w:object>
      </w:r>
      <w:r>
        <w:rPr>
          <w:rFonts w:hint="eastAsia" w:ascii="宋体" w:hAnsi="宋体" w:eastAsia="宋体" w:cs="宋体"/>
          <w:sz w:val="21"/>
          <w:szCs w:val="21"/>
        </w:rPr>
        <w:t>,</w:t>
      </w:r>
      <w:r>
        <w:rPr>
          <w:rFonts w:hint="eastAsia" w:ascii="宋体" w:hAnsi="宋体" w:eastAsia="宋体" w:cs="宋体"/>
          <w:position w:val="-12"/>
          <w:sz w:val="21"/>
          <w:szCs w:val="21"/>
        </w:rPr>
        <w:object>
          <v:shape id="_x0000_i1032" o:spt="75" type="#_x0000_t75" style="height:19pt;width:78.5pt;" o:ole="t" filled="f" o:preferrelative="t" stroked="f" coordsize="21600,21600">
            <v:path/>
            <v:fill on="f" focussize="0,0"/>
            <v:stroke on="f" joinstyle="miter"/>
            <v:imagedata r:id="rId24" o:title=""/>
            <o:lock v:ext="edit" aspectratio="t"/>
            <w10:wrap type="none"/>
            <w10:anchorlock/>
          </v:shape>
          <o:OLEObject Type="Embed" ProgID="Equation.DSMT4" ShapeID="_x0000_i1032" DrawAspect="Content" ObjectID="_1468075732" r:id="rId23">
            <o:LockedField>false</o:LockedField>
          </o:OLEObject>
        </w:object>
      </w:r>
      <w:r>
        <w:rPr>
          <w:rFonts w:hint="eastAsia" w:ascii="宋体" w:hAnsi="宋体" w:eastAsia="宋体" w:cs="宋体"/>
          <w:sz w:val="21"/>
          <w:szCs w:val="21"/>
        </w:rPr>
        <w:t>,</w:t>
      </w:r>
      <w:r>
        <w:rPr>
          <w:rFonts w:hint="eastAsia" w:ascii="宋体" w:hAnsi="宋体" w:eastAsia="宋体" w:cs="宋体"/>
          <w:position w:val="-12"/>
          <w:sz w:val="21"/>
          <w:szCs w:val="21"/>
        </w:rPr>
        <w:object>
          <v:shape id="_x0000_i1033" o:spt="75" type="#_x0000_t75" style="height:19pt;width:60pt;" o:ole="t" filled="f" o:preferrelative="t" stroked="f" coordsize="21600,21600">
            <v:path/>
            <v:fill on="f" focussize="0,0"/>
            <v:stroke on="f" joinstyle="miter"/>
            <v:imagedata r:id="rId26" o:title=""/>
            <o:lock v:ext="edit" aspectratio="t"/>
            <w10:wrap type="none"/>
            <w10:anchorlock/>
          </v:shape>
          <o:OLEObject Type="Embed" ProgID="Equation.DSMT4" ShapeID="_x0000_i1033" DrawAspect="Content" ObjectID="_1468075733" r:id="rId25">
            <o:LockedField>false</o:LockedField>
          </o:OLEObject>
        </w:objec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(20) 若h&gt;a(主成分数)，到步骤(21)。否则返回步骤(19)</w:t>
      </w:r>
    </w:p>
    <w:p>
      <w:pPr>
        <w:spacing w:line="276" w:lineRule="auto"/>
        <w:jc w:val="both"/>
        <w:rPr>
          <w:rFonts w:asciiTheme="minorEastAsia" w:hAnsiTheme="minorEastAsia" w:eastAsiaTheme="minorEastAsia"/>
          <w:sz w:val="21"/>
          <w:szCs w:val="21"/>
        </w:rPr>
      </w:pPr>
      <w:r>
        <w:rPr>
          <w:rFonts w:hint="eastAsia" w:asciiTheme="minorEastAsia" w:hAnsiTheme="minorEastAsia" w:eastAsiaTheme="minorEastAsia"/>
          <w:sz w:val="21"/>
          <w:szCs w:val="21"/>
        </w:rPr>
        <w:t>（21）得到的Y已经标准化，因此需要按标准化步骤的相反操作，将之复原到原坐标注意的是对预测集进行标准化处理的时，使用的是训练集的均值和标准偏差。因此在进行反标准化操作时，使用的也应该是训练集的均值和标准偏差。</w:t>
      </w:r>
    </w:p>
    <w:p>
      <w:pPr>
        <w:spacing w:line="276" w:lineRule="auto"/>
        <w:jc w:val="both"/>
        <w:rPr>
          <w:rFonts w:asciiTheme="minorEastAsia" w:hAnsiTheme="minorEastAsia" w:eastAsiaTheme="minorEastAsia"/>
          <w:sz w:val="21"/>
          <w:szCs w:val="21"/>
        </w:rPr>
        <w:sectPr>
          <w:type w:val="continuous"/>
          <w:pgSz w:w="11906" w:h="16838"/>
          <w:pgMar w:top="1440" w:right="1800" w:bottom="1440" w:left="1800" w:header="708" w:footer="708" w:gutter="0"/>
          <w:cols w:space="440" w:num="2"/>
          <w:docGrid w:linePitch="360" w:charSpace="0"/>
        </w:sectPr>
      </w:pPr>
    </w:p>
    <w:p>
      <w:pPr>
        <w:spacing w:line="276" w:lineRule="auto"/>
        <w:jc w:val="both"/>
        <w:rPr>
          <w:rFonts w:asciiTheme="minorEastAsia" w:hAnsiTheme="minorEastAsia" w:eastAsiaTheme="minorEastAsia"/>
          <w:b/>
          <w:sz w:val="28"/>
          <w:szCs w:val="28"/>
        </w:rPr>
      </w:pPr>
      <w:r>
        <w:rPr>
          <w:rFonts w:hint="eastAsia" w:asciiTheme="minorEastAsia" w:hAnsiTheme="minorEastAsia" w:eastAsiaTheme="minorEastAsia"/>
          <w:b/>
          <w:sz w:val="28"/>
          <w:szCs w:val="28"/>
        </w:rPr>
        <w:t>4.3偏最小二乘法算法流程图</w:t>
      </w:r>
    </w:p>
    <w:p>
      <w:pPr>
        <w:spacing w:line="276" w:lineRule="auto"/>
        <w:jc w:val="both"/>
        <w:rPr>
          <w:rFonts w:asciiTheme="minorEastAsia" w:hAnsiTheme="minorEastAsia" w:eastAsiaTheme="minorEastAsia"/>
          <w:sz w:val="24"/>
          <w:szCs w:val="24"/>
        </w:rPr>
        <w:sectPr>
          <w:type w:val="continuous"/>
          <w:pgSz w:w="11906" w:h="16838"/>
          <w:pgMar w:top="1440" w:right="1800" w:bottom="1440" w:left="1800" w:header="708" w:footer="708" w:gutter="0"/>
          <w:cols w:space="440" w:num="2"/>
          <w:docGrid w:linePitch="360" w:charSpace="0"/>
        </w:sectPr>
      </w:pPr>
    </w:p>
    <w:p>
      <w:pPr>
        <w:spacing w:line="276" w:lineRule="auto"/>
        <w:rPr>
          <w:rFonts w:asciiTheme="minorEastAsia" w:hAnsiTheme="minorEastAsia" w:eastAsiaTheme="minorEastAsia"/>
          <w:sz w:val="24"/>
          <w:szCs w:val="24"/>
        </w:rPr>
        <w:sectPr>
          <w:type w:val="continuous"/>
          <w:pgSz w:w="11906" w:h="16838"/>
          <w:pgMar w:top="1440" w:right="1800" w:bottom="1440" w:left="1800" w:header="708" w:footer="708" w:gutter="0"/>
          <w:cols w:space="440" w:num="2"/>
          <w:docGrid w:linePitch="360" w:charSpace="0"/>
        </w:sectPr>
      </w:pPr>
    </w:p>
    <w:p>
      <w:pPr>
        <w:spacing w:line="276" w:lineRule="auto"/>
        <w:rPr>
          <w:rFonts w:asciiTheme="minorEastAsia" w:hAnsiTheme="minorEastAsia" w:eastAsiaTheme="minorEastAsia"/>
          <w:sz w:val="24"/>
          <w:szCs w:val="24"/>
        </w:rPr>
      </w:pPr>
      <w:r>
        <w:rPr>
          <w:rFonts w:asciiTheme="minorEastAsia" w:hAnsiTheme="minorEastAsia" w:eastAsiaTheme="minorEastAsia"/>
          <w:sz w:val="24"/>
          <w:szCs w:val="24"/>
        </w:rPr>
        <w:drawing>
          <wp:inline distT="0" distB="0" distL="0" distR="0">
            <wp:extent cx="1685925" cy="2520950"/>
            <wp:effectExtent l="19050" t="0" r="9525" b="0"/>
            <wp:docPr id="2" name="图片 10" descr="I:\搜狗截图16年11月29日104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搜狗截图16年11月29日1043_1.png"/>
                    <pic:cNvPicPr>
                      <a:picLocks noChangeAspect="1" noChangeArrowheads="1"/>
                    </pic:cNvPicPr>
                  </pic:nvPicPr>
                  <pic:blipFill>
                    <a:blip r:embed="rId27" cstate="print"/>
                    <a:srcRect/>
                    <a:stretch>
                      <a:fillRect/>
                    </a:stretch>
                  </pic:blipFill>
                  <pic:spPr>
                    <a:xfrm>
                      <a:off x="0" y="0"/>
                      <a:ext cx="1685925" cy="2520950"/>
                    </a:xfrm>
                    <a:prstGeom prst="rect">
                      <a:avLst/>
                    </a:prstGeom>
                    <a:noFill/>
                    <a:ln w="9525">
                      <a:noFill/>
                      <a:miter lim="800000"/>
                      <a:headEnd/>
                      <a:tailEnd/>
                    </a:ln>
                  </pic:spPr>
                </pic:pic>
              </a:graphicData>
            </a:graphic>
          </wp:inline>
        </w:drawing>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5．激光诱导击穿光谱技术测定钢水中元素的浓度实验</w:t>
      </w:r>
    </w:p>
    <w:p>
      <w:pPr>
        <w:spacing w:line="276" w:lineRule="auto"/>
        <w:ind w:firstLine="420" w:firstLineChars="200"/>
        <w:jc w:val="both"/>
        <w:rPr>
          <w:rFonts w:asciiTheme="minorEastAsia" w:hAnsiTheme="minorEastAsia" w:eastAsiaTheme="minorEastAsia"/>
          <w:sz w:val="21"/>
          <w:szCs w:val="21"/>
        </w:rPr>
      </w:pPr>
      <w:bookmarkStart w:id="1" w:name="OLE_LINK6"/>
      <w:r>
        <w:rPr>
          <w:rFonts w:hint="eastAsia" w:asciiTheme="minorEastAsia" w:hAnsiTheme="minorEastAsia" w:eastAsiaTheme="minorEastAsia"/>
          <w:sz w:val="21"/>
          <w:szCs w:val="21"/>
        </w:rPr>
        <w:t>实验选用了三种常用的液态合金</w:t>
      </w:r>
      <w:bookmarkEnd w:id="1"/>
      <w:r>
        <w:rPr>
          <w:rFonts w:hint="eastAsia" w:asciiTheme="minorEastAsia" w:hAnsiTheme="minorEastAsia" w:eastAsiaTheme="minorEastAsia"/>
          <w:sz w:val="21"/>
          <w:szCs w:val="21"/>
        </w:rPr>
        <w:t>，</w:t>
      </w:r>
      <w:bookmarkStart w:id="2" w:name="OLE_LINK9"/>
      <w:r>
        <w:rPr>
          <w:rFonts w:hint="eastAsia" w:asciiTheme="minorEastAsia" w:hAnsiTheme="minorEastAsia" w:eastAsiaTheme="minorEastAsia"/>
          <w:sz w:val="21"/>
          <w:szCs w:val="21"/>
        </w:rPr>
        <w:t>各种合金的元素浓度信息如表1所示，</w:t>
      </w:r>
      <w:bookmarkEnd w:id="2"/>
      <w:r>
        <w:rPr>
          <w:rFonts w:hint="eastAsia" w:asciiTheme="minorEastAsia" w:hAnsiTheme="minorEastAsia" w:eastAsiaTheme="minorEastAsia"/>
          <w:sz w:val="21"/>
          <w:szCs w:val="21"/>
        </w:rPr>
        <w:t>将样品放置在旋转的样品池中，脉冲激光水平出射，由反射镜反射透过垂直方向上的聚焦透镜（焦距为 200mm）。激光聚焦烧蚀样品，形成高温等离子体，主要仪器包括Nd：YAG  调 Q脉冲激光器（Elite－200；北京镭宝光电技术有限公司），工作波长为 532nm，脉宽</w:t>
      </w:r>
      <w:r>
        <w:rPr>
          <w:rFonts w:hint="eastAsia"/>
        </w:rPr>
        <w:t xml:space="preserve"> </w:t>
      </w:r>
      <w:r>
        <w:rPr>
          <w:rFonts w:hint="eastAsia" w:asciiTheme="minorEastAsia" w:hAnsiTheme="minorEastAsia" w:eastAsiaTheme="minorEastAsia"/>
          <w:sz w:val="21"/>
          <w:szCs w:val="21"/>
        </w:rPr>
        <w:t>6ns，最大激光能量 100mJ，能量波动&lt;5％</w:t>
      </w:r>
    </w:p>
    <w:tbl>
      <w:tblPr>
        <w:tblStyle w:val="6"/>
        <w:tblW w:w="5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573"/>
        <w:gridCol w:w="627"/>
        <w:gridCol w:w="645"/>
        <w:gridCol w:w="505"/>
        <w:gridCol w:w="116"/>
        <w:gridCol w:w="561"/>
        <w:gridCol w:w="621"/>
        <w:gridCol w:w="635"/>
        <w:gridCol w:w="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572" w:type="dxa"/>
            <w:tcBorders>
              <w:top w:val="single" w:color="auto" w:sz="12" w:space="0"/>
              <w:left w:val="nil"/>
              <w:right w:val="nil"/>
            </w:tcBorders>
            <w:shd w:val="clear" w:color="auto" w:fill="auto"/>
            <w:vAlign w:val="center"/>
          </w:tcPr>
          <w:p>
            <w:pPr>
              <w:jc w:val="center"/>
              <w:rPr>
                <w:sz w:val="18"/>
                <w:szCs w:val="18"/>
              </w:rPr>
            </w:pPr>
            <w:bookmarkStart w:id="3" w:name="OLE_LINK17"/>
            <w:r>
              <w:rPr>
                <w:rFonts w:hint="eastAsia"/>
                <w:b/>
                <w:bCs/>
                <w:sz w:val="15"/>
                <w:szCs w:val="15"/>
              </w:rPr>
              <w:t>样品</w:t>
            </w:r>
          </w:p>
        </w:tc>
        <w:tc>
          <w:tcPr>
            <w:tcW w:w="573" w:type="dxa"/>
            <w:tcBorders>
              <w:top w:val="single" w:color="auto" w:sz="12" w:space="0"/>
              <w:left w:val="nil"/>
              <w:right w:val="nil"/>
            </w:tcBorders>
            <w:shd w:val="clear" w:color="auto" w:fill="auto"/>
            <w:vAlign w:val="center"/>
          </w:tcPr>
          <w:p>
            <w:pPr>
              <w:jc w:val="center"/>
              <w:textAlignment w:val="center"/>
              <w:rPr>
                <w:sz w:val="18"/>
                <w:szCs w:val="18"/>
              </w:rPr>
            </w:pPr>
            <w:r>
              <w:rPr>
                <w:rFonts w:hint="eastAsia" w:ascii="宋体" w:hAnsi="宋体" w:cs="宋体"/>
                <w:b/>
                <w:color w:val="000000"/>
                <w:sz w:val="18"/>
                <w:szCs w:val="18"/>
              </w:rPr>
              <w:t>C/%</w:t>
            </w:r>
          </w:p>
        </w:tc>
        <w:tc>
          <w:tcPr>
            <w:tcW w:w="627" w:type="dxa"/>
            <w:tcBorders>
              <w:top w:val="single" w:color="auto" w:sz="12" w:space="0"/>
              <w:left w:val="nil"/>
              <w:right w:val="nil"/>
            </w:tcBorders>
            <w:shd w:val="clear" w:color="auto" w:fill="auto"/>
            <w:vAlign w:val="center"/>
          </w:tcPr>
          <w:p>
            <w:pPr>
              <w:jc w:val="center"/>
              <w:textAlignment w:val="center"/>
              <w:rPr>
                <w:sz w:val="18"/>
                <w:szCs w:val="18"/>
              </w:rPr>
            </w:pPr>
            <w:r>
              <w:rPr>
                <w:rFonts w:hint="eastAsia" w:ascii="宋体" w:hAnsi="宋体" w:cs="宋体"/>
                <w:b/>
                <w:color w:val="000000"/>
                <w:sz w:val="18"/>
                <w:szCs w:val="18"/>
              </w:rPr>
              <w:t>Si/%</w:t>
            </w:r>
          </w:p>
        </w:tc>
        <w:tc>
          <w:tcPr>
            <w:tcW w:w="645" w:type="dxa"/>
            <w:tcBorders>
              <w:top w:val="single" w:color="auto" w:sz="12" w:space="0"/>
              <w:left w:val="nil"/>
              <w:right w:val="nil"/>
            </w:tcBorders>
            <w:shd w:val="clear" w:color="auto" w:fill="auto"/>
            <w:vAlign w:val="center"/>
          </w:tcPr>
          <w:p>
            <w:pPr>
              <w:jc w:val="center"/>
              <w:textAlignment w:val="center"/>
              <w:rPr>
                <w:sz w:val="18"/>
                <w:szCs w:val="18"/>
              </w:rPr>
            </w:pPr>
            <w:r>
              <w:rPr>
                <w:rFonts w:hint="eastAsia" w:ascii="宋体" w:hAnsi="宋体" w:cs="宋体"/>
                <w:b/>
                <w:color w:val="000000"/>
                <w:sz w:val="18"/>
                <w:szCs w:val="18"/>
              </w:rPr>
              <w:t>Mn/%</w:t>
            </w:r>
          </w:p>
        </w:tc>
        <w:tc>
          <w:tcPr>
            <w:tcW w:w="505" w:type="dxa"/>
            <w:tcBorders>
              <w:top w:val="single" w:color="auto" w:sz="12" w:space="0"/>
              <w:left w:val="nil"/>
              <w:right w:val="nil"/>
            </w:tcBorders>
            <w:shd w:val="clear" w:color="auto" w:fill="auto"/>
            <w:vAlign w:val="center"/>
          </w:tcPr>
          <w:p>
            <w:pPr>
              <w:jc w:val="center"/>
              <w:textAlignment w:val="center"/>
              <w:rPr>
                <w:sz w:val="18"/>
                <w:szCs w:val="18"/>
              </w:rPr>
            </w:pPr>
            <w:r>
              <w:rPr>
                <w:rFonts w:hint="eastAsia" w:ascii="宋体" w:hAnsi="宋体" w:cs="宋体"/>
                <w:b/>
                <w:color w:val="000000"/>
                <w:sz w:val="18"/>
                <w:szCs w:val="18"/>
              </w:rPr>
              <w:t>P/%</w:t>
            </w:r>
          </w:p>
        </w:tc>
        <w:tc>
          <w:tcPr>
            <w:tcW w:w="677" w:type="dxa"/>
            <w:gridSpan w:val="2"/>
            <w:tcBorders>
              <w:top w:val="single" w:color="auto" w:sz="12" w:space="0"/>
              <w:left w:val="nil"/>
              <w:right w:val="nil"/>
            </w:tcBorders>
            <w:shd w:val="clear" w:color="auto" w:fill="auto"/>
            <w:vAlign w:val="center"/>
          </w:tcPr>
          <w:p>
            <w:pPr>
              <w:jc w:val="center"/>
              <w:textAlignment w:val="center"/>
              <w:rPr>
                <w:sz w:val="18"/>
                <w:szCs w:val="18"/>
              </w:rPr>
            </w:pPr>
            <w:r>
              <w:rPr>
                <w:rFonts w:hint="eastAsia" w:ascii="宋体" w:hAnsi="宋体" w:cs="宋体"/>
                <w:b/>
                <w:color w:val="000000"/>
                <w:sz w:val="18"/>
                <w:szCs w:val="18"/>
              </w:rPr>
              <w:t>S/%</w:t>
            </w:r>
          </w:p>
        </w:tc>
        <w:tc>
          <w:tcPr>
            <w:tcW w:w="621" w:type="dxa"/>
            <w:tcBorders>
              <w:top w:val="single" w:color="auto" w:sz="12" w:space="0"/>
              <w:left w:val="nil"/>
              <w:right w:val="nil"/>
            </w:tcBorders>
            <w:shd w:val="clear" w:color="auto" w:fill="auto"/>
            <w:vAlign w:val="center"/>
          </w:tcPr>
          <w:p>
            <w:pPr>
              <w:jc w:val="center"/>
              <w:textAlignment w:val="center"/>
              <w:rPr>
                <w:sz w:val="18"/>
                <w:szCs w:val="18"/>
              </w:rPr>
            </w:pPr>
            <w:r>
              <w:rPr>
                <w:rFonts w:hint="eastAsia" w:ascii="宋体" w:hAnsi="宋体" w:cs="宋体"/>
                <w:b/>
                <w:color w:val="000000"/>
                <w:sz w:val="18"/>
                <w:szCs w:val="18"/>
              </w:rPr>
              <w:t>Cr/%</w:t>
            </w:r>
          </w:p>
        </w:tc>
        <w:tc>
          <w:tcPr>
            <w:tcW w:w="635" w:type="dxa"/>
            <w:tcBorders>
              <w:top w:val="single" w:color="auto" w:sz="12" w:space="0"/>
              <w:left w:val="nil"/>
              <w:right w:val="nil"/>
            </w:tcBorders>
            <w:shd w:val="clear" w:color="auto" w:fill="auto"/>
            <w:vAlign w:val="center"/>
          </w:tcPr>
          <w:p>
            <w:pPr>
              <w:jc w:val="center"/>
              <w:textAlignment w:val="center"/>
              <w:rPr>
                <w:sz w:val="18"/>
                <w:szCs w:val="18"/>
              </w:rPr>
            </w:pPr>
            <w:r>
              <w:rPr>
                <w:rFonts w:hint="eastAsia" w:ascii="宋体" w:hAnsi="宋体" w:cs="宋体"/>
                <w:b/>
                <w:color w:val="000000"/>
                <w:sz w:val="18"/>
                <w:szCs w:val="18"/>
              </w:rPr>
              <w:t xml:space="preserve">Ni/% </w:t>
            </w:r>
          </w:p>
        </w:tc>
        <w:tc>
          <w:tcPr>
            <w:tcW w:w="625" w:type="dxa"/>
            <w:tcBorders>
              <w:top w:val="single" w:color="auto" w:sz="12" w:space="0"/>
              <w:left w:val="nil"/>
              <w:right w:val="nil"/>
            </w:tcBorders>
            <w:shd w:val="clear" w:color="auto" w:fill="auto"/>
            <w:vAlign w:val="center"/>
          </w:tcPr>
          <w:p>
            <w:pPr>
              <w:jc w:val="center"/>
              <w:textAlignment w:val="center"/>
              <w:rPr>
                <w:sz w:val="18"/>
                <w:szCs w:val="18"/>
              </w:rPr>
            </w:pPr>
            <w:r>
              <w:rPr>
                <w:rFonts w:hint="eastAsia" w:ascii="宋体" w:hAnsi="宋体" w:cs="宋体"/>
                <w:b/>
                <w:color w:val="000000"/>
                <w:sz w:val="18"/>
                <w:szCs w:val="18"/>
              </w:rPr>
              <w:t>Cu/%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572" w:type="dxa"/>
            <w:tcBorders>
              <w:left w:val="nil"/>
              <w:right w:val="nil"/>
            </w:tcBorders>
            <w:shd w:val="clear" w:color="auto" w:fill="auto"/>
            <w:vAlign w:val="center"/>
          </w:tcPr>
          <w:p>
            <w:pPr>
              <w:jc w:val="center"/>
              <w:textAlignment w:val="center"/>
              <w:rPr>
                <w:sz w:val="18"/>
                <w:szCs w:val="18"/>
              </w:rPr>
            </w:pPr>
            <w:r>
              <w:rPr>
                <w:rFonts w:hint="eastAsia" w:ascii="宋体" w:hAnsi="宋体" w:cs="宋体"/>
                <w:b/>
                <w:color w:val="000000"/>
                <w:sz w:val="18"/>
                <w:szCs w:val="18"/>
              </w:rPr>
              <w:t>20#</w:t>
            </w:r>
          </w:p>
        </w:tc>
        <w:tc>
          <w:tcPr>
            <w:tcW w:w="573" w:type="dxa"/>
            <w:tcBorders>
              <w:left w:val="nil"/>
              <w:right w:val="nil"/>
            </w:tcBorders>
            <w:shd w:val="clear" w:color="auto" w:fill="auto"/>
            <w:vAlign w:val="center"/>
          </w:tcPr>
          <w:p>
            <w:pPr>
              <w:jc w:val="center"/>
              <w:textAlignment w:val="center"/>
              <w:rPr>
                <w:sz w:val="13"/>
                <w:szCs w:val="13"/>
              </w:rPr>
            </w:pPr>
            <w:r>
              <w:rPr>
                <w:rFonts w:hint="eastAsia" w:ascii="宋体" w:hAnsi="宋体" w:cs="宋体"/>
                <w:color w:val="000000"/>
                <w:sz w:val="13"/>
                <w:szCs w:val="13"/>
              </w:rPr>
              <w:t>0.183</w:t>
            </w:r>
          </w:p>
        </w:tc>
        <w:tc>
          <w:tcPr>
            <w:tcW w:w="627" w:type="dxa"/>
            <w:tcBorders>
              <w:left w:val="nil"/>
              <w:right w:val="nil"/>
            </w:tcBorders>
            <w:shd w:val="clear" w:color="auto" w:fill="auto"/>
            <w:vAlign w:val="center"/>
          </w:tcPr>
          <w:p>
            <w:pPr>
              <w:jc w:val="center"/>
              <w:textAlignment w:val="center"/>
              <w:rPr>
                <w:sz w:val="13"/>
                <w:szCs w:val="13"/>
              </w:rPr>
            </w:pPr>
            <w:r>
              <w:rPr>
                <w:rFonts w:hint="eastAsia" w:ascii="宋体" w:hAnsi="宋体" w:cs="宋体"/>
                <w:color w:val="000000"/>
                <w:sz w:val="13"/>
                <w:szCs w:val="13"/>
              </w:rPr>
              <w:t>0.241</w:t>
            </w:r>
          </w:p>
        </w:tc>
        <w:tc>
          <w:tcPr>
            <w:tcW w:w="645" w:type="dxa"/>
            <w:tcBorders>
              <w:left w:val="nil"/>
              <w:right w:val="nil"/>
            </w:tcBorders>
            <w:shd w:val="clear" w:color="auto" w:fill="auto"/>
            <w:vAlign w:val="center"/>
          </w:tcPr>
          <w:p>
            <w:pPr>
              <w:jc w:val="center"/>
              <w:textAlignment w:val="center"/>
              <w:rPr>
                <w:sz w:val="13"/>
                <w:szCs w:val="13"/>
              </w:rPr>
            </w:pPr>
            <w:r>
              <w:rPr>
                <w:rFonts w:hint="eastAsia" w:ascii="宋体" w:hAnsi="宋体" w:cs="宋体"/>
                <w:color w:val="000000"/>
                <w:sz w:val="13"/>
                <w:szCs w:val="13"/>
              </w:rPr>
              <w:t>0.459</w:t>
            </w:r>
          </w:p>
        </w:tc>
        <w:tc>
          <w:tcPr>
            <w:tcW w:w="621" w:type="dxa"/>
            <w:gridSpan w:val="2"/>
            <w:tcBorders>
              <w:left w:val="nil"/>
              <w:right w:val="nil"/>
            </w:tcBorders>
            <w:shd w:val="clear" w:color="auto" w:fill="auto"/>
            <w:vAlign w:val="center"/>
          </w:tcPr>
          <w:p>
            <w:pPr>
              <w:jc w:val="center"/>
              <w:textAlignment w:val="center"/>
              <w:rPr>
                <w:sz w:val="13"/>
                <w:szCs w:val="13"/>
              </w:rPr>
            </w:pPr>
            <w:r>
              <w:rPr>
                <w:rFonts w:hint="eastAsia" w:ascii="宋体" w:hAnsi="宋体" w:cs="宋体"/>
                <w:color w:val="000000"/>
                <w:sz w:val="13"/>
                <w:szCs w:val="13"/>
              </w:rPr>
              <w:t>0.0099</w:t>
            </w:r>
          </w:p>
        </w:tc>
        <w:tc>
          <w:tcPr>
            <w:tcW w:w="561" w:type="dxa"/>
            <w:tcBorders>
              <w:left w:val="nil"/>
              <w:right w:val="nil"/>
            </w:tcBorders>
            <w:shd w:val="clear" w:color="auto" w:fill="auto"/>
            <w:vAlign w:val="center"/>
          </w:tcPr>
          <w:p>
            <w:pPr>
              <w:jc w:val="center"/>
              <w:textAlignment w:val="center"/>
              <w:rPr>
                <w:sz w:val="13"/>
                <w:szCs w:val="13"/>
              </w:rPr>
            </w:pPr>
            <w:r>
              <w:rPr>
                <w:rFonts w:hint="eastAsia" w:ascii="宋体" w:hAnsi="宋体" w:cs="宋体"/>
                <w:color w:val="000000"/>
                <w:sz w:val="13"/>
                <w:szCs w:val="13"/>
              </w:rPr>
              <w:t>0.011</w:t>
            </w:r>
          </w:p>
        </w:tc>
        <w:tc>
          <w:tcPr>
            <w:tcW w:w="621" w:type="dxa"/>
            <w:tcBorders>
              <w:left w:val="nil"/>
              <w:right w:val="nil"/>
            </w:tcBorders>
            <w:shd w:val="clear" w:color="auto" w:fill="auto"/>
            <w:vAlign w:val="center"/>
          </w:tcPr>
          <w:p>
            <w:pPr>
              <w:jc w:val="center"/>
              <w:textAlignment w:val="center"/>
              <w:rPr>
                <w:sz w:val="13"/>
                <w:szCs w:val="13"/>
              </w:rPr>
            </w:pPr>
            <w:r>
              <w:rPr>
                <w:rFonts w:hint="eastAsia" w:ascii="宋体" w:hAnsi="宋体" w:cs="宋体"/>
                <w:color w:val="000000"/>
                <w:sz w:val="13"/>
                <w:szCs w:val="13"/>
              </w:rPr>
              <w:t>0.024</w:t>
            </w:r>
          </w:p>
        </w:tc>
        <w:tc>
          <w:tcPr>
            <w:tcW w:w="635" w:type="dxa"/>
            <w:tcBorders>
              <w:left w:val="nil"/>
              <w:right w:val="nil"/>
            </w:tcBorders>
            <w:shd w:val="clear" w:color="auto" w:fill="auto"/>
            <w:vAlign w:val="center"/>
          </w:tcPr>
          <w:p>
            <w:pPr>
              <w:jc w:val="center"/>
              <w:textAlignment w:val="center"/>
              <w:rPr>
                <w:sz w:val="13"/>
                <w:szCs w:val="13"/>
              </w:rPr>
            </w:pPr>
            <w:r>
              <w:rPr>
                <w:rFonts w:hint="eastAsia" w:ascii="宋体" w:hAnsi="宋体" w:cs="宋体"/>
                <w:color w:val="000000"/>
                <w:sz w:val="13"/>
                <w:szCs w:val="13"/>
              </w:rPr>
              <w:t>0.015</w:t>
            </w:r>
          </w:p>
        </w:tc>
        <w:tc>
          <w:tcPr>
            <w:tcW w:w="625" w:type="dxa"/>
            <w:tcBorders>
              <w:left w:val="nil"/>
              <w:right w:val="nil"/>
            </w:tcBorders>
            <w:shd w:val="clear" w:color="auto" w:fill="auto"/>
            <w:vAlign w:val="center"/>
          </w:tcPr>
          <w:p>
            <w:pPr>
              <w:jc w:val="center"/>
              <w:textAlignment w:val="center"/>
              <w:rPr>
                <w:sz w:val="13"/>
                <w:szCs w:val="13"/>
              </w:rPr>
            </w:pPr>
            <w:r>
              <w:rPr>
                <w:rFonts w:hint="eastAsia" w:ascii="宋体" w:hAnsi="宋体" w:cs="宋体"/>
                <w:color w:val="000000"/>
                <w:sz w:val="13"/>
                <w:szCs w:val="13"/>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572" w:type="dxa"/>
            <w:tcBorders>
              <w:left w:val="nil"/>
              <w:right w:val="nil"/>
            </w:tcBorders>
            <w:shd w:val="clear" w:color="auto" w:fill="auto"/>
            <w:vAlign w:val="center"/>
          </w:tcPr>
          <w:p>
            <w:pPr>
              <w:jc w:val="center"/>
              <w:textAlignment w:val="center"/>
              <w:rPr>
                <w:sz w:val="18"/>
                <w:szCs w:val="18"/>
              </w:rPr>
            </w:pPr>
            <w:r>
              <w:rPr>
                <w:rFonts w:hint="eastAsia" w:ascii="宋体" w:hAnsi="宋体" w:cs="宋体"/>
                <w:b/>
                <w:color w:val="000000"/>
                <w:sz w:val="18"/>
                <w:szCs w:val="18"/>
              </w:rPr>
              <w:t>30#</w:t>
            </w:r>
          </w:p>
        </w:tc>
        <w:tc>
          <w:tcPr>
            <w:tcW w:w="573" w:type="dxa"/>
            <w:tcBorders>
              <w:left w:val="nil"/>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0.31</w:t>
            </w:r>
          </w:p>
        </w:tc>
        <w:tc>
          <w:tcPr>
            <w:tcW w:w="627" w:type="dxa"/>
            <w:tcBorders>
              <w:left w:val="nil"/>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0.48</w:t>
            </w:r>
          </w:p>
        </w:tc>
        <w:tc>
          <w:tcPr>
            <w:tcW w:w="645" w:type="dxa"/>
            <w:tcBorders>
              <w:left w:val="nil"/>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0.87</w:t>
            </w:r>
          </w:p>
        </w:tc>
        <w:tc>
          <w:tcPr>
            <w:tcW w:w="621" w:type="dxa"/>
            <w:gridSpan w:val="2"/>
            <w:tcBorders>
              <w:left w:val="nil"/>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0.051</w:t>
            </w:r>
          </w:p>
        </w:tc>
        <w:tc>
          <w:tcPr>
            <w:tcW w:w="561" w:type="dxa"/>
            <w:tcBorders>
              <w:left w:val="nil"/>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0.031</w:t>
            </w:r>
          </w:p>
        </w:tc>
        <w:tc>
          <w:tcPr>
            <w:tcW w:w="621" w:type="dxa"/>
            <w:tcBorders>
              <w:left w:val="nil"/>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0.28</w:t>
            </w:r>
          </w:p>
        </w:tc>
        <w:tc>
          <w:tcPr>
            <w:tcW w:w="635" w:type="dxa"/>
            <w:tcBorders>
              <w:left w:val="nil"/>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0.12</w:t>
            </w:r>
          </w:p>
        </w:tc>
        <w:tc>
          <w:tcPr>
            <w:tcW w:w="625" w:type="dxa"/>
            <w:tcBorders>
              <w:left w:val="nil"/>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572" w:type="dxa"/>
            <w:tcBorders>
              <w:left w:val="nil"/>
              <w:bottom w:val="single" w:color="auto" w:sz="12" w:space="0"/>
              <w:right w:val="nil"/>
            </w:tcBorders>
            <w:shd w:val="clear" w:color="auto" w:fill="auto"/>
            <w:vAlign w:val="center"/>
          </w:tcPr>
          <w:p>
            <w:pPr>
              <w:jc w:val="center"/>
              <w:textAlignment w:val="center"/>
              <w:rPr>
                <w:sz w:val="18"/>
                <w:szCs w:val="18"/>
              </w:rPr>
            </w:pPr>
            <w:r>
              <w:rPr>
                <w:rFonts w:hint="eastAsia" w:ascii="宋体" w:hAnsi="宋体" w:cs="宋体"/>
                <w:b/>
                <w:color w:val="000000"/>
                <w:sz w:val="18"/>
                <w:szCs w:val="18"/>
              </w:rPr>
              <w:t>45#</w:t>
            </w:r>
          </w:p>
        </w:tc>
        <w:tc>
          <w:tcPr>
            <w:tcW w:w="573" w:type="dxa"/>
            <w:tcBorders>
              <w:left w:val="nil"/>
              <w:bottom w:val="single" w:color="auto" w:sz="12" w:space="0"/>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0.458</w:t>
            </w:r>
          </w:p>
        </w:tc>
        <w:tc>
          <w:tcPr>
            <w:tcW w:w="627" w:type="dxa"/>
            <w:tcBorders>
              <w:left w:val="nil"/>
              <w:bottom w:val="single" w:color="auto" w:sz="12" w:space="0"/>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0.188</w:t>
            </w:r>
          </w:p>
        </w:tc>
        <w:tc>
          <w:tcPr>
            <w:tcW w:w="645" w:type="dxa"/>
            <w:tcBorders>
              <w:left w:val="nil"/>
              <w:bottom w:val="single" w:color="auto" w:sz="12" w:space="0"/>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0.582</w:t>
            </w:r>
          </w:p>
        </w:tc>
        <w:tc>
          <w:tcPr>
            <w:tcW w:w="621" w:type="dxa"/>
            <w:gridSpan w:val="2"/>
            <w:tcBorders>
              <w:left w:val="nil"/>
              <w:bottom w:val="single" w:color="auto" w:sz="12" w:space="0"/>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0.022</w:t>
            </w:r>
          </w:p>
        </w:tc>
        <w:tc>
          <w:tcPr>
            <w:tcW w:w="561" w:type="dxa"/>
            <w:tcBorders>
              <w:left w:val="nil"/>
              <w:bottom w:val="single" w:color="auto" w:sz="12" w:space="0"/>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0.017</w:t>
            </w:r>
          </w:p>
        </w:tc>
        <w:tc>
          <w:tcPr>
            <w:tcW w:w="621" w:type="dxa"/>
            <w:tcBorders>
              <w:left w:val="nil"/>
              <w:bottom w:val="single" w:color="auto" w:sz="12" w:space="0"/>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0.036</w:t>
            </w:r>
          </w:p>
        </w:tc>
        <w:tc>
          <w:tcPr>
            <w:tcW w:w="635" w:type="dxa"/>
            <w:tcBorders>
              <w:left w:val="nil"/>
              <w:bottom w:val="single" w:color="auto" w:sz="12" w:space="0"/>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0.042</w:t>
            </w:r>
          </w:p>
        </w:tc>
        <w:tc>
          <w:tcPr>
            <w:tcW w:w="625" w:type="dxa"/>
            <w:tcBorders>
              <w:left w:val="nil"/>
              <w:bottom w:val="single" w:color="auto" w:sz="12" w:space="0"/>
              <w:right w:val="nil"/>
            </w:tcBorders>
            <w:shd w:val="clear" w:color="auto" w:fill="auto"/>
            <w:vAlign w:val="center"/>
          </w:tcPr>
          <w:p>
            <w:pPr>
              <w:jc w:val="center"/>
              <w:textAlignment w:val="center"/>
              <w:rPr>
                <w:rFonts w:ascii="宋体" w:hAnsi="宋体" w:cs="宋体"/>
                <w:color w:val="000000"/>
                <w:sz w:val="13"/>
                <w:szCs w:val="13"/>
              </w:rPr>
            </w:pPr>
            <w:r>
              <w:rPr>
                <w:rFonts w:hint="eastAsia" w:ascii="宋体" w:hAnsi="宋体" w:cs="宋体"/>
                <w:color w:val="000000"/>
                <w:sz w:val="13"/>
                <w:szCs w:val="13"/>
              </w:rPr>
              <w:t>0.132</w:t>
            </w:r>
          </w:p>
        </w:tc>
      </w:tr>
      <w:bookmarkEnd w:id="3"/>
    </w:tbl>
    <w:p>
      <w:pPr>
        <w:ind w:firstLine="360" w:firstLineChars="200"/>
        <w:jc w:val="center"/>
        <w:rPr>
          <w:rFonts w:asciiTheme="minorEastAsia" w:hAnsiTheme="minorEastAsia" w:eastAsiaTheme="minorEastAsia"/>
          <w:sz w:val="18"/>
          <w:szCs w:val="18"/>
        </w:rPr>
      </w:pPr>
      <w:bookmarkStart w:id="4" w:name="OLE_LINK18"/>
      <w:r>
        <w:rPr>
          <w:rFonts w:hint="eastAsia" w:asciiTheme="minorEastAsia" w:hAnsiTheme="minorEastAsia" w:eastAsiaTheme="minorEastAsia"/>
          <w:sz w:val="18"/>
          <w:szCs w:val="18"/>
        </w:rPr>
        <w:t>钢水中元素的光谱强度数据</w:t>
      </w:r>
    </w:p>
    <w:p>
      <w:pP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2603500" cy="786130"/>
            <wp:effectExtent l="19050" t="0" r="6350" b="0"/>
            <wp:docPr id="36" name="图片 36" descr="C:\Users\Administrator\Desktop\QQ截图20161219115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Administrator\Desktop\QQ截图20161219115625.png"/>
                    <pic:cNvPicPr>
                      <a:picLocks noChangeAspect="1" noChangeArrowheads="1"/>
                    </pic:cNvPicPr>
                  </pic:nvPicPr>
                  <pic:blipFill>
                    <a:blip r:embed="rId28" cstate="print"/>
                    <a:srcRect/>
                    <a:stretch>
                      <a:fillRect/>
                    </a:stretch>
                  </pic:blipFill>
                  <pic:spPr>
                    <a:xfrm>
                      <a:off x="0" y="0"/>
                      <a:ext cx="2603500" cy="786300"/>
                    </a:xfrm>
                    <a:prstGeom prst="rect">
                      <a:avLst/>
                    </a:prstGeom>
                    <a:noFill/>
                    <a:ln w="9525">
                      <a:noFill/>
                      <a:miter lim="800000"/>
                      <a:headEnd/>
                      <a:tailEnd/>
                    </a:ln>
                  </pic:spPr>
                </pic:pic>
              </a:graphicData>
            </a:graphic>
          </wp:inline>
        </w:drawing>
      </w:r>
    </w:p>
    <w:p>
      <w:pPr>
        <w:ind w:firstLine="360" w:firstLineChars="200"/>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钢水中元素的浓度数据</w:t>
      </w:r>
    </w:p>
    <w:p>
      <w:pPr>
        <w:ind w:firstLine="420" w:firstLineChars="200"/>
        <w:jc w:val="both"/>
        <w:rPr>
          <w:rFonts w:asciiTheme="minorEastAsia" w:hAnsiTheme="minorEastAsia" w:eastAsiaTheme="minorEastAsia"/>
          <w:sz w:val="21"/>
          <w:szCs w:val="21"/>
        </w:rPr>
      </w:pPr>
      <w:r>
        <w:rPr>
          <w:rFonts w:hint="eastAsia" w:asciiTheme="minorEastAsia" w:hAnsiTheme="minorEastAsia" w:eastAsiaTheme="minorEastAsia"/>
          <w:sz w:val="21"/>
          <w:szCs w:val="21"/>
        </w:rPr>
        <w:t>对以上钢水三种样品进行激光诱导等离子体击穿，</w:t>
      </w:r>
      <w:bookmarkEnd w:id="4"/>
      <w:r>
        <w:rPr>
          <w:rFonts w:hint="eastAsia" w:asciiTheme="minorEastAsia" w:hAnsiTheme="minorEastAsia" w:eastAsiaTheme="minorEastAsia"/>
          <w:sz w:val="21"/>
          <w:szCs w:val="21"/>
        </w:rPr>
        <w:t>把100个样品中的85%作为训练集，15%作为盲样，选择6500cm</w:t>
      </w:r>
      <w:r>
        <w:rPr>
          <w:rFonts w:hint="eastAsia" w:asciiTheme="minorEastAsia" w:hAnsiTheme="minorEastAsia" w:eastAsiaTheme="minorEastAsia"/>
          <w:sz w:val="21"/>
          <w:szCs w:val="21"/>
          <w:vertAlign w:val="superscript"/>
        </w:rPr>
        <w:t>-1</w:t>
      </w:r>
      <w:r>
        <w:rPr>
          <w:rFonts w:hint="eastAsia" w:asciiTheme="minorEastAsia" w:hAnsiTheme="minorEastAsia" w:eastAsiaTheme="minorEastAsia"/>
          <w:sz w:val="21"/>
          <w:szCs w:val="21"/>
        </w:rPr>
        <w:t>～7500cm</w:t>
      </w:r>
      <w:r>
        <w:rPr>
          <w:rFonts w:hint="eastAsia" w:asciiTheme="minorEastAsia" w:hAnsiTheme="minorEastAsia" w:eastAsiaTheme="minorEastAsia"/>
          <w:sz w:val="21"/>
          <w:szCs w:val="21"/>
          <w:vertAlign w:val="superscript"/>
        </w:rPr>
        <w:t>-1</w:t>
      </w:r>
      <w:r>
        <w:rPr>
          <w:rFonts w:hint="eastAsia" w:asciiTheme="minorEastAsia" w:hAnsiTheme="minorEastAsia" w:eastAsiaTheme="minorEastAsia"/>
          <w:sz w:val="21"/>
          <w:szCs w:val="21"/>
        </w:rPr>
        <w:t>范围内的光谱数据计算欧式距离，选择类间距，识别率和拒绝率作为聚类分析算法效果的指标。然后在LIBS实验中先用聚类分析测定元素所属的浓度区间，再在每个浓度区间内用偏最小二乘法测定钢水中元素的浓度，在偏最小二乘法中，输入的X为变量光谱强度，建立光谱数据矩阵，输出Y为钢水中各元素的浓度，建立浓度矩阵，在光谱数据矩阵与浓度矩阵之间建立数学校正模型来实现优化定标，通过相对标准误差来评价钢水中各元素的浓度定量分析结果的准确性，实验软件环境为Visual Studio 2010。</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实验结果如图所示：</w:t>
      </w:r>
    </w:p>
    <w:p>
      <w:pP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2559050" cy="1238250"/>
            <wp:effectExtent l="19050" t="0" r="12700" b="0"/>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pPr>
        <w:ind w:firstLine="420" w:firstLineChars="200"/>
        <w:jc w:val="both"/>
        <w:rPr>
          <w:rFonts w:asciiTheme="minorEastAsia" w:hAnsiTheme="minorEastAsia" w:eastAsiaTheme="minorEastAsia"/>
          <w:sz w:val="21"/>
          <w:szCs w:val="21"/>
        </w:rPr>
      </w:pPr>
      <w:r>
        <w:rPr>
          <w:rFonts w:hint="eastAsia" w:asciiTheme="minorEastAsia" w:hAnsiTheme="minorEastAsia" w:eastAsiaTheme="minorEastAsia"/>
          <w:sz w:val="21"/>
          <w:szCs w:val="21"/>
        </w:rPr>
        <w:t>实验横轴代表钢水中的五种元素，纵轴代表元素浓度的测量相对标准误差，实验结果显示,和传统的偏最小二乘法分析相比，本文所采用的方法的预测精度有了显著的提高，测量相对标准误差明显降低，为激光诱导击穿光谱技术用于钢水元素的定量分析提供了一种新的方法。</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6.结论</w:t>
      </w:r>
    </w:p>
    <w:p>
      <w:pPr>
        <w:ind w:firstLine="420" w:firstLineChars="200"/>
        <w:jc w:val="both"/>
        <w:rPr>
          <w:rFonts w:asciiTheme="minorEastAsia" w:hAnsiTheme="minorEastAsia" w:eastAsiaTheme="minorEastAsia"/>
          <w:sz w:val="21"/>
          <w:szCs w:val="21"/>
        </w:rPr>
      </w:pPr>
      <w:r>
        <w:rPr>
          <w:rFonts w:hint="eastAsia" w:ascii="宋体" w:hAnsi="宋体" w:eastAsia="宋体" w:cs="宋体"/>
          <w:sz w:val="21"/>
          <w:szCs w:val="21"/>
        </w:rPr>
        <w:t>本文通过将激光诱导击穿光谱技术结合偏最小二乘法和聚类分析来预测钢水中元素的浓度，实验结果表明该方法是可行的，而且比传统的偏最小二乘法相对误差明显降低，聚类方法结合偏最小二乘法的研究使激光诱导击穿光谱在冶金方面的定量分析有了很大的突破。该方法不需要对样品直接测量，可以达到快速分析的目的，测量精度也有很大的提高。但是，该方法还是有很多缺陷，对于光谱矩阵和浓度矩阵的变量条件是否可以选择，有待于进一步研究。</w:t>
      </w:r>
    </w:p>
    <w:p>
      <w:pPr>
        <w:rPr>
          <w:rFonts w:asciiTheme="minorEastAsia" w:hAnsiTheme="minorEastAsia" w:eastAsiaTheme="minorEastAsia"/>
          <w:b/>
          <w:sz w:val="28"/>
          <w:szCs w:val="28"/>
        </w:rPr>
      </w:pPr>
      <w:r>
        <w:rPr>
          <w:rFonts w:hint="eastAsia" w:asciiTheme="minorEastAsia" w:hAnsiTheme="minorEastAsia" w:eastAsiaTheme="minorEastAsia"/>
          <w:b/>
          <w:sz w:val="28"/>
          <w:szCs w:val="28"/>
        </w:rPr>
        <w:t>参考文献</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 马刚.激光诱导击穿光谱的定量分析及应用研究[D]. 杭州电子科技大学. 2013.</w:t>
      </w:r>
    </w:p>
    <w:p>
      <w:pPr>
        <w:rPr>
          <w:rFonts w:asciiTheme="minorEastAsia" w:hAnsiTheme="minorEastAsia" w:eastAsiaTheme="minorEastAsia"/>
          <w:sz w:val="21"/>
          <w:szCs w:val="21"/>
        </w:rPr>
      </w:pPr>
      <w:bookmarkStart w:id="5" w:name="OLE_LINK19"/>
      <w:r>
        <w:rPr>
          <w:rFonts w:hint="eastAsia" w:asciiTheme="minorEastAsia" w:hAnsiTheme="minorEastAsia" w:eastAsiaTheme="minorEastAsia"/>
          <w:sz w:val="21"/>
          <w:szCs w:val="21"/>
        </w:rPr>
        <w:t>[2]</w:t>
      </w:r>
      <w:bookmarkEnd w:id="5"/>
      <w:r>
        <w:rPr>
          <w:rFonts w:hint="eastAsia" w:asciiTheme="minorEastAsia" w:hAnsiTheme="minorEastAsia" w:eastAsiaTheme="minorEastAsia"/>
          <w:sz w:val="21"/>
          <w:szCs w:val="21"/>
        </w:rPr>
        <w:t xml:space="preserve"> 孙兰香,于海斌,丛智博,辛勇. 利用 LIBS技术在线半定量分析液态钢成分[J].仪器仪表学报. 2011(11).</w:t>
      </w:r>
    </w:p>
    <w:p>
      <w:pPr>
        <w:rPr>
          <w:rFonts w:asciiTheme="minorEastAsia" w:hAnsiTheme="minorEastAsia" w:eastAsiaTheme="minorEastAsia"/>
          <w:sz w:val="21"/>
          <w:szCs w:val="21"/>
        </w:rPr>
      </w:pPr>
      <w:bookmarkStart w:id="6" w:name="OLE_LINK16"/>
      <w:r>
        <w:rPr>
          <w:rFonts w:hint="eastAsia" w:asciiTheme="minorEastAsia" w:hAnsiTheme="minorEastAsia" w:eastAsiaTheme="minorEastAsia"/>
          <w:sz w:val="21"/>
          <w:szCs w:val="21"/>
        </w:rPr>
        <w:t>[3]</w:t>
      </w:r>
      <w:bookmarkEnd w:id="6"/>
      <w:r>
        <w:rPr>
          <w:rFonts w:hint="eastAsia" w:asciiTheme="minorEastAsia" w:hAnsiTheme="minorEastAsia" w:eastAsiaTheme="minorEastAsia"/>
          <w:sz w:val="21"/>
          <w:szCs w:val="21"/>
        </w:rPr>
        <w:t xml:space="preserve"> </w:t>
      </w:r>
      <w:bookmarkStart w:id="7" w:name="OLE_LINK13"/>
      <w:r>
        <w:rPr>
          <w:rFonts w:hint="eastAsia" w:asciiTheme="minorEastAsia" w:hAnsiTheme="minorEastAsia" w:eastAsiaTheme="minorEastAsia"/>
          <w:sz w:val="21"/>
          <w:szCs w:val="21"/>
        </w:rPr>
        <w:t>白英奎.近红外光谱技术在药品检测中的应用研究[D]</w:t>
      </w:r>
      <w:bookmarkEnd w:id="7"/>
      <w:r>
        <w:rPr>
          <w:rFonts w:hint="eastAsia" w:asciiTheme="minorEastAsia" w:hAnsiTheme="minorEastAsia" w:eastAsiaTheme="minorEastAsia"/>
          <w:sz w:val="21"/>
          <w:szCs w:val="21"/>
        </w:rPr>
        <w:t>.吉林大学.2005.</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[4] </w:t>
      </w:r>
      <w:bookmarkStart w:id="8" w:name="OLE_LINK12"/>
      <w:r>
        <w:rPr>
          <w:rFonts w:hint="eastAsia" w:asciiTheme="minorEastAsia" w:hAnsiTheme="minorEastAsia" w:eastAsiaTheme="minorEastAsia"/>
          <w:sz w:val="21"/>
          <w:szCs w:val="21"/>
        </w:rPr>
        <w:t>刘家水.近红外光谱技术应用于南板蓝质量评价方法的研究[D].2013.</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[5</w:t>
      </w:r>
      <w:bookmarkEnd w:id="8"/>
      <w:r>
        <w:rPr>
          <w:rFonts w:hint="eastAsia" w:asciiTheme="minorEastAsia" w:hAnsiTheme="minorEastAsia" w:eastAsiaTheme="minorEastAsia"/>
          <w:sz w:val="21"/>
          <w:szCs w:val="21"/>
        </w:rPr>
        <w:t>] 季振国，李铁强，席俊华，毛启楠.激光诱导击穿光谱及其在元素分析中的应用[J].材料科学与工程学报.2011(6).</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[6] 张天龙.激光诱导击穿光谱中化学计量学方法研究及其在冶金分析中的应用[D].西北大学.2015.</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[7]</w:t>
      </w:r>
      <w:r>
        <w:rPr>
          <w:rFonts w:hint="eastAsia"/>
        </w:rPr>
        <w:t xml:space="preserve"> </w:t>
      </w:r>
      <w:r>
        <w:rPr>
          <w:rFonts w:hint="eastAsia" w:asciiTheme="minorEastAsia" w:hAnsiTheme="minorEastAsia" w:eastAsiaTheme="minorEastAsia"/>
          <w:sz w:val="21"/>
          <w:szCs w:val="21"/>
        </w:rPr>
        <w:t>LU Wan zhen， YUAN Hong-fu, XU Guang tong， et al. M odern Analysis T echnique of Near-Infrared Spectra. Beijing :Chinese Petro-Chemical Press, 2000.</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[8]MIN Shun-geng , LI Ning , ZHANG Ming-xiang.Spectroscopy and Spectral Analysis,</w:t>
      </w:r>
      <w:r>
        <w:rPr>
          <w:rFonts w:asciiTheme="minorEastAsia" w:hAnsiTheme="minorEastAsia" w:eastAsiaTheme="minorEastAsia"/>
          <w:sz w:val="21"/>
          <w:szCs w:val="21"/>
        </w:rPr>
        <w:t>2004, 24(10):1205.</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[9]鲁先洋，徐国伟，费腾，王秋平，王声波.金属材料中的激光诱导等离子体光谱法成分分析的实验研究[J].量子电子学报.2011[1].</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[10]谷艳红.LIBS技术应用于扇贝壳中金属元素的含量分布实验研究[D].中国海洋大学.2014.</w:t>
      </w:r>
    </w:p>
    <w:p>
      <w:pPr>
        <w:rPr>
          <w:rFonts w:ascii="宋体" w:hAnsi="宋体" w:eastAsia="宋体" w:cs="Times New Roman"/>
        </w:rPr>
      </w:pPr>
      <w:r>
        <w:rPr>
          <w:rFonts w:hint="eastAsia" w:asciiTheme="minorEastAsia" w:hAnsiTheme="minorEastAsia" w:eastAsiaTheme="minorEastAsia"/>
          <w:sz w:val="21"/>
          <w:szCs w:val="21"/>
        </w:rPr>
        <w:t>[11]</w:t>
      </w:r>
      <w:r>
        <w:rPr>
          <w:rFonts w:hint="eastAsia" w:ascii="宋体" w:hAnsi="宋体" w:eastAsia="宋体" w:cs="Times New Roman"/>
        </w:rPr>
        <w:t>邵妍. 激光诱导击穿光谱技术用于合金钢成分分析</w:t>
      </w:r>
      <w:bookmarkStart w:id="9" w:name="OLE_LINK14"/>
      <w:r>
        <w:rPr>
          <w:rFonts w:hint="eastAsia" w:ascii="宋体" w:hAnsi="宋体" w:eastAsia="宋体" w:cs="Times New Roman"/>
        </w:rPr>
        <w:t>[D]. 长春理工大学. 2012.</w:t>
      </w:r>
      <w:bookmarkEnd w:id="9"/>
    </w:p>
    <w:p>
      <w:pPr>
        <w:rPr>
          <w:rFonts w:asciiTheme="minorEastAsia" w:hAnsiTheme="minorEastAsia" w:eastAsiaTheme="minorEastAsia"/>
          <w:sz w:val="21"/>
          <w:szCs w:val="21"/>
        </w:rPr>
      </w:pPr>
      <w:r>
        <w:rPr>
          <w:rFonts w:hint="eastAsia" w:ascii="宋体" w:hAnsi="宋体" w:eastAsia="宋体" w:cs="Times New Roman"/>
          <w:sz w:val="21"/>
          <w:szCs w:val="21"/>
        </w:rPr>
        <w:t>[12]</w:t>
      </w:r>
      <w:r>
        <w:rPr>
          <w:rFonts w:asciiTheme="minorEastAsia" w:hAnsiTheme="minorEastAsia" w:eastAsiaTheme="minorEastAsia"/>
          <w:sz w:val="21"/>
          <w:szCs w:val="21"/>
        </w:rPr>
        <w:t>R. Wisbrun, I. Schechter, R. Niessner, H. Schr</w:t>
      </w:r>
      <w:r>
        <w:rPr>
          <w:rFonts w:hint="eastAsia" w:asciiTheme="minorEastAsia" w:hAnsiTheme="minorEastAsia" w:eastAsiaTheme="minorEastAsia"/>
          <w:sz w:val="21"/>
          <w:szCs w:val="21"/>
        </w:rPr>
        <w:t>o</w:t>
      </w:r>
      <w:r>
        <w:rPr>
          <w:rFonts w:asciiTheme="minorEastAsia" w:hAnsiTheme="minorEastAsia" w:eastAsiaTheme="minorEastAsia"/>
          <w:sz w:val="21"/>
          <w:szCs w:val="21"/>
        </w:rPr>
        <w:t>der and K. Kompa, Detector for trace elemental analysis of solid environmental samples by laser plasma spectroscopy[J]., Anal. Chem. 66 (1994), pp. 2964–2975. [23]</w:t>
      </w:r>
      <w:r>
        <w:rPr>
          <w:rFonts w:hint="eastAsia" w:asciiTheme="minorEastAsia" w:hAnsiTheme="minorEastAsia" w:eastAsiaTheme="minorEastAsia"/>
          <w:sz w:val="21"/>
          <w:szCs w:val="21"/>
        </w:rPr>
        <w:t>.</w:t>
      </w:r>
    </w:p>
    <w:p>
      <w:pPr>
        <w:rPr>
          <w:rFonts w:asciiTheme="minorEastAsia" w:hAnsiTheme="minorEastAsia" w:eastAsiaTheme="minorEastAsia"/>
          <w:sz w:val="30"/>
          <w:szCs w:val="30"/>
        </w:rPr>
      </w:pPr>
      <w:r>
        <w:rPr>
          <w:rFonts w:hint="eastAsia" w:asciiTheme="minorEastAsia" w:hAnsiTheme="minorEastAsia" w:eastAsiaTheme="minorEastAsia"/>
          <w:sz w:val="30"/>
          <w:szCs w:val="30"/>
        </w:rPr>
        <w:t xml:space="preserve">                     </w:t>
      </w:r>
    </w:p>
    <w:p>
      <w:pPr>
        <w:rPr>
          <w:rFonts w:asciiTheme="minorEastAsia" w:hAnsiTheme="minorEastAsia" w:eastAsiaTheme="minorEastAsia"/>
          <w:sz w:val="30"/>
          <w:szCs w:val="30"/>
        </w:rPr>
      </w:pPr>
    </w:p>
    <w:p>
      <w:pPr>
        <w:rPr>
          <w:rFonts w:asciiTheme="minorEastAsia" w:hAnsiTheme="minorEastAsia" w:eastAsiaTheme="minorEastAsia"/>
          <w:sz w:val="30"/>
          <w:szCs w:val="30"/>
        </w:rPr>
      </w:pPr>
    </w:p>
    <w:p>
      <w:pPr>
        <w:rPr>
          <w:rFonts w:asciiTheme="minorEastAsia" w:hAnsiTheme="minorEastAsia" w:eastAsiaTheme="minorEastAsia"/>
          <w:sz w:val="28"/>
          <w:szCs w:val="28"/>
        </w:rPr>
      </w:pPr>
    </w:p>
    <w:p>
      <w:pPr>
        <w:rPr>
          <w:rFonts w:asciiTheme="minorEastAsia" w:hAnsiTheme="minorEastAsia" w:eastAsiaTheme="minorEastAsia"/>
          <w:sz w:val="28"/>
          <w:szCs w:val="28"/>
        </w:rPr>
      </w:pPr>
      <w:bookmarkStart w:id="10" w:name="_GoBack"/>
      <w:bookmarkEnd w:id="10"/>
    </w:p>
    <w:p>
      <w:pPr>
        <w:rPr>
          <w:rFonts w:asciiTheme="minorEastAsia" w:hAnsiTheme="minorEastAsia" w:eastAsiaTheme="minorEastAsia"/>
          <w:sz w:val="28"/>
          <w:szCs w:val="28"/>
        </w:rPr>
      </w:pPr>
    </w:p>
    <w:p>
      <w:pPr>
        <w:rPr>
          <w:rFonts w:asciiTheme="minorEastAsia" w:hAnsiTheme="minorEastAsia" w:eastAsiaTheme="minorEastAsia"/>
          <w:b/>
          <w:sz w:val="28"/>
          <w:szCs w:val="28"/>
        </w:rPr>
        <w:sectPr>
          <w:type w:val="continuous"/>
          <w:pgSz w:w="11906" w:h="16838"/>
          <w:pgMar w:top="1440" w:right="1800" w:bottom="1440" w:left="1800" w:header="708" w:footer="708" w:gutter="0"/>
          <w:cols w:space="440" w:num="2"/>
          <w:docGrid w:linePitch="360" w:charSpace="0"/>
        </w:sectPr>
      </w:pPr>
    </w:p>
    <w:p>
      <w:pPr>
        <w:rPr>
          <w:rFonts w:asciiTheme="minorEastAsia" w:hAnsiTheme="minorEastAsia" w:eastAsiaTheme="minorEastAsia"/>
          <w:sz w:val="21"/>
          <w:szCs w:val="21"/>
        </w:rPr>
        <w:sectPr>
          <w:type w:val="continuous"/>
          <w:pgSz w:w="11906" w:h="16838"/>
          <w:pgMar w:top="1440" w:right="1800" w:bottom="1440" w:left="1800" w:header="708" w:footer="708" w:gutter="0"/>
          <w:cols w:space="708" w:num="2"/>
          <w:docGrid w:linePitch="360" w:charSpace="0"/>
        </w:sectPr>
      </w:pPr>
    </w:p>
    <w:p>
      <w:pPr>
        <w:rPr>
          <w:rFonts w:ascii="宋体" w:hAnsi="宋体" w:eastAsia="宋体" w:cs="Times New Roman"/>
        </w:rPr>
        <w:sectPr>
          <w:type w:val="continuous"/>
          <w:pgSz w:w="11906" w:h="16838"/>
          <w:pgMar w:top="1440" w:right="1800" w:bottom="1440" w:left="1800" w:header="708" w:footer="708" w:gutter="0"/>
          <w:cols w:space="708" w:num="2"/>
          <w:docGrid w:linePitch="360" w:charSpace="0"/>
        </w:sectPr>
      </w:pPr>
    </w:p>
    <w:p>
      <w:pPr>
        <w:rPr>
          <w:rFonts w:ascii="宋体" w:hAnsi="宋体" w:eastAsia="宋体" w:cs="Times New Roman"/>
        </w:rPr>
        <w:sectPr>
          <w:type w:val="continuous"/>
          <w:pgSz w:w="11906" w:h="16838"/>
          <w:pgMar w:top="1440" w:right="1800" w:bottom="1440" w:left="1800" w:header="708" w:footer="708" w:gutter="0"/>
          <w:cols w:space="708" w:num="2"/>
          <w:docGrid w:linePitch="360" w:charSpace="0"/>
        </w:sectPr>
      </w:pPr>
    </w:p>
    <w:p>
      <w:pPr>
        <w:rPr>
          <w:rFonts w:ascii="宋体" w:hAnsi="宋体" w:eastAsia="宋体" w:cs="Times New Roman"/>
        </w:rPr>
      </w:pPr>
    </w:p>
    <w:p>
      <w:pPr>
        <w:rPr>
          <w:rFonts w:asciiTheme="minorEastAsia" w:hAnsiTheme="minorEastAsia" w:eastAsiaTheme="minorEastAsia"/>
          <w:sz w:val="21"/>
          <w:szCs w:val="21"/>
        </w:rPr>
      </w:pPr>
    </w:p>
    <w:sectPr>
      <w:type w:val="continuous"/>
      <w:pgSz w:w="11906" w:h="16838"/>
      <w:pgMar w:top="1440" w:right="1800" w:bottom="1440" w:left="1800" w:header="708" w:footer="708" w:gutter="0"/>
      <w:cols w:space="70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SJ0+ZMLGIv-3">
    <w:altName w:val="Times New Roman"/>
    <w:panose1 w:val="00000000000000000000"/>
    <w:charset w:val="00"/>
    <w:family w:val="roman"/>
    <w:pitch w:val="default"/>
    <w:sig w:usb0="00000000" w:usb1="00000000" w:usb2="00000000" w:usb3="00000000" w:csb0="00000000" w:csb1="00000000"/>
  </w:font>
  <w:font w:name="E-BZ+ZMLGIu-1">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15DC5"/>
    <w:rsid w:val="00020A64"/>
    <w:rsid w:val="00023927"/>
    <w:rsid w:val="00030C4A"/>
    <w:rsid w:val="00040ECD"/>
    <w:rsid w:val="000411A9"/>
    <w:rsid w:val="000601C0"/>
    <w:rsid w:val="0006659C"/>
    <w:rsid w:val="0006714E"/>
    <w:rsid w:val="00075AEA"/>
    <w:rsid w:val="00091BF5"/>
    <w:rsid w:val="000926B6"/>
    <w:rsid w:val="000B6C1F"/>
    <w:rsid w:val="000C045F"/>
    <w:rsid w:val="000C6C17"/>
    <w:rsid w:val="000D3DAC"/>
    <w:rsid w:val="000E454C"/>
    <w:rsid w:val="000E6F74"/>
    <w:rsid w:val="000F0EC1"/>
    <w:rsid w:val="001300C1"/>
    <w:rsid w:val="00144FB4"/>
    <w:rsid w:val="00147E7F"/>
    <w:rsid w:val="001745C2"/>
    <w:rsid w:val="00184FA5"/>
    <w:rsid w:val="001B574F"/>
    <w:rsid w:val="001C019C"/>
    <w:rsid w:val="001C2E18"/>
    <w:rsid w:val="001D0323"/>
    <w:rsid w:val="001E3F79"/>
    <w:rsid w:val="001F703D"/>
    <w:rsid w:val="00202ED8"/>
    <w:rsid w:val="002173D6"/>
    <w:rsid w:val="00255384"/>
    <w:rsid w:val="00262C15"/>
    <w:rsid w:val="0027217D"/>
    <w:rsid w:val="00294068"/>
    <w:rsid w:val="002A7757"/>
    <w:rsid w:val="002D16E4"/>
    <w:rsid w:val="002D5DA6"/>
    <w:rsid w:val="002D63EE"/>
    <w:rsid w:val="002E0BCB"/>
    <w:rsid w:val="002E534B"/>
    <w:rsid w:val="002F4747"/>
    <w:rsid w:val="0032377D"/>
    <w:rsid w:val="00323B43"/>
    <w:rsid w:val="00376BFC"/>
    <w:rsid w:val="003920D4"/>
    <w:rsid w:val="0039315E"/>
    <w:rsid w:val="003A4A06"/>
    <w:rsid w:val="003B4609"/>
    <w:rsid w:val="003D0BED"/>
    <w:rsid w:val="003D1D4F"/>
    <w:rsid w:val="003D37D8"/>
    <w:rsid w:val="003E1A11"/>
    <w:rsid w:val="003F14D9"/>
    <w:rsid w:val="003F4EF0"/>
    <w:rsid w:val="00426133"/>
    <w:rsid w:val="00432694"/>
    <w:rsid w:val="004358AB"/>
    <w:rsid w:val="00470A85"/>
    <w:rsid w:val="00486770"/>
    <w:rsid w:val="00493922"/>
    <w:rsid w:val="004A0958"/>
    <w:rsid w:val="004A19B4"/>
    <w:rsid w:val="004A53B4"/>
    <w:rsid w:val="004C633C"/>
    <w:rsid w:val="004D7750"/>
    <w:rsid w:val="004E049F"/>
    <w:rsid w:val="004F0548"/>
    <w:rsid w:val="004F5672"/>
    <w:rsid w:val="00505ED7"/>
    <w:rsid w:val="005353A4"/>
    <w:rsid w:val="00567B7D"/>
    <w:rsid w:val="0057542B"/>
    <w:rsid w:val="00581391"/>
    <w:rsid w:val="005921F7"/>
    <w:rsid w:val="005A00BC"/>
    <w:rsid w:val="005A746C"/>
    <w:rsid w:val="005B4120"/>
    <w:rsid w:val="005C6D31"/>
    <w:rsid w:val="005E504A"/>
    <w:rsid w:val="005E58E0"/>
    <w:rsid w:val="0060551F"/>
    <w:rsid w:val="00625375"/>
    <w:rsid w:val="00637FA1"/>
    <w:rsid w:val="006420DE"/>
    <w:rsid w:val="00655AC6"/>
    <w:rsid w:val="00675365"/>
    <w:rsid w:val="00695A38"/>
    <w:rsid w:val="006D210D"/>
    <w:rsid w:val="006E0ACC"/>
    <w:rsid w:val="006E303C"/>
    <w:rsid w:val="006E545E"/>
    <w:rsid w:val="00742324"/>
    <w:rsid w:val="00743308"/>
    <w:rsid w:val="007611FD"/>
    <w:rsid w:val="00780BE4"/>
    <w:rsid w:val="0078407A"/>
    <w:rsid w:val="007845E4"/>
    <w:rsid w:val="00793A2A"/>
    <w:rsid w:val="007979D8"/>
    <w:rsid w:val="007A2D9E"/>
    <w:rsid w:val="007A379D"/>
    <w:rsid w:val="007B5A38"/>
    <w:rsid w:val="007E47CD"/>
    <w:rsid w:val="007F2EB7"/>
    <w:rsid w:val="007F57F2"/>
    <w:rsid w:val="008029E9"/>
    <w:rsid w:val="00830649"/>
    <w:rsid w:val="00864FC4"/>
    <w:rsid w:val="008653DB"/>
    <w:rsid w:val="00876311"/>
    <w:rsid w:val="0088521C"/>
    <w:rsid w:val="008B7726"/>
    <w:rsid w:val="008C6965"/>
    <w:rsid w:val="008E743D"/>
    <w:rsid w:val="008E7FA6"/>
    <w:rsid w:val="008F035E"/>
    <w:rsid w:val="00903E38"/>
    <w:rsid w:val="00925AE3"/>
    <w:rsid w:val="009261AE"/>
    <w:rsid w:val="00932FD7"/>
    <w:rsid w:val="009427F4"/>
    <w:rsid w:val="00997A53"/>
    <w:rsid w:val="009B3EFA"/>
    <w:rsid w:val="009B5A2C"/>
    <w:rsid w:val="009D21D6"/>
    <w:rsid w:val="009E5427"/>
    <w:rsid w:val="009E6FF8"/>
    <w:rsid w:val="00A16578"/>
    <w:rsid w:val="00A25B84"/>
    <w:rsid w:val="00A378A1"/>
    <w:rsid w:val="00A37E60"/>
    <w:rsid w:val="00A50546"/>
    <w:rsid w:val="00A50775"/>
    <w:rsid w:val="00A6027A"/>
    <w:rsid w:val="00A74471"/>
    <w:rsid w:val="00A8546B"/>
    <w:rsid w:val="00A97F1E"/>
    <w:rsid w:val="00AA7E46"/>
    <w:rsid w:val="00AB2EB3"/>
    <w:rsid w:val="00B11B68"/>
    <w:rsid w:val="00B151B9"/>
    <w:rsid w:val="00B371AD"/>
    <w:rsid w:val="00B51C33"/>
    <w:rsid w:val="00B65C01"/>
    <w:rsid w:val="00B66C64"/>
    <w:rsid w:val="00B725BE"/>
    <w:rsid w:val="00B74C3A"/>
    <w:rsid w:val="00B81D38"/>
    <w:rsid w:val="00B928B5"/>
    <w:rsid w:val="00BA25AC"/>
    <w:rsid w:val="00BD15D0"/>
    <w:rsid w:val="00BF3370"/>
    <w:rsid w:val="00C22C68"/>
    <w:rsid w:val="00C26985"/>
    <w:rsid w:val="00C26D73"/>
    <w:rsid w:val="00C37B04"/>
    <w:rsid w:val="00C5175E"/>
    <w:rsid w:val="00C60235"/>
    <w:rsid w:val="00C737B7"/>
    <w:rsid w:val="00C7384C"/>
    <w:rsid w:val="00C96487"/>
    <w:rsid w:val="00CB0C20"/>
    <w:rsid w:val="00CE0E2E"/>
    <w:rsid w:val="00CF0E25"/>
    <w:rsid w:val="00D14357"/>
    <w:rsid w:val="00D146E0"/>
    <w:rsid w:val="00D31D50"/>
    <w:rsid w:val="00D410E1"/>
    <w:rsid w:val="00D826DC"/>
    <w:rsid w:val="00D84408"/>
    <w:rsid w:val="00D84B66"/>
    <w:rsid w:val="00DC5F54"/>
    <w:rsid w:val="00DD5C7F"/>
    <w:rsid w:val="00DD6C44"/>
    <w:rsid w:val="00DE51AE"/>
    <w:rsid w:val="00E00380"/>
    <w:rsid w:val="00E03969"/>
    <w:rsid w:val="00E1745E"/>
    <w:rsid w:val="00E20BD2"/>
    <w:rsid w:val="00E228E3"/>
    <w:rsid w:val="00E22C37"/>
    <w:rsid w:val="00E24948"/>
    <w:rsid w:val="00E444A7"/>
    <w:rsid w:val="00E53E25"/>
    <w:rsid w:val="00E567B3"/>
    <w:rsid w:val="00E65E4C"/>
    <w:rsid w:val="00E774F5"/>
    <w:rsid w:val="00E77F77"/>
    <w:rsid w:val="00E835F3"/>
    <w:rsid w:val="00E912CC"/>
    <w:rsid w:val="00EA0848"/>
    <w:rsid w:val="00EA6CB9"/>
    <w:rsid w:val="00EA6E58"/>
    <w:rsid w:val="00ED1C25"/>
    <w:rsid w:val="00F17B5D"/>
    <w:rsid w:val="00F41415"/>
    <w:rsid w:val="00F547F3"/>
    <w:rsid w:val="00F62C59"/>
    <w:rsid w:val="00F81A95"/>
    <w:rsid w:val="00FC05EB"/>
    <w:rsid w:val="00FC18CE"/>
    <w:rsid w:val="00FC7D1E"/>
    <w:rsid w:val="00FD189B"/>
    <w:rsid w:val="00FD2B0D"/>
    <w:rsid w:val="00FE0A4E"/>
    <w:rsid w:val="00FF0A96"/>
    <w:rsid w:val="23241B0D"/>
    <w:rsid w:val="38950917"/>
    <w:rsid w:val="3D710977"/>
    <w:rsid w:val="4A971689"/>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qFormat/>
    <w:uiPriority w:val="99"/>
    <w:pPr>
      <w:spacing w:after="0"/>
    </w:pPr>
    <w:rPr>
      <w:sz w:val="18"/>
      <w:szCs w:val="18"/>
    </w:rPr>
  </w:style>
  <w:style w:type="paragraph" w:styleId="3">
    <w:name w:val="footer"/>
    <w:basedOn w:val="1"/>
    <w:link w:val="9"/>
    <w:unhideWhenUsed/>
    <w:qFormat/>
    <w:uiPriority w:val="99"/>
    <w:pPr>
      <w:tabs>
        <w:tab w:val="center" w:pos="4153"/>
        <w:tab w:val="right" w:pos="8306"/>
      </w:tabs>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5"/>
    <w:link w:val="4"/>
    <w:semiHidden/>
    <w:qFormat/>
    <w:uiPriority w:val="99"/>
    <w:rPr>
      <w:rFonts w:ascii="Tahoma" w:hAnsi="Tahoma"/>
      <w:sz w:val="18"/>
      <w:szCs w:val="18"/>
    </w:rPr>
  </w:style>
  <w:style w:type="character" w:customStyle="1" w:styleId="9">
    <w:name w:val="页脚 Char"/>
    <w:basedOn w:val="5"/>
    <w:link w:val="3"/>
    <w:semiHidden/>
    <w:qFormat/>
    <w:uiPriority w:val="99"/>
    <w:rPr>
      <w:rFonts w:ascii="Tahoma" w:hAnsi="Tahoma"/>
      <w:sz w:val="18"/>
      <w:szCs w:val="18"/>
    </w:rPr>
  </w:style>
  <w:style w:type="paragraph" w:customStyle="1" w:styleId="10">
    <w:name w:val="列出段落1"/>
    <w:basedOn w:val="1"/>
    <w:qFormat/>
    <w:uiPriority w:val="34"/>
    <w:pPr>
      <w:ind w:firstLine="420" w:firstLineChars="200"/>
    </w:pPr>
  </w:style>
  <w:style w:type="character" w:customStyle="1" w:styleId="11">
    <w:name w:val="占位符文本1"/>
    <w:basedOn w:val="5"/>
    <w:semiHidden/>
    <w:qFormat/>
    <w:uiPriority w:val="99"/>
    <w:rPr>
      <w:color w:val="808080"/>
    </w:rPr>
  </w:style>
  <w:style w:type="character" w:customStyle="1" w:styleId="12">
    <w:name w:val="批注框文本 Char"/>
    <w:basedOn w:val="5"/>
    <w:link w:val="2"/>
    <w:semiHidden/>
    <w:qFormat/>
    <w:uiPriority w:val="99"/>
    <w:rPr>
      <w:rFonts w:ascii="Tahoma" w:hAnsi="Tahoma"/>
      <w:sz w:val="18"/>
      <w:szCs w:val="18"/>
    </w:rPr>
  </w:style>
  <w:style w:type="character" w:customStyle="1" w:styleId="13">
    <w:name w:val="fontstyle01"/>
    <w:basedOn w:val="5"/>
    <w:qFormat/>
    <w:uiPriority w:val="0"/>
    <w:rPr>
      <w:rFonts w:hint="eastAsia" w:ascii="宋体" w:hAnsi="宋体" w:eastAsia="宋体"/>
      <w:color w:val="000000"/>
      <w:sz w:val="20"/>
      <w:szCs w:val="20"/>
    </w:rPr>
  </w:style>
  <w:style w:type="character" w:customStyle="1" w:styleId="14">
    <w:name w:val="fontstyle21"/>
    <w:basedOn w:val="5"/>
    <w:qFormat/>
    <w:uiPriority w:val="0"/>
    <w:rPr>
      <w:rFonts w:hint="default" w:ascii="SSJ0+ZMLGIv-3" w:hAnsi="SSJ0+ZMLGIv-3"/>
      <w:color w:val="000000"/>
      <w:sz w:val="20"/>
      <w:szCs w:val="20"/>
    </w:rPr>
  </w:style>
  <w:style w:type="character" w:customStyle="1" w:styleId="15">
    <w:name w:val="fontstyle31"/>
    <w:basedOn w:val="5"/>
    <w:uiPriority w:val="0"/>
    <w:rPr>
      <w:rFonts w:hint="default" w:ascii="E-BZ+ZMLGIu-1" w:hAnsi="E-BZ+ZMLGIu-1"/>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chart" Target="charts/chart1.xml"/><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Book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c:f>
              <c:strCache>
                <c:ptCount val="1"/>
                <c:pt idx="0">
                  <c:v>区间偏最小二乘法</c:v>
                </c:pt>
              </c:strCache>
            </c:strRef>
          </c:tx>
          <c:invertIfNegative val="0"/>
          <c:dLbls>
            <c:delete val="1"/>
          </c:dLbls>
          <c:val>
            <c:numRef>
              <c:f>Sheet1!$A$2:$A$6</c:f>
              <c:numCache>
                <c:formatCode>General</c:formatCode>
                <c:ptCount val="5"/>
                <c:pt idx="0">
                  <c:v>0.3</c:v>
                </c:pt>
                <c:pt idx="1">
                  <c:v>0.44</c:v>
                </c:pt>
                <c:pt idx="2">
                  <c:v>0.56</c:v>
                </c:pt>
                <c:pt idx="3">
                  <c:v>0.760000000000006</c:v>
                </c:pt>
                <c:pt idx="4">
                  <c:v>0.860000000000001</c:v>
                </c:pt>
              </c:numCache>
            </c:numRef>
          </c:val>
        </c:ser>
        <c:ser>
          <c:idx val="1"/>
          <c:order val="1"/>
          <c:tx>
            <c:strRef>
              <c:f>Sheet1!$B$1</c:f>
              <c:strCache>
                <c:ptCount val="1"/>
                <c:pt idx="0">
                  <c:v>传统偏最小二乘法</c:v>
                </c:pt>
              </c:strCache>
            </c:strRef>
          </c:tx>
          <c:invertIfNegative val="0"/>
          <c:dLbls>
            <c:delete val="1"/>
          </c:dLbls>
          <c:val>
            <c:numRef>
              <c:f>Sheet1!$B$2:$B$6</c:f>
              <c:numCache>
                <c:formatCode>General</c:formatCode>
                <c:ptCount val="5"/>
                <c:pt idx="0">
                  <c:v>0.4</c:v>
                </c:pt>
                <c:pt idx="1">
                  <c:v>0.5</c:v>
                </c:pt>
                <c:pt idx="2">
                  <c:v>0.660000000000007</c:v>
                </c:pt>
                <c:pt idx="3">
                  <c:v>0.840000000000001</c:v>
                </c:pt>
                <c:pt idx="4">
                  <c:v>0.98</c:v>
                </c:pt>
              </c:numCache>
            </c:numRef>
          </c:val>
        </c:ser>
        <c:dLbls>
          <c:showLegendKey val="0"/>
          <c:showVal val="0"/>
          <c:showCatName val="0"/>
          <c:showSerName val="0"/>
          <c:showPercent val="0"/>
          <c:showBubbleSize val="0"/>
        </c:dLbls>
        <c:gapWidth val="150"/>
        <c:axId val="81285120"/>
        <c:axId val="81286656"/>
      </c:barChart>
      <c:catAx>
        <c:axId val="81285120"/>
        <c:scaling>
          <c:orientation val="minMax"/>
        </c:scaling>
        <c:delete val="0"/>
        <c:axPos val="b"/>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1286656"/>
        <c:crosses val="autoZero"/>
        <c:auto val="1"/>
        <c:lblAlgn val="ctr"/>
        <c:lblOffset val="100"/>
        <c:noMultiLvlLbl val="0"/>
      </c:catAx>
      <c:valAx>
        <c:axId val="81286656"/>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81285120"/>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3E8E9C-2A92-40BA-9C0C-B94D82CC1CC8}">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962</Words>
  <Characters>5486</Characters>
  <Lines>45</Lines>
  <Paragraphs>12</Paragraphs>
  <TotalTime>0</TotalTime>
  <ScaleCrop>false</ScaleCrop>
  <LinksUpToDate>false</LinksUpToDate>
  <CharactersWithSpaces>6436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zq</dc:creator>
  <cp:lastModifiedBy>user</cp:lastModifiedBy>
  <dcterms:modified xsi:type="dcterms:W3CDTF">2017-04-18T01:49:03Z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