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Tan</w:t>
      </w:r>
    </w:p>
    <w:p>
      <w:pPr>
        <w:pStyle w:val="Heading1"/>
      </w:pPr>
      <w:r>
        <w:t>Projects</w:t>
      </w:r>
    </w:p>
    <w:p>
      <w:r>
        <w:t>Ticket routing model: fine-tuned XLM-RoBERTa for multilingual support tickets, 0.87 macro F1.</w:t>
      </w:r>
    </w:p>
    <w:p>
      <w:r>
        <w:t>Chatbot for master data questions built with Streamlit and SQLite.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Certification</w:t>
            </w:r>
          </w:p>
        </w:tc>
        <w:tc>
          <w:tcPr>
            <w:tcW w:type="dxa" w:w="4320"/>
          </w:tcPr>
          <w:p>
            <w:r>
              <w:t>Year</w:t>
            </w:r>
          </w:p>
        </w:tc>
      </w:tr>
      <w:tr>
        <w:tc>
          <w:tcPr>
            <w:tcW w:type="dxa" w:w="4320"/>
          </w:tcPr>
          <w:p>
            <w:r>
              <w:t>AWS Machine Learning Specialty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