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P851-002-4:2025-C03-W01 / Prepare learning environment</w:t>
            </w:r>
          </w:p>
          <w:p>
            <w: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P09</w:t>
      </w:r>
    </w:p>
    <w:p>
      <w:r>
        <w:rPr>
          <w:b/>
        </w:rPr>
        <w:t>JAM PENGETAHUAN:</w:t>
      </w:r>
    </w:p>
    <w:p>
      <w:r>
        <w:t>58.8 j (168 j x 35% pemberat WA)</w:t>
      </w:r>
    </w:p>
    <w:p/>
    <w:p>
      <w:r>
        <w:rPr>
          <w:b/>
        </w:rPr>
        <w:t>TAJUK:</w:t>
      </w:r>
    </w:p>
    <w:p>
      <w:r>
        <w:t>Menyediakan Persekitaran Pembelajaran Prasekolah (Preparing the Preschool Learning Environment)</w:t>
      </w:r>
    </w:p>
    <w:p/>
    <w:p>
      <w:r>
        <w:rPr>
          <w:b/>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pStyle w:val="ListParagraph"/>
      </w:pPr>
      <w:r>
        <w:t>• Mengenal pasti kandungan jadual waktu NPC dan kaitannya dengan penyediaan persekitaran.</w:t>
      </w:r>
    </w:p>
    <w:p>
      <w:pPr>
        <w:pStyle w:val="ListParagraph"/>
      </w:pPr>
      <w:r>
        <w:t>• Merancang susun atur bilik darjah yang selamat dan sesuai dengan pendekatan pembelajaran yang dipilih.</w:t>
      </w:r>
    </w:p>
    <w:p>
      <w:pPr>
        <w:pStyle w:val="ListParagraph"/>
      </w:pPr>
      <w:r>
        <w:t>• Menyediakan sudut/ruang pembelajaran (*learning corners*) mengikut strategi pembelajaran yang bersesuaian.</w:t>
      </w:r>
    </w:p>
    <w:p>
      <w:pPr>
        <w:pStyle w:val="ListParagraph"/>
      </w:pPr>
      <w:r>
        <w:t>• Menilai keberkesanan persekitaran pembelajaran menggunakan alat penilaian yang sah.</w:t>
      </w:r>
    </w:p>
    <w:p>
      <w:pPr>
        <w:pStyle w:val="ListParagraph"/>
      </w:pPr>
      <w:r>
        <w:t>• Mematuhi piawaian dan polisi HSE dalam penyediaan bilik darjah.</w:t>
      </w:r>
    </w:p>
    <w:p/>
    <w:p>
      <w:r>
        <w:rPr>
          <w:b/>
        </w:rPr>
        <w:t>PENERANGAN:</w:t>
      </w:r>
    </w:p>
    <w:p>
      <w:r>
        <w:rPr>
          <w:b/>
          <w:sz w:val="36"/>
        </w:rPr>
        <w:t>Bab 1: National Preschool Curriculum content (timetable scheduling)</w:t>
      </w:r>
    </w:p>
    <w:p>
      <w:r>
        <w:rPr>
          <w:b/>
          <w:sz w:val="26"/>
        </w:rPr>
        <w:t>Objektif Pembelajaran</w:t>
      </w:r>
    </w:p>
    <w:p>
      <w:r>
        <w:t>Selepas mempelajari topik ini, pelatih dapat:</w:t>
      </w:r>
    </w:p>
    <w:p>
      <w:pPr>
        <w:pStyle w:val="ListParagraph"/>
      </w:pPr>
      <w:r>
        <w:t>• Menjelaskan kandungan *Kurikulum Standard Prasekolah Kebangsaan* (KSPK) yang berkaitan dengan penjadualan waktu.</w:t>
      </w:r>
    </w:p>
    <w:p>
      <w:pPr>
        <w:pStyle w:val="ListParagraph"/>
      </w:pPr>
      <w:r>
        <w:t>• Mengenal pasti komponen jadual waktu harian prasekolah.</w:t>
      </w:r>
    </w:p>
    <w:p>
      <w:pPr>
        <w:pStyle w:val="ListParagraph"/>
      </w:pPr>
      <w:r>
        <w:t>• Menentukan jadual waktu terkini mengikut rancangan pengajaran.</w:t>
      </w:r>
    </w:p>
    <w:p>
      <w:r>
        <w:rPr>
          <w:b/>
          <w:sz w:val="26"/>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r>
        <w:rPr>
          <w:b/>
          <w:sz w:val="26"/>
        </w:rPr>
        <w:t>2. Struktur Jadual Waktu Harian Tadika</w:t>
      </w:r>
    </w:p>
    <w:tbl>
      <w:tblPr>
        <w:tblStyle w:val="TableGrid"/>
        <w:tblW w:type="auto" w:w="0"/>
        <w:tblLook w:firstColumn="1" w:firstRow="1" w:lastColumn="0" w:lastRow="0" w:noHBand="0" w:noVBand="1" w:val="04A0"/>
      </w:tblPr>
      <w:tblGrid>
        <w:gridCol w:w="4656"/>
        <w:gridCol w:w="4656"/>
      </w:tblGrid>
      <w:tr>
        <w:tc>
          <w:tcPr>
            <w:tcW w:type="dxa" w:w="4656"/>
          </w:tcPr>
          <w:p>
            <w:r>
              <w:t>Slot Masa</w:t>
            </w:r>
          </w:p>
        </w:tc>
        <w:tc>
          <w:tcPr>
            <w:tcW w:type="dxa" w:w="4656"/>
          </w:tcPr>
          <w:p>
            <w:r>
              <w:t>Aktiviti Biasa</w:t>
            </w:r>
          </w:p>
        </w:tc>
      </w:tr>
      <w:tr>
        <w:tc>
          <w:tcPr>
            <w:tcW w:type="dxa" w:w="4656"/>
          </w:tcPr>
          <w:p>
            <w:r>
              <w:t>7.30–8.00 pagi</w:t>
            </w:r>
          </w:p>
        </w:tc>
        <w:tc>
          <w:tcPr>
            <w:tcW w:type="dxa" w:w="4656"/>
          </w:tcPr>
          <w:p>
            <w:r>
              <w:t>Ketibaan &amp; pemeriksaan kesihatan</w:t>
            </w:r>
          </w:p>
        </w:tc>
      </w:tr>
      <w:tr>
        <w:tc>
          <w:tcPr>
            <w:tcW w:type="dxa" w:w="4656"/>
          </w:tcPr>
          <w:p>
            <w:r>
              <w:t>8.00–8.30 pagi</w:t>
            </w:r>
          </w:p>
        </w:tc>
        <w:tc>
          <w:tcPr>
            <w:tcW w:type="dxa" w:w="4656"/>
          </w:tcPr>
          <w:p>
            <w:r>
              <w:t>Perhimpunan &amp; rutin pagi</w:t>
            </w:r>
          </w:p>
        </w:tc>
      </w:tr>
      <w:tr>
        <w:tc>
          <w:tcPr>
            <w:tcW w:type="dxa" w:w="4656"/>
          </w:tcPr>
          <w:p>
            <w:r>
              <w:t>8.30–10.00 pagi</w:t>
            </w:r>
          </w:p>
        </w:tc>
        <w:tc>
          <w:tcPr>
            <w:tcW w:type="dxa" w:w="4656"/>
          </w:tcPr>
          <w:p>
            <w:r>
              <w:t>Sesi pembelajaran teras (Bahasa/Matematik)</w:t>
            </w:r>
          </w:p>
        </w:tc>
      </w:tr>
      <w:tr>
        <w:tc>
          <w:tcPr>
            <w:tcW w:type="dxa" w:w="4656"/>
          </w:tcPr>
          <w:p>
            <w:r>
              <w:t>10.00–10.30 pagi</w:t>
            </w:r>
          </w:p>
        </w:tc>
        <w:tc>
          <w:tcPr>
            <w:tcW w:type="dxa" w:w="4656"/>
          </w:tcPr>
          <w:p>
            <w:r>
              <w:t>Rehat</w:t>
            </w:r>
          </w:p>
        </w:tc>
      </w:tr>
      <w:tr>
        <w:tc>
          <w:tcPr>
            <w:tcW w:type="dxa" w:w="4656"/>
          </w:tcPr>
          <w:p>
            <w:r>
              <w:t>10.30–12.00 tengah hari</w:t>
            </w:r>
          </w:p>
        </w:tc>
        <w:tc>
          <w:tcPr>
            <w:tcW w:type="dxa" w:w="4656"/>
          </w:tcPr>
          <w:p>
            <w:r>
              <w:t>Sudut pembelajaran / aktiviti kreatif</w:t>
            </w:r>
          </w:p>
        </w:tc>
      </w:tr>
      <w:tr>
        <w:tc>
          <w:tcPr>
            <w:tcW w:type="dxa" w:w="4656"/>
          </w:tcPr>
          <w:p>
            <w:r>
              <w:t>12.00–1.00 petang</w:t>
            </w:r>
          </w:p>
        </w:tc>
        <w:tc>
          <w:tcPr>
            <w:tcW w:type="dxa" w:w="4656"/>
          </w:tcPr>
          <w:p>
            <w:r>
              <w:t>Makan tengah hari &amp; bersedia pulang</w:t>
            </w:r>
          </w:p>
        </w:tc>
      </w:tr>
    </w:tbl>
    <w:p>
      <w:r>
        <w:rPr>
          <w:b/>
          <w:sz w:val="26"/>
        </w:rPr>
        <w:t>3. Papar Jadual Waktu</w:t>
      </w:r>
    </w:p>
    <w:p>
      <w:r>
        <w:t>Jadual waktu mesti dipamerkan di lokasi yang jelas dilihat oleh guru, murid dan ibu bapa, biasanya di papan buletin bilik darjah, supaya susunan aktiviti telus dan mudah dirujuk semasa pemeriksaan kualiti.</w:t>
      </w:r>
    </w:p>
    <w:p>
      <w:r>
        <w:rPr>
          <w:b/>
          <w:sz w:val="26"/>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r>
        <w:rPr>
          <w:b/>
          <w:sz w:val="26"/>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r>
        <w:rPr>
          <w:b/>
          <w:sz w:val="26"/>
        </w:rPr>
        <w:t>6. Rumusan</w:t>
      </w:r>
    </w:p>
    <w:p>
      <w: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p>
      <w:r>
        <w:rPr>
          <w:b/>
          <w:sz w:val="36"/>
        </w:rPr>
        <w:t>Bab 2: Classroom environment layout (Classroom layout; Emergency exit)</w:t>
      </w:r>
    </w:p>
    <w:p>
      <w:r>
        <w:rPr>
          <w:b/>
          <w:sz w:val="26"/>
        </w:rPr>
        <w:t>Objektif Pembelajaran</w:t>
      </w:r>
    </w:p>
    <w:p>
      <w:r>
        <w:t>Selepas mempelajari topik ini, pelatih dapat:</w:t>
      </w:r>
    </w:p>
    <w:p>
      <w:pPr>
        <w:pStyle w:val="ListParagraph"/>
      </w:pPr>
      <w:r>
        <w:t>• Menerangkan prinsip susun atur bilik darjah prasekolah yang selamat dan kondusif.</w:t>
      </w:r>
    </w:p>
    <w:p>
      <w:pPr>
        <w:pStyle w:val="ListParagraph"/>
      </w:pPr>
      <w:r>
        <w:t>• Mengenal pasti keperluan laluan kecemasan (*emergency exit*) dalam bilik darjah.</w:t>
      </w:r>
    </w:p>
    <w:p>
      <w:pPr>
        <w:pStyle w:val="ListParagraph"/>
      </w:pPr>
      <w:r>
        <w:t>• Merancang susun atur bilik darjah mengikut aktiviti pembelajaran.</w:t>
      </w:r>
    </w:p>
    <w:p>
      <w:r>
        <w:rPr>
          <w:b/>
          <w:sz w:val="26"/>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r>
        <w:rPr>
          <w:b/>
          <w:sz w:val="26"/>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r>
        <w:rPr>
          <w:b/>
          <w:sz w:val="26"/>
        </w:rPr>
        <w:t>3. Contoh Susun Atur Tadika</w:t>
      </w:r>
    </w:p>
    <w:tbl>
      <w:tblPr>
        <w:tblStyle w:val="TableGrid"/>
        <w:tblW w:type="auto" w:w="0"/>
        <w:tblLook w:firstColumn="1" w:firstRow="1" w:lastColumn="0" w:lastRow="0" w:noHBand="0" w:noVBand="1" w:val="04A0"/>
      </w:tblPr>
      <w:tblGrid>
        <w:gridCol w:w="4656"/>
        <w:gridCol w:w="4656"/>
      </w:tblGrid>
      <w:tr>
        <w:tc>
          <w:tcPr>
            <w:tcW w:type="dxa" w:w="4656"/>
          </w:tcPr>
          <w:p>
            <w:r>
              <w:t>Zon</w:t>
            </w:r>
          </w:p>
        </w:tc>
        <w:tc>
          <w:tcPr>
            <w:tcW w:type="dxa" w:w="4656"/>
          </w:tcPr>
          <w:p>
            <w:r>
              <w:t>Kandungan</w:t>
            </w:r>
          </w:p>
        </w:tc>
      </w:tr>
      <w:tr>
        <w:tc>
          <w:tcPr>
            <w:tcW w:type="dxa" w:w="4656"/>
          </w:tcPr>
          <w:p>
            <w:r>
              <w:t>Zon Tenang</w:t>
            </w:r>
          </w:p>
        </w:tc>
        <w:tc>
          <w:tcPr>
            <w:tcW w:type="dxa" w:w="4656"/>
          </w:tcPr>
          <w:p>
            <w:r>
              <w:t>Sudut bacaan, bantal, rak buku rendah</w:t>
            </w:r>
          </w:p>
        </w:tc>
      </w:tr>
      <w:tr>
        <w:tc>
          <w:tcPr>
            <w:tcW w:type="dxa" w:w="4656"/>
          </w:tcPr>
          <w:p>
            <w:r>
              <w:t>Zon Aktif</w:t>
            </w:r>
          </w:p>
        </w:tc>
        <w:tc>
          <w:tcPr>
            <w:tcW w:type="dxa" w:w="4656"/>
          </w:tcPr>
          <w:p>
            <w:r>
              <w:t>Blok binaan, ruang permainan fizikal</w:t>
            </w:r>
          </w:p>
        </w:tc>
      </w:tr>
      <w:tr>
        <w:tc>
          <w:tcPr>
            <w:tcW w:type="dxa" w:w="4656"/>
          </w:tcPr>
          <w:p>
            <w:r>
              <w:t>Zon Kreatif</w:t>
            </w:r>
          </w:p>
        </w:tc>
        <w:tc>
          <w:tcPr>
            <w:tcW w:type="dxa" w:w="4656"/>
          </w:tcPr>
          <w:p>
            <w:r>
              <w:t>Meja seni, bahan lukisan</w:t>
            </w:r>
          </w:p>
        </w:tc>
      </w:tr>
      <w:tr>
        <w:tc>
          <w:tcPr>
            <w:tcW w:type="dxa" w:w="4656"/>
          </w:tcPr>
          <w:p>
            <w:r>
              <w:t>Zon Peribadi</w:t>
            </w:r>
          </w:p>
        </w:tc>
        <w:tc>
          <w:tcPr>
            <w:tcW w:type="dxa" w:w="4656"/>
          </w:tcPr>
          <w:p>
            <w:r>
              <w:t>Loker/rak beg dan kasut murid</w:t>
            </w:r>
          </w:p>
        </w:tc>
      </w:tr>
    </w:tbl>
    <w:p>
      <w:r>
        <w:rPr>
          <w:b/>
          <w:sz w:val="26"/>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r>
        <w:rPr>
          <w:b/>
          <w:sz w:val="26"/>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r>
        <w:rPr>
          <w:b/>
          <w:sz w:val="26"/>
        </w:rPr>
        <w:t>6. Rumusan</w:t>
      </w:r>
    </w:p>
    <w:p>
      <w:r>
        <w:t>Susun atur yang teratur dengan laluan kecemasan yang jelas, digabungkan dengan latihan kebakaran berkala dan perabot yang selamat dari segi ergonomik, memastikan pergerakan lancar dan keselamatan murid pada setiap masa, termasuk semasa situasi kecemasan.</w:t>
      </w:r>
    </w:p>
    <w:p>
      <w:r>
        <w:rPr>
          <w:b/>
          <w:sz w:val="36"/>
        </w:rPr>
        <w:t>Bab 3: Prepare learning environment (Set up interactive display; Resources organisation; Clean, safe and secure area; Type of learning approaches)</w:t>
      </w:r>
    </w:p>
    <w:p>
      <w:r>
        <w:rPr>
          <w:b/>
          <w:sz w:val="26"/>
        </w:rPr>
        <w:t>Objektif Pembelajaran</w:t>
      </w:r>
    </w:p>
    <w:p>
      <w:r>
        <w:t>Selepas mempelajari topik ini, pelatih dapat:</w:t>
      </w:r>
    </w:p>
    <w:p>
      <w:pPr>
        <w:pStyle w:val="ListParagraph"/>
      </w:pPr>
      <w:r>
        <w:t>• Menyediakan paparan interaktif (*interactive display*) yang sesuai dengan tema pembelajaran.</w:t>
      </w:r>
    </w:p>
    <w:p>
      <w:pPr>
        <w:pStyle w:val="ListParagraph"/>
      </w:pPr>
      <w:r>
        <w:t>• Mengatur sumber pembelajaran secara sistematik dan mudah dicapai murid.</w:t>
      </w:r>
    </w:p>
    <w:p>
      <w:pPr>
        <w:pStyle w:val="ListParagraph"/>
      </w:pPr>
      <w:r>
        <w:t>• Memastikan kawasan pembelajaran bersih, selamat dan terjamin.</w:t>
      </w:r>
    </w:p>
    <w:p>
      <w:pPr>
        <w:pStyle w:val="ListParagraph"/>
      </w:pPr>
      <w:r>
        <w:t>• Mengaitkan penyediaan persekitaran dengan jenis pendekatan pembelajaran yang dipilih.</w:t>
      </w:r>
    </w:p>
    <w:p>
      <w:r>
        <w:rPr>
          <w:b/>
          <w:sz w:val="26"/>
        </w:rPr>
        <w:t>1. Paparan Interaktif</w:t>
      </w:r>
    </w:p>
    <w:p>
      <w:r>
        <w:t>Paparan interaktif seperti papan tema, carta cuaca, dan carta kehadiran diletakkan pada paras mata murid supaya mereka boleh berinteraksi secara aktif — contohnya murid menampal gambar cuaca hari itu sendiri.</w:t>
      </w:r>
    </w:p>
    <w:p>
      <w:r>
        <w:rPr>
          <w:b/>
          <w:sz w:val="26"/>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r>
        <w:rPr>
          <w:b/>
          <w:sz w:val="26"/>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r>
        <w:rPr>
          <w:b/>
          <w:sz w:val="26"/>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r>
        <w:rPr>
          <w:b/>
          <w:sz w:val="26"/>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r>
        <w:rPr>
          <w:b/>
          <w:sz w:val="26"/>
        </w:rPr>
        <w:t>6. Rumusan</w:t>
      </w:r>
    </w:p>
    <w:p>
      <w:r>
        <w:t>Penyediaan persekitaran yang menggabungkan paparan interaktif, sumber tersusun, kawasan bersih dan selamat, kesesuaian dengan pendekatan pembelajaran, serta penglibatan murid sendiri membentuk bilik darjah yang benar-benar kondusif dan menyeronokkan.</w:t>
      </w:r>
    </w:p>
    <w:p>
      <w:r>
        <w:rPr>
          <w:b/>
          <w:sz w:val="36"/>
        </w:rPr>
        <w:t>Bab 4: Learning strategies (Thematic; Project approach; Learning centre; Documentation)</w:t>
      </w:r>
    </w:p>
    <w:p>
      <w:r>
        <w:rPr>
          <w:b/>
          <w:sz w:val="26"/>
        </w:rPr>
        <w:t>Objektif Pembelajaran</w:t>
      </w:r>
    </w:p>
    <w:p>
      <w:r>
        <w:t>Selepas mempelajari topik ini, pelatih dapat:</w:t>
      </w:r>
    </w:p>
    <w:p>
      <w:pPr>
        <w:pStyle w:val="ListParagraph"/>
      </w:pPr>
      <w:r>
        <w:t>• Membezakan empat strategi pembelajaran utama dalam KSPK.</w:t>
      </w:r>
    </w:p>
    <w:p>
      <w:pPr>
        <w:pStyle w:val="ListParagraph"/>
      </w:pPr>
      <w:r>
        <w:t>• Menjelaskan kesan setiap strategi terhadap reka bentuk persekitaran bilik darjah.</w:t>
      </w:r>
    </w:p>
    <w:p>
      <w:pPr>
        <w:pStyle w:val="ListParagraph"/>
      </w:pPr>
      <w:r>
        <w:t>• Mencadangkan strategi pembelajaran yang sesuai mengikut tema mingguan.</w:t>
      </w:r>
    </w:p>
    <w:p>
      <w:r>
        <w:rPr>
          <w:b/>
          <w:sz w:val="26"/>
        </w:rPr>
        <w:t>1. Thematic Approach</w:t>
      </w:r>
    </w:p>
    <w:p>
      <w:r>
        <w:t>Pembelajaran disusun sekitar satu tema (contoh: "Haiwan Ternakan") merentas semua tunjang KSPK selama seminggu atau lebih, dengan persekitaran bilik darjah dihiasi mengikut tema tersebut.</w:t>
      </w:r>
    </w:p>
    <w:p>
      <w:r>
        <w:rPr>
          <w:b/>
          <w:sz w:val="26"/>
        </w:rPr>
        <w:t>2. Project Approach</w:t>
      </w:r>
    </w:p>
    <w:p>
      <w:r>
        <w:t>Murid meneroka satu topik secara mendalam melalui penyiasatan berperingkat (mencetuskan minat, penyiasatan, dan refleksi/perkongsian), memerlukan ruang paparan proses dan hasil projek yang berterusan.</w:t>
      </w:r>
    </w:p>
    <w:p>
      <w:r>
        <w:rPr>
          <w:b/>
          <w:sz w:val="26"/>
        </w:rPr>
        <w:t>3. Learning Centre</w:t>
      </w:r>
    </w:p>
    <w:p>
      <w:r>
        <w:t>Bilik darjah dibahagikan kepada beberapa sudut pembelajaran tetap (sudut bahasa, sudut sains, sudut matematik, sudut seni) yang boleh dikunjungi murid secara rotasi mengikut minat.</w:t>
      </w:r>
    </w:p>
    <w:p>
      <w:r>
        <w:rPr>
          <w:b/>
          <w:sz w:val="26"/>
        </w:rPr>
        <w:t>4. Documentation</w:t>
      </w:r>
    </w:p>
    <w:p>
      <w:r>
        <w:t>Pendokumentasian (foto, kerja tangan murid, nota pemerhatian) dipamerkan di bilik darjah sebagai bukti proses pembelajaran dan digunakan semasa membincangkan kemajuan murid bersama ibu bapa.</w:t>
      </w:r>
    </w:p>
    <w:p>
      <w:r>
        <w:rPr>
          <w:b/>
          <w:sz w:val="26"/>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r>
        <w:rPr>
          <w:b/>
          <w:sz w:val="26"/>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r>
        <w:rPr>
          <w:b/>
          <w:sz w:val="26"/>
        </w:rPr>
        <w:t>7. Rumusan</w:t>
      </w:r>
    </w:p>
    <w:p>
      <w: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p>
      <w:r>
        <w:rPr>
          <w:b/>
          <w:sz w:val="36"/>
        </w:rPr>
        <w:t>Bab 5: Evaluation tools (Checklist — lighting, air ventilation and temperature; Observation; Feedback from colleagues)</w:t>
      </w:r>
    </w:p>
    <w:p>
      <w:r>
        <w:rPr>
          <w:b/>
          <w:sz w:val="26"/>
        </w:rPr>
        <w:t>Objektif Pembelajaran</w:t>
      </w:r>
    </w:p>
    <w:p>
      <w:r>
        <w:t>Selepas mempelajari topik ini, pelatih dapat:</w:t>
      </w:r>
    </w:p>
    <w:p>
      <w:pPr>
        <w:pStyle w:val="ListParagraph"/>
      </w:pPr>
      <w:r>
        <w:t>• Menyenaraikan alat penilaian keberkesanan persekitaran pembelajaran.</w:t>
      </w:r>
    </w:p>
    <w:p>
      <w:pPr>
        <w:pStyle w:val="ListParagraph"/>
      </w:pPr>
      <w:r>
        <w:t>• Menggunakan senarai semak (*checklist*) untuk menilai pencahayaan, pengudaraan dan suhu bilik darjah.</w:t>
      </w:r>
    </w:p>
    <w:p>
      <w:pPr>
        <w:pStyle w:val="ListParagraph"/>
      </w:pPr>
      <w:r>
        <w:t>• Menggabungkan pemerhatian dan maklum balas rakan sekerja dalam penambahbaikan persekitaran.</w:t>
      </w:r>
    </w:p>
    <w:p>
      <w:r>
        <w:rPr>
          <w:b/>
          <w:sz w:val="26"/>
        </w:rPr>
        <w:t>1. Checklist Persekitaran Fizikal</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Kriteria Semakan</w:t>
            </w:r>
          </w:p>
        </w:tc>
      </w:tr>
      <w:tr>
        <w:tc>
          <w:tcPr>
            <w:tcW w:type="dxa" w:w="4656"/>
          </w:tcPr>
          <w:p>
            <w:r>
              <w:t>Pencahayaan</w:t>
            </w:r>
          </w:p>
        </w:tc>
        <w:tc>
          <w:tcPr>
            <w:tcW w:type="dxa" w:w="4656"/>
          </w:tcPr>
          <w:p>
            <w:r>
              <w:t>Cukup terang tanpa silauan; lampu berfungsi</w:t>
            </w:r>
          </w:p>
        </w:tc>
      </w:tr>
      <w:tr>
        <w:tc>
          <w:tcPr>
            <w:tcW w:type="dxa" w:w="4656"/>
          </w:tcPr>
          <w:p>
            <w:r>
              <w:t>Pengudaraan</w:t>
            </w:r>
          </w:p>
        </w:tc>
        <w:tc>
          <w:tcPr>
            <w:tcW w:type="dxa" w:w="4656"/>
          </w:tcPr>
          <w:p>
            <w:r>
              <w:t>Pengaliran udara lancar; kipas/penghawa dingin berfungsi</w:t>
            </w:r>
          </w:p>
        </w:tc>
      </w:tr>
      <w:tr>
        <w:tc>
          <w:tcPr>
            <w:tcW w:type="dxa" w:w="4656"/>
          </w:tcPr>
          <w:p>
            <w:r>
              <w:t>Suhu</w:t>
            </w:r>
          </w:p>
        </w:tc>
        <w:tc>
          <w:tcPr>
            <w:tcW w:type="dxa" w:w="4656"/>
          </w:tcPr>
          <w:p>
            <w:r>
              <w:t>Selesa (anggaran 24–26°C)</w:t>
            </w:r>
          </w:p>
        </w:tc>
      </w:tr>
      <w:tr>
        <w:tc>
          <w:tcPr>
            <w:tcW w:type="dxa" w:w="4656"/>
          </w:tcPr>
          <w:p>
            <w:r>
              <w:t>Bunyi</w:t>
            </w:r>
          </w:p>
        </w:tc>
        <w:tc>
          <w:tcPr>
            <w:tcW w:type="dxa" w:w="4656"/>
          </w:tcPr>
          <w:p>
            <w:r>
              <w:t>Bebas daripada bunyi bising luaran berlebihan</w:t>
            </w:r>
          </w:p>
        </w:tc>
      </w:tr>
    </w:tbl>
    <w:p>
      <w:r>
        <w:rPr>
          <w:b/>
          <w:sz w:val="26"/>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r>
        <w:rPr>
          <w:b/>
          <w:sz w:val="26"/>
        </w:rPr>
        <w:t>3. Maklum Balas Rakan Sekerja</w:t>
      </w:r>
    </w:p>
    <w:p>
      <w:r>
        <w:t>Guru lain atau penyelia dijemput memberi pandangan bebas tentang keberkesanan susun atur, kerana pandangan luar sering mengesan isu yang tidak disedari guru bilik darjah tersebut sendiri.</w:t>
      </w:r>
    </w:p>
    <w:p>
      <w:r>
        <w:rPr>
          <w:b/>
          <w:sz w:val="26"/>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r>
        <w:rPr>
          <w:b/>
          <w:sz w:val="26"/>
        </w:rPr>
        <w:t>5. Rumusan</w:t>
      </w:r>
    </w:p>
    <w:p>
      <w:r>
        <w:t>Gabungan senarai semak objektif, pemerhatian berterusan, dan maklum balas rakan sekerja — disertai kekerapan penilaian yang konsisten dan tindakan susulan yang jelas — membolehkan penilaian menyeluruh dan penambahbaikan berterusan terhadap persekitaran pembelajaran.</w:t>
      </w:r>
    </w:p>
    <w:p>
      <w:r>
        <w:rPr>
          <w:b/>
          <w:sz w:val="36"/>
        </w:rPr>
        <w:t>Bab 6: Health, Safety and Environment (HSE) standard and policy</w:t>
      </w:r>
    </w:p>
    <w:p>
      <w:r>
        <w:rPr>
          <w:b/>
          <w:sz w:val="26"/>
        </w:rPr>
        <w:t>Objektif Pembelajaran</w:t>
      </w:r>
    </w:p>
    <w:p>
      <w:r>
        <w:t>Selepas mempelajari topik ini, pelatih dapat:</w:t>
      </w:r>
    </w:p>
    <w:p>
      <w:pPr>
        <w:pStyle w:val="ListParagraph"/>
      </w:pPr>
      <w:r>
        <w:t>• Menjelaskan piawaian dan polisi HSE yang berkaitan dengan bilik darjah prasekolah.</w:t>
      </w:r>
    </w:p>
    <w:p>
      <w:pPr>
        <w:pStyle w:val="ListParagraph"/>
      </w:pPr>
      <w:r>
        <w:t>• Mengenal pasti tanggungjawab guru dalam mematuhi keperluan HSE.</w:t>
      </w:r>
    </w:p>
    <w:p>
      <w:pPr>
        <w:pStyle w:val="ListParagraph"/>
      </w:pPr>
      <w:r>
        <w:t>• Mengaitkan pematuhan HSE dengan akta dan garis panduan berkaitan.</w:t>
      </w:r>
    </w:p>
    <w:p>
      <w:r>
        <w:rPr>
          <w:b/>
          <w:sz w:val="26"/>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r>
        <w:rPr>
          <w:b/>
          <w:sz w:val="26"/>
        </w:rPr>
        <w:t>2. Keperluan Praktikal HSE</w:t>
      </w:r>
    </w:p>
    <w:p>
      <w:r>
        <w:t>Termasuk perabot mengikut saiz umur murid dan bebas hujung tajam, sistem pemadam kebakaran berfungsi, kotak pertolongan cemas lengkap dan mudah dicapai, serta bekalan air bersih untuk mencuci tangan.</w:t>
      </w:r>
    </w:p>
    <w:p>
      <w:r>
        <w:rPr>
          <w:b/>
          <w:sz w:val="26"/>
        </w:rPr>
        <w:t>3. Tanggungjawab Guru</w:t>
      </w:r>
    </w:p>
    <w:p>
      <w:r>
        <w:t>Guru bertanggungjawab menjalankan pemeriksaan HSE harian ringkas dan melaporkan sebarang kerosakan atau bahaya kepada pengetua/prinsipal dengan segera untuk tindakan pembaikan.</w:t>
      </w:r>
    </w:p>
    <w:p>
      <w:r>
        <w:rPr>
          <w:b/>
          <w:sz w:val="26"/>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r>
        <w:rPr>
          <w:b/>
          <w:sz w:val="26"/>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r>
        <w:rPr>
          <w:b/>
          <w:sz w:val="26"/>
        </w:rPr>
        <w:t>6. Rumusan</w:t>
      </w:r>
    </w:p>
    <w:p>
      <w:r>
        <w:t>Pematuhan piawaian dan polisi HSE — disokong dengan dokumentasi pemeriksaan yang kemas kini — bukan sahaja keperluan perundangan tetapi asas kepada tanggungjawab profesional guru dalam memastikan bilik darjah sentiasa selamat untuk murid.</w:t>
      </w:r>
    </w:p>
    <w:p>
      <w:r>
        <w:rPr>
          <w:b/>
        </w:rPr>
        <w:t>SOALAN:</w:t>
      </w:r>
    </w:p>
    <w:p>
      <w:pPr>
        <w:pStyle w:val="ListParagraph"/>
      </w:pPr>
      <w:r>
        <w:t>• 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pStyle w:val="ListParagraph"/>
      </w:pPr>
      <w:r>
        <w:t>• 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pStyle w:val="ListParagraph"/>
      </w:pPr>
      <w:r>
        <w:t>• 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