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rPr>
                <w:b/>
              </w:rP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16.8 j (168 j x 10% pemberat WA)</w:t>
      </w:r>
    </w:p>
    <w:p/>
    <w:p>
      <w:r>
        <w:rPr>
          <w:b/>
        </w:rPr>
        <w:t>TAJUK:</w:t>
      </w:r>
    </w:p>
    <w:p>
      <w:r>
        <w:t>Menyampaikan Hasil Pentaksiran Murid Prasekolah (Presenting Pupil's Assessment Outcome)</w:t>
      </w:r>
    </w:p>
    <w:p/>
    <w:p>
      <w:r>
        <w:rPr>
          <w:b/>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
      <w:r>
        <w:rPr>
          <w:b/>
        </w:rPr>
        <w:t>PENERANGAN:</w:t>
      </w:r>
    </w:p>
    <w:p>
      <w:r>
        <w:rPr>
          <w:b/>
          <w:sz w:val="36"/>
        </w:rPr>
        <w:t>Bab 1: Effective Communication</w:t>
      </w:r>
    </w:p>
    <w:p>
      <w:r>
        <w:rPr>
          <w:b/>
          <w:sz w:val="26"/>
        </w:rPr>
        <w:t>Objektif Pembelajaran</w:t>
      </w:r>
    </w:p>
    <w:p>
      <w:r>
        <w:t>Selepas mempelajari topik ini, pelatih dapat:</w:t>
      </w:r>
    </w:p>
    <w:p>
      <w:pPr>
        <w:pStyle w:val="ListParagraph"/>
      </w:pPr>
      <w:r>
        <w:t>• Menjelaskan asas teori komunikasi berkesan.</w:t>
      </w:r>
    </w:p>
    <w:p>
      <w:pPr>
        <w:pStyle w:val="ListParagraph"/>
      </w:pPr>
      <w:r>
        <w:t>• Membezakan komunikasi verbal dan bukan verbal.</w:t>
      </w:r>
    </w:p>
    <w:p>
      <w:pPr>
        <w:pStyle w:val="ListParagraph"/>
      </w:pPr>
      <w:r>
        <w:t>• Mengaplikasikan kemahiran mendengar aktif dan cara bertutur yang sesuai semasa sesi dengan ibu bapa.</w:t>
      </w:r>
    </w:p>
    <w:p>
      <w:r>
        <w:rPr>
          <w:b/>
          <w:sz w:val="26"/>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r>
        <w:rPr>
          <w:b/>
          <w:sz w:val="26"/>
        </w:rPr>
        <w:t>2. Verbal dan Nonverbal Communication</w:t>
      </w:r>
    </w:p>
    <w:tbl>
      <w:tblPr>
        <w:tblStyle w:val="TableGrid"/>
        <w:tblW w:type="auto" w:w="0"/>
        <w:tblLook w:firstColumn="1" w:firstRow="1" w:lastColumn="0" w:lastRow="0" w:noHBand="0" w:noVBand="1" w:val="04A0"/>
      </w:tblPr>
      <w:tblGrid>
        <w:gridCol w:w="4656"/>
        <w:gridCol w:w="4656"/>
      </w:tblGrid>
      <w:tr>
        <w:tc>
          <w:tcPr>
            <w:tcW w:type="dxa" w:w="4656"/>
          </w:tcPr>
          <w:p>
            <w:r>
              <w:t>Jenis</w:t>
            </w:r>
          </w:p>
        </w:tc>
        <w:tc>
          <w:tcPr>
            <w:tcW w:type="dxa" w:w="4656"/>
          </w:tcPr>
          <w:p>
            <w:r>
              <w:t>Contoh</w:t>
            </w:r>
          </w:p>
        </w:tc>
      </w:tr>
      <w:tr>
        <w:tc>
          <w:tcPr>
            <w:tcW w:type="dxa" w:w="4656"/>
          </w:tcPr>
          <w:p>
            <w:r>
              <w:t>Verbal</w:t>
            </w:r>
          </w:p>
        </w:tc>
        <w:tc>
          <w:tcPr>
            <w:tcW w:type="dxa" w:w="4656"/>
          </w:tcPr>
          <w:p>
            <w:r>
              <w:t>Nada suara tenang, pemilihan perkataan positif</w:t>
            </w:r>
          </w:p>
        </w:tc>
      </w:tr>
      <w:tr>
        <w:tc>
          <w:tcPr>
            <w:tcW w:type="dxa" w:w="4656"/>
          </w:tcPr>
          <w:p>
            <w:r>
              <w:t>Nonverbal</w:t>
            </w:r>
          </w:p>
        </w:tc>
        <w:tc>
          <w:tcPr>
            <w:tcW w:type="dxa" w:w="4656"/>
          </w:tcPr>
          <w:p>
            <w:r>
              <w:t>Senyuman, kontak mata, postur terbuka semasa sesi</w:t>
            </w:r>
          </w:p>
        </w:tc>
      </w:tr>
    </w:tbl>
    <w:p>
      <w:r>
        <w:rPr>
          <w:b/>
          <w:sz w:val="26"/>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r>
        <w:rPr>
          <w:b/>
          <w:sz w:val="26"/>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r>
        <w:rPr>
          <w:b/>
          <w:sz w:val="26"/>
        </w:rPr>
        <w:t>5. Rumusan</w:t>
      </w:r>
    </w:p>
    <w:p>
      <w:r>
        <w:t>Penguasaan teori komunikasi, kepekaan terhadap isyarat verbal dan bukan verbal, serta amalan mendengar aktif membolehkan guru menyampaikan hasil pentaksiran dengan cara yang dihormati, dua hala dan difahami ibu bapa.</w:t>
      </w:r>
    </w:p>
    <w:p>
      <w:r>
        <w:rPr>
          <w:b/>
          <w:sz w:val="36"/>
        </w:rPr>
        <w:t>Bab 2: Ethics of Confidentiality</w:t>
      </w:r>
    </w:p>
    <w:p>
      <w:r>
        <w:rPr>
          <w:b/>
          <w:sz w:val="26"/>
        </w:rPr>
        <w:t>Objektif Pembelajaran</w:t>
      </w:r>
    </w:p>
    <w:p>
      <w:r>
        <w:t>Selepas mempelajari topik ini, pelatih dapat:</w:t>
      </w:r>
    </w:p>
    <w:p>
      <w:pPr>
        <w:pStyle w:val="ListParagraph"/>
      </w:pPr>
      <w:r>
        <w:t>• Menjelaskan prinsip kerahsiaan maklumat pentaksiran murid.</w:t>
      </w:r>
    </w:p>
    <w:p>
      <w:pPr>
        <w:pStyle w:val="ListParagraph"/>
      </w:pPr>
      <w:r>
        <w:t>• Menerangkan impak pelanggaran kerahsiaan terhadap murid dan keluarga.</w:t>
      </w:r>
    </w:p>
    <w:p>
      <w:pPr>
        <w:pStyle w:val="ListParagraph"/>
      </w:pPr>
      <w:r>
        <w:t>• Mengamalkan kerahsiaan semasa berkongsi hasil pentaksiran.</w:t>
      </w:r>
    </w:p>
    <w:p>
      <w:r>
        <w:rPr>
          <w:b/>
          <w:sz w:val="26"/>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r>
        <w:rPr>
          <w:b/>
          <w:sz w:val="26"/>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r>
        <w:rPr>
          <w:b/>
          <w:sz w:val="26"/>
        </w:rPr>
        <w:t>3. Situasi yang Memerlukan Kepekaan Tambahan</w:t>
      </w:r>
    </w:p>
    <w:tbl>
      <w:tblPr>
        <w:tblStyle w:val="TableGrid"/>
        <w:tblW w:type="auto" w:w="0"/>
        <w:tblLook w:firstColumn="1" w:firstRow="1" w:lastColumn="0" w:lastRow="0" w:noHBand="0" w:noVBand="1" w:val="04A0"/>
      </w:tblPr>
      <w:tblGrid>
        <w:gridCol w:w="4656"/>
        <w:gridCol w:w="4656"/>
      </w:tblGrid>
      <w:tr>
        <w:tc>
          <w:tcPr>
            <w:tcW w:type="dxa" w:w="4656"/>
          </w:tcPr>
          <w:p>
            <w:r>
              <w:t>Situasi</w:t>
            </w:r>
          </w:p>
        </w:tc>
        <w:tc>
          <w:tcPr>
            <w:tcW w:type="dxa" w:w="4656"/>
          </w:tcPr>
          <w:p>
            <w:r>
              <w:t>Amalan Kerahsiaan</w:t>
            </w:r>
          </w:p>
        </w:tc>
      </w:tr>
      <w:tr>
        <w:tc>
          <w:tcPr>
            <w:tcW w:type="dxa" w:w="4656"/>
          </w:tcPr>
          <w:p>
            <w:r>
              <w:t>Perceraian/penjagaan bersama</w:t>
            </w:r>
          </w:p>
        </w:tc>
        <w:tc>
          <w:tcPr>
            <w:tcW w:type="dxa" w:w="4656"/>
          </w:tcPr>
          <w:p>
            <w:r>
              <w:t>Sahkan siapa penjaga sah yang berhak menerima laporan sebelum berkongsi</w:t>
            </w:r>
          </w:p>
        </w:tc>
      </w:tr>
      <w:tr>
        <w:tc>
          <w:tcPr>
            <w:tcW w:type="dxa" w:w="4656"/>
          </w:tcPr>
          <w:p>
            <w:r>
              <w:t>Isu sensitif (contoh: kelewatan perkembangan)</w:t>
            </w:r>
          </w:p>
        </w:tc>
        <w:tc>
          <w:tcPr>
            <w:tcW w:type="dxa" w:w="4656"/>
          </w:tcPr>
          <w:p>
            <w:r>
              <w:t>Bincang secara peribadi, bukan melalui pesanan kumpulan/papan notis</w:t>
            </w:r>
          </w:p>
        </w:tc>
      </w:tr>
      <w:tr>
        <w:tc>
          <w:tcPr>
            <w:tcW w:type="dxa" w:w="4656"/>
          </w:tcPr>
          <w:p>
            <w:r>
              <w:t>Permintaan daripada pihak ketiga</w:t>
            </w:r>
          </w:p>
        </w:tc>
        <w:tc>
          <w:tcPr>
            <w:tcW w:type="dxa" w:w="4656"/>
          </w:tcPr>
          <w:p>
            <w:r>
              <w:t>Rujuk kelulusan pengetua sebelum berkongsi maklumat murid</w:t>
            </w:r>
          </w:p>
        </w:tc>
      </w:tr>
    </w:tbl>
    <w:p>
      <w:r>
        <w:rPr>
          <w:b/>
          <w:sz w:val="26"/>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r>
        <w:rPr>
          <w:b/>
          <w:sz w:val="26"/>
        </w:rPr>
        <w:t>5. Rumusan</w:t>
      </w:r>
    </w:p>
    <w:p>
      <w:r>
        <w:t>Kepatuhan kepada prinsip kerahsiaan — merangkumi rekod fizikal, digital, dan situasi sensitif — melindungi maruah murid dan keluarga, serta mengekalkan kepercayaan profesional antara tadika dan ibu bapa.</w:t>
      </w:r>
    </w:p>
    <w:p>
      <w:r>
        <w:rPr>
          <w:b/>
          <w:sz w:val="36"/>
        </w:rPr>
        <w:t>Bab 3: Type of Improvement Support Technique</w:t>
      </w:r>
    </w:p>
    <w:p>
      <w:r>
        <w:rPr>
          <w:b/>
          <w:sz w:val="26"/>
        </w:rPr>
        <w:t>Objektif Pembelajaran</w:t>
      </w:r>
    </w:p>
    <w:p>
      <w:r>
        <w:t>Selepas mempelajari topik ini, pelatih dapat:</w:t>
      </w:r>
    </w:p>
    <w:p>
      <w:pPr>
        <w:pStyle w:val="ListParagraph"/>
      </w:pPr>
      <w:r>
        <w:t>• Menerangkan teknik sokongan penambahbaikan berasaskan rumah (home-based activities).</w:t>
      </w:r>
    </w:p>
    <w:p>
      <w:pPr>
        <w:pStyle w:val="ListParagraph"/>
      </w:pPr>
      <w:r>
        <w:t>• Mencadangkan aktiviti sokongan yang sesuai dengan bidang penambahbaikan murid.</w:t>
      </w:r>
    </w:p>
    <w:p>
      <w:pPr>
        <w:pStyle w:val="ListParagraph"/>
      </w:pPr>
      <w:r>
        <w:t>• Berkongsi cadangan penambahbaikan secara membina dengan ibu bapa.</w:t>
      </w:r>
    </w:p>
    <w:p>
      <w:r>
        <w:rPr>
          <w:b/>
          <w:sz w:val="26"/>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r>
        <w:rPr>
          <w:b/>
          <w:sz w:val="26"/>
        </w:rPr>
        <w:t>2. Contoh Cadangan Mengikut Domain</w:t>
      </w:r>
    </w:p>
    <w:tbl>
      <w:tblPr>
        <w:tblStyle w:val="TableGrid"/>
        <w:tblW w:type="auto" w:w="0"/>
        <w:tblLook w:firstColumn="1" w:firstRow="1" w:lastColumn="0" w:lastRow="0" w:noHBand="0" w:noVBand="1" w:val="04A0"/>
      </w:tblPr>
      <w:tblGrid>
        <w:gridCol w:w="4656"/>
        <w:gridCol w:w="4656"/>
      </w:tblGrid>
      <w:tr>
        <w:tc>
          <w:tcPr>
            <w:tcW w:type="dxa" w:w="4656"/>
          </w:tcPr>
          <w:p>
            <w:r>
              <w:t>Domain Memerlukan Sokongan</w:t>
            </w:r>
          </w:p>
        </w:tc>
        <w:tc>
          <w:tcPr>
            <w:tcW w:type="dxa" w:w="4656"/>
          </w:tcPr>
          <w:p>
            <w:r>
              <w:t>Cadangan Aktiviti Rumah</w:t>
            </w:r>
          </w:p>
        </w:tc>
      </w:tr>
      <w:tr>
        <w:tc>
          <w:tcPr>
            <w:tcW w:type="dxa" w:w="4656"/>
          </w:tcPr>
          <w:p>
            <w:r>
              <w:t>Kemahiran bahasa</w:t>
            </w:r>
          </w:p>
        </w:tc>
        <w:tc>
          <w:tcPr>
            <w:tcW w:type="dxa" w:w="4656"/>
          </w:tcPr>
          <w:p>
            <w:r>
              <w:t>Membaca buku cerita bersama setiap malam</w:t>
            </w:r>
          </w:p>
        </w:tc>
      </w:tr>
      <w:tr>
        <w:tc>
          <w:tcPr>
            <w:tcW w:type="dxa" w:w="4656"/>
          </w:tcPr>
          <w:p>
            <w:r>
              <w:t>Motor halus</w:t>
            </w:r>
          </w:p>
        </w:tc>
        <w:tc>
          <w:tcPr>
            <w:tcW w:type="dxa" w:w="4656"/>
          </w:tcPr>
          <w:p>
            <w:r>
              <w:t>Aktiviti melipat kertas, meronce manik</w:t>
            </w:r>
          </w:p>
        </w:tc>
      </w:tr>
      <w:tr>
        <w:tc>
          <w:tcPr>
            <w:tcW w:type="dxa" w:w="4656"/>
          </w:tcPr>
          <w:p>
            <w:r>
              <w:t>Sosio-emosi</w:t>
            </w:r>
          </w:p>
        </w:tc>
        <w:tc>
          <w:tcPr>
            <w:tcW w:type="dxa" w:w="4656"/>
          </w:tcPr>
          <w:p>
            <w:r>
              <w:t>Bermain permainan papan yang memerlukan giliran</w:t>
            </w:r>
          </w:p>
        </w:tc>
      </w:tr>
      <w:tr>
        <w:tc>
          <w:tcPr>
            <w:tcW w:type="dxa" w:w="4656"/>
          </w:tcPr>
          <w:p>
            <w:r>
              <w:t>Kognitif</w:t>
            </w:r>
          </w:p>
        </w:tc>
        <w:tc>
          <w:tcPr>
            <w:tcW w:type="dxa" w:w="4656"/>
          </w:tcPr>
          <w:p>
            <w:r>
              <w:t>Permainan padanan/puzzle mudah semasa hujung minggu</w:t>
            </w:r>
          </w:p>
        </w:tc>
      </w:tr>
    </w:tbl>
    <w:p>
      <w:r>
        <w:rPr>
          <w:b/>
          <w:sz w:val="26"/>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r>
        <w:rPr>
          <w:b/>
          <w:sz w:val="26"/>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r>
        <w:rPr>
          <w:b/>
          <w:sz w:val="26"/>
        </w:rPr>
        <w:t>5. Rumusan</w:t>
      </w:r>
    </w:p>
    <w:p>
      <w:r>
        <w:t>Cadangan sokongan berasaskan rumah yang spesifik, praktikal dan disertai pemantauan susulan membantu ibu bapa menyambung usaha tadika dalam menyokong perkembangan murid di luar waktu persekolahan.</w:t>
      </w:r>
    </w:p>
    <w:p>
      <w:r>
        <w:rPr>
          <w:b/>
        </w:rPr>
        <w:t>SOALAN:</w:t>
      </w:r>
    </w:p>
    <w:p>
      <w:pPr>
        <w:pStyle w:val="ListParagraph"/>
      </w:pPr>
      <w:r>
        <w:t>• 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Pr>
        <w:pStyle w:val="ListParagraph"/>
      </w:pPr>
      <w:r>
        <w:t>• 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Pr>
        <w:pStyle w:val="ListParagraph"/>
      </w:pPr>
      <w:r>
        <w:t>• 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