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3120"/>
        <w:gridCol w:w="3120"/>
        <w:gridCol w:w="3120"/>
      </w:tblGrid>
      <w:tr>
        <w:tc>
          <w:tcPr>
            <w:tcW w:type="dxa" w:w="3120"/>
            <w:tcBorders>
              <w:top w:val="single" w:sz="4" w:color="000000"/>
              <w:left w:val="single" w:sz="4" w:color="000000"/>
              <w:bottom w:val="single" w:sz="4" w:color="000000"/>
              <w:right w:val="single" w:sz="4" w:color="000000"/>
            </w:tcBorders>
          </w:tcPr>
          <w:p>
            <w:pPr>
              <w:jc w:val="center"/>
            </w:pPr>
            <w:r>
              <w:rPr>
                <w:b/>
                <w:sz w:val="20"/>
              </w:rPr>
              <w:t>NOSS: G452-010-3:2023</w:t>
            </w:r>
          </w:p>
        </w:tc>
        <w:tc>
          <w:tcPr>
            <w:tcW w:type="dxa" w:w="3120"/>
            <w:tcBorders>
              <w:top w:val="single" w:sz="4" w:color="000000"/>
              <w:left w:val="single" w:sz="4" w:color="000000"/>
              <w:bottom w:val="single" w:sz="4" w:color="000000"/>
              <w:right w:val="single" w:sz="4" w:color="000000"/>
            </w:tcBorders>
          </w:tcPr>
          <w:p>
            <w:pPr>
              <w:jc w:val="center"/>
            </w:pPr>
            <w:r>
              <w:rPr>
                <w:b/>
                <w:sz w:val="20"/>
              </w:rPr>
              <w:t>CU: C01</w:t>
            </w:r>
          </w:p>
        </w:tc>
        <w:tc>
          <w:tcPr>
            <w:tcW w:type="dxa" w:w="3120"/>
            <w:tcBorders>
              <w:top w:val="single" w:sz="4" w:color="000000"/>
              <w:left w:val="single" w:sz="4" w:color="000000"/>
              <w:bottom w:val="single" w:sz="4" w:color="000000"/>
              <w:right w:val="single" w:sz="4" w:color="000000"/>
            </w:tcBorders>
          </w:tcPr>
          <w:p>
            <w:pPr>
              <w:jc w:val="center"/>
            </w:pPr>
            <w:r>
              <w:rPr>
                <w:b/>
                <w:sz w:val="20"/>
              </w:rPr>
              <w:t>Kod: G452-010-3:2023-C01/KP(1/3)</w:t>
            </w:r>
          </w:p>
        </w:tc>
      </w:tr>
      <w:tr>
        <w:tc>
          <w:tcPr>
            <w:tcW w:type="dxa" w:w="9360"/>
            <w:gridSpan w:val="3"/>
            <w:tcBorders>
              <w:top w:val="single" w:sz="4" w:color="000000"/>
              <w:left w:val="single" w:sz="4" w:color="000000"/>
              <w:bottom w:val="single" w:sz="4" w:color="000000"/>
              <w:right w:val="single" w:sz="4" w:color="000000"/>
            </w:tcBorders>
          </w:tcPr>
          <w:p>
            <w:pPr>
              <w:jc w:val="center"/>
            </w:pPr>
            <w:r>
              <w:rPr>
                <w:b/>
                <w:sz w:val="20"/>
              </w:rPr>
              <w:t>KERTAS PENERANGAN / INFORMATION SHEET</w:t>
            </w:r>
          </w:p>
        </w:tc>
      </w:tr>
    </w:tbl>
    <w:p/>
    <w:bookmarkStart w:id="40" w:name="kertas-penerangan-information-sheet"/>
    <w:p>
      <w:pPr>
        <w:pStyle w:val="Heading1"/>
      </w:pPr>
      <w:r>
        <w:t xml:space="preserve">KERTAS PENERANGAN / INFORMATION SHEET</w:t>
      </w:r>
    </w:p>
    <w:p>
      <w:pPr>
        <w:pStyle w:val="FirstParagraph"/>
      </w:pPr>
      <w:r>
        <w:rPr>
          <w:b/>
          <w:bCs/>
        </w:rPr>
        <w:t xml:space="preserve">Kod WIM / WIM Code:</w:t>
      </w:r>
      <w:r>
        <w:t xml:space="preserve"> </w:t>
      </w:r>
      <w:r>
        <w:t xml:space="preserve">G452-010-3:2023-C01/KP(1/3)</w:t>
      </w:r>
      <w:r>
        <w:t xml:space="preserve"> </w:t>
      </w:r>
      <w:r>
        <w:rPr>
          <w:b/>
          <w:bCs/>
        </w:rPr>
        <w:t xml:space="preserve">Muka / Page:</w:t>
      </w:r>
      <w:r>
        <w:t xml:space="preserve"> </w:t>
      </w:r>
      <w:r>
        <w:t xml:space="preserve">1</w:t>
      </w:r>
      <w:r>
        <w:t xml:space="preserve"> </w:t>
      </w:r>
      <w:r>
        <w:rPr>
          <w:b/>
          <w:bCs/>
        </w:rPr>
        <w:t xml:space="preserve">Kertas Warna / Paper Color:</w:t>
      </w:r>
      <w:r>
        <w:t xml:space="preserve"> </w:t>
      </w:r>
      <w:r>
        <w:t xml:space="preserve">PUTIH / WHITE</w:t>
      </w:r>
    </w:p>
    <w:p>
      <w:r>
        <w:pict>
          <v:rect style="width:0;height:1.5pt" o:hralign="center" o:hrstd="t" o:hr="t"/>
        </w:pict>
      </w:r>
    </w:p>
    <w:bookmarkStart w:id="9" w:name="Xa673c803ce9ecac0a97a49009be321292402643"/>
    <w:p>
      <w:pPr>
        <w:pStyle w:val="Heading2"/>
      </w:pPr>
      <w:r>
        <w:t xml:space="preserve">Competency Unit: Perform BEV Scheduled Maintenance</w:t>
      </w:r>
    </w:p>
    <w:bookmarkEnd w:id="9"/>
    <w:bookmarkStart w:id="10" w:name="X0a342998dab329ac4682899f7e398cdda8926df"/>
    <w:p>
      <w:pPr>
        <w:pStyle w:val="Heading2"/>
      </w:pPr>
      <w:r>
        <w:t xml:space="preserve">Work Activity 1: Carry Out BEV Schedule Maintenance Workplace Preparation</w:t>
      </w:r>
    </w:p>
    <w:p>
      <w:r>
        <w:pict>
          <v:rect style="width:0;height:1.5pt" o:hralign="center" o:hrstd="t" o:hr="t"/>
        </w:pict>
      </w:r>
    </w:p>
    <w:bookmarkEnd w:id="10"/>
    <w:bookmarkStart w:id="11" w:name="Xe7ed6d133459a42d48ff4f5c1d6a55ba7989d08"/>
    <w:p>
      <w:pPr>
        <w:pStyle w:val="Heading2"/>
      </w:pPr>
      <w:r>
        <w:t xml:space="preserve">Objektif Pembelajaran / Learning Objectives</w:t>
      </w:r>
    </w:p>
    <w:p>
      <w:pPr>
        <w:pStyle w:val="FirstParagraph"/>
      </w:pPr>
      <w:r>
        <w:t xml:space="preserve">Upon completion of this Information Sheet, trainees will be able to:</w:t>
      </w:r>
      <w:r>
        <w:t xml:space="preserve"> </w:t>
      </w:r>
      <w:r>
        <w:t xml:space="preserve">1. State the licensing, legislative, and regulatory requirements applicable to BEV maintenance</w:t>
      </w:r>
      <w:r>
        <w:t xml:space="preserve"> </w:t>
      </w:r>
      <w:r>
        <w:t xml:space="preserve">2. Explain BEV scheduled maintenance safety, health, and environment guidelines</w:t>
      </w:r>
      <w:r>
        <w:t xml:space="preserve"> </w:t>
      </w:r>
      <w:r>
        <w:t xml:space="preserve">3. List the tools and equipment required for BEV scheduled maintenance</w:t>
      </w:r>
      <w:r>
        <w:t xml:space="preserve"> </w:t>
      </w:r>
      <w:r>
        <w:t xml:space="preserve">4. Describe hazard identification procedures in a BEV workshop environment</w:t>
      </w:r>
      <w:r>
        <w:t xml:space="preserve"> </w:t>
      </w:r>
      <w:r>
        <w:t xml:space="preserve">5. Explain scheduled waste management procedures for BEV maintenance</w:t>
      </w:r>
    </w:p>
    <w:p>
      <w:r>
        <w:pict>
          <v:rect style="width:0;height:1.5pt" o:hralign="center" o:hrstd="t" o:hr="t"/>
        </w:pict>
      </w:r>
    </w:p>
    <w:bookmarkEnd w:id="11"/>
    <w:bookmarkStart w:id="15" w:name="X0ac771fbd324480fa5be1bce13de95c06bfda35"/>
    <w:p>
      <w:pPr>
        <w:pStyle w:val="Heading2"/>
      </w:pPr>
      <w:r>
        <w:t xml:space="preserve">1. BEV Rules and Regulations (Peraturan dan Undang-undang BEV)</w:t>
      </w:r>
    </w:p>
    <w:bookmarkStart w:id="12" w:name="X1cc97a4c349593f22f6362ec0f0fc65caf36c1c"/>
    <w:p>
      <w:pPr>
        <w:pStyle w:val="Heading3"/>
      </w:pPr>
      <w:r>
        <w:t xml:space="preserve">1.1 Licensing Requirements (Keperluan Pelesenan)</w:t>
      </w:r>
    </w:p>
    <w:p>
      <w:pPr>
        <w:pStyle w:val="FirstParagraph"/>
      </w:pPr>
      <w:r>
        <w:t xml:space="preserve">Battery Electric Vehicle maintenance and repair activities in Malaysia are governed by several regulatory authorities. Technicians and workshops must comply with the following licensing requirements:</w:t>
      </w:r>
    </w:p>
    <w:p>
      <w:pPr>
        <w:pStyle w:val="Compact"/>
        <w:numPr>
          <w:ilvl w:val="0"/>
          <w:numId w:val="1001"/>
        </w:numPr>
      </w:pPr>
      <w:r>
        <w:rPr>
          <w:b/>
          <w:bCs/>
        </w:rPr>
        <w:t xml:space="preserve">Jabatan Pengangkutan Jalan (JPJ) / Road Transport Department:</w:t>
      </w:r>
      <w:r>
        <w:t xml:space="preserve"> </w:t>
      </w:r>
      <w:r>
        <w:t xml:space="preserve">All workshops performing vehicle maintenance must be registered under the Road Transport Act 1987 (Act 333). BEV workshops require additional certification for high voltage (HV) work.</w:t>
      </w:r>
    </w:p>
    <w:p>
      <w:pPr>
        <w:pStyle w:val="Compact"/>
        <w:numPr>
          <w:ilvl w:val="0"/>
          <w:numId w:val="1001"/>
        </w:numPr>
      </w:pPr>
      <w:r>
        <w:rPr>
          <w:b/>
          <w:bCs/>
        </w:rPr>
        <w:t xml:space="preserve">Jabatan Keselamatan dan Kesihatan Pekerjaan (DOSH):</w:t>
      </w:r>
      <w:r>
        <w:t xml:space="preserve"> </w:t>
      </w:r>
      <w:r>
        <w:t xml:space="preserve">Compliance with the Occupational Safety and Health Act 1994 (Act 514) is mandatory. Employers must ensure workplace safety, provide appropriate training, and maintain safety records.</w:t>
      </w:r>
    </w:p>
    <w:p>
      <w:pPr>
        <w:pStyle w:val="Compact"/>
        <w:numPr>
          <w:ilvl w:val="0"/>
          <w:numId w:val="1001"/>
        </w:numPr>
      </w:pPr>
      <w:r>
        <w:rPr>
          <w:b/>
          <w:bCs/>
        </w:rPr>
        <w:t xml:space="preserve">Suruhanjaya Tenaga (Energy Commission):</w:t>
      </w:r>
      <w:r>
        <w:t xml:space="preserve"> </w:t>
      </w:r>
      <w:r>
        <w:t xml:space="preserve">The Energy Commission Act 2001 and Electricity Supply Act 1990 (Act 447) regulate electrical work. BEV technicians working with HV systems (above 60V DC or 30V AC) must understand electrical safety standards.</w:t>
      </w:r>
    </w:p>
    <w:p>
      <w:pPr>
        <w:pStyle w:val="Compact"/>
        <w:numPr>
          <w:ilvl w:val="0"/>
          <w:numId w:val="1001"/>
        </w:numPr>
      </w:pPr>
      <w:r>
        <w:rPr>
          <w:b/>
          <w:bCs/>
        </w:rPr>
        <w:t xml:space="preserve">Jabatan Alam Sekitar (DOE) / Department of Environment:</w:t>
      </w:r>
      <w:r>
        <w:t xml:space="preserve"> </w:t>
      </w:r>
      <w:r>
        <w:t xml:space="preserve">Environmental Quality Act 1974 (Act 127) governs the handling, storage, and disposal of scheduled waste generated during BEV maintenance, including spent coolant, contaminated materials, and damaged battery components.</w:t>
      </w:r>
    </w:p>
    <w:bookmarkEnd w:id="12"/>
    <w:bookmarkStart w:id="13" w:name="X44a49f5c2ed09bd34a0982bd806355a96f19ccd"/>
    <w:p>
      <w:pPr>
        <w:pStyle w:val="Heading3"/>
      </w:pPr>
      <w:r>
        <w:t xml:space="preserve">1.2 Certification Requirements (Keperluan Pensijilan)</w:t>
      </w:r>
    </w:p>
    <w:p>
      <w:pPr>
        <w:pStyle w:val="FirstParagraph"/>
      </w:pPr>
      <w:r>
        <w:t xml:space="preserve">BEV technicians must hold a minimum SKM Level 3 certification or equivalent. The certification framework under JPK (Jabatan Pembangunan Kemahiran / Department of Skills Development) follows the National Occupational Skills Standard (NOSS). Training prerequisites include prior certification in light vehicle or commercial vehicle repair services.</w:t>
      </w:r>
    </w:p>
    <w:bookmarkEnd w:id="13"/>
    <w:bookmarkStart w:id="14" w:name="regulatory-compliance-summary"/>
    <w:p>
      <w:pPr>
        <w:pStyle w:val="Heading3"/>
      </w:pPr>
      <w:r>
        <w:t xml:space="preserve">1.3 Regulatory Compliance Summary</w:t>
      </w:r>
    </w:p>
    <w:tbl>
      <w:tblPr>
        <w:tblStyle w:val="Table"/>
        <w:tblW w:type="pct" w:w="5000"/>
        <w:tblLayout w:type="fixed"/>
        <w:tblLook w:firstRow="1" w:lastRow="0" w:firstColumn="0" w:lastColumn="0" w:noHBand="0" w:noVBand="0" w:val="0020"/>
      </w:tblPr>
      <w:tblGrid>
        <w:gridCol w:w="2640"/>
        <w:gridCol w:w="3600"/>
        <w:gridCol w:w="1680"/>
      </w:tblGrid>
      <w:tr>
        <w:trPr>
          <w:tblHeader w:val="on"/>
        </w:trPr>
        <w:tc>
          <w:tcPr/>
          <w:p>
            <w:pPr>
              <w:pStyle w:val="Compact"/>
            </w:pPr>
            <w:r>
              <w:t xml:space="preserve">Authority</w:t>
            </w:r>
          </w:p>
        </w:tc>
        <w:tc>
          <w:tcPr/>
          <w:p>
            <w:pPr>
              <w:pStyle w:val="Compact"/>
            </w:pPr>
            <w:r>
              <w:t xml:space="preserve">Act/Regulation</w:t>
            </w:r>
          </w:p>
        </w:tc>
        <w:tc>
          <w:tcPr/>
          <w:p>
            <w:pPr>
              <w:pStyle w:val="Compact"/>
            </w:pPr>
            <w:r>
              <w:t xml:space="preserve">Scope</w:t>
            </w:r>
          </w:p>
        </w:tc>
      </w:tr>
      <w:tr>
        <w:tc>
          <w:tcPr/>
          <w:p>
            <w:pPr>
              <w:pStyle w:val="Compact"/>
            </w:pPr>
            <w:r>
              <w:t xml:space="preserve">JPJ</w:t>
            </w:r>
          </w:p>
        </w:tc>
        <w:tc>
          <w:tcPr/>
          <w:p>
            <w:pPr>
              <w:pStyle w:val="Compact"/>
            </w:pPr>
            <w:r>
              <w:t xml:space="preserve">Road Transport Act 1987 (Act 333)</w:t>
            </w:r>
          </w:p>
        </w:tc>
        <w:tc>
          <w:tcPr/>
          <w:p>
            <w:pPr>
              <w:pStyle w:val="Compact"/>
            </w:pPr>
            <w:r>
              <w:t xml:space="preserve">Vehicle repair workshop licensing</w:t>
            </w:r>
          </w:p>
        </w:tc>
      </w:tr>
      <w:tr>
        <w:tc>
          <w:tcPr/>
          <w:p>
            <w:pPr>
              <w:pStyle w:val="Compact"/>
            </w:pPr>
            <w:r>
              <w:t xml:space="preserve">DOSH</w:t>
            </w:r>
          </w:p>
        </w:tc>
        <w:tc>
          <w:tcPr/>
          <w:p>
            <w:pPr>
              <w:pStyle w:val="Compact"/>
            </w:pPr>
            <w:r>
              <w:t xml:space="preserve">OSHA 1994 (Act 514)</w:t>
            </w:r>
          </w:p>
        </w:tc>
        <w:tc>
          <w:tcPr/>
          <w:p>
            <w:pPr>
              <w:pStyle w:val="Compact"/>
            </w:pPr>
            <w:r>
              <w:t xml:space="preserve">Workplace safety and health</w:t>
            </w:r>
          </w:p>
        </w:tc>
      </w:tr>
      <w:tr>
        <w:tc>
          <w:tcPr/>
          <w:p>
            <w:pPr>
              <w:pStyle w:val="Compact"/>
            </w:pPr>
            <w:r>
              <w:t xml:space="preserve">Energy Commission</w:t>
            </w:r>
          </w:p>
        </w:tc>
        <w:tc>
          <w:tcPr/>
          <w:p>
            <w:pPr>
              <w:pStyle w:val="Compact"/>
            </w:pPr>
            <w:r>
              <w:t xml:space="preserve">Electricity Supply Act 1990 (Act 447)</w:t>
            </w:r>
          </w:p>
        </w:tc>
        <w:tc>
          <w:tcPr/>
          <w:p>
            <w:pPr>
              <w:pStyle w:val="Compact"/>
            </w:pPr>
            <w:r>
              <w:t xml:space="preserve">Electrical safety standards</w:t>
            </w:r>
          </w:p>
        </w:tc>
      </w:tr>
      <w:tr>
        <w:tc>
          <w:tcPr/>
          <w:p>
            <w:pPr>
              <w:pStyle w:val="Compact"/>
            </w:pPr>
            <w:r>
              <w:t xml:space="preserve">DOE</w:t>
            </w:r>
          </w:p>
        </w:tc>
        <w:tc>
          <w:tcPr/>
          <w:p>
            <w:pPr>
              <w:pStyle w:val="Compact"/>
            </w:pPr>
            <w:r>
              <w:t xml:space="preserve">Environmental Quality Act 1974 (Act 127)</w:t>
            </w:r>
          </w:p>
        </w:tc>
        <w:tc>
          <w:tcPr/>
          <w:p>
            <w:pPr>
              <w:pStyle w:val="Compact"/>
            </w:pPr>
            <w:r>
              <w:t xml:space="preserve">Waste management and environmental protection</w:t>
            </w:r>
          </w:p>
        </w:tc>
      </w:tr>
    </w:tbl>
    <w:p>
      <w:r>
        <w:pict>
          <v:rect style="width:0;height:1.5pt" o:hralign="center" o:hrstd="t" o:hr="t"/>
        </w:pict>
      </w:r>
    </w:p>
    <w:bookmarkEnd w:id="14"/>
    <w:bookmarkEnd w:id="15"/>
    <w:bookmarkStart w:id="18" w:name="X5024d221b4ccdebb12e680efa8a1516cd06563b"/>
    <w:p>
      <w:pPr>
        <w:pStyle w:val="Heading2"/>
      </w:pPr>
      <w:r>
        <w:t xml:space="preserve">2. BEV Scheduled Maintenance Safety, Health, and Environment Guidelines</w:t>
      </w:r>
    </w:p>
    <w:bookmarkStart w:id="16" w:name="X1e65f4540e074b31b9ad41f0f7e539db19df4ba"/>
    <w:p>
      <w:pPr>
        <w:pStyle w:val="Heading3"/>
      </w:pPr>
      <w:r>
        <w:t xml:space="preserve">2.1 Provision of a Safe and Conducive Workplace</w:t>
      </w:r>
    </w:p>
    <w:p>
      <w:pPr>
        <w:pStyle w:val="FirstParagraph"/>
      </w:pPr>
      <w:r>
        <w:t xml:space="preserve">A BEV maintenance workshop must meet specific safety requirements beyond those for conventional Internal Combustion Engine (ICE) vehicles:</w:t>
      </w:r>
    </w:p>
    <w:p>
      <w:pPr>
        <w:pStyle w:val="Compact"/>
        <w:numPr>
          <w:ilvl w:val="0"/>
          <w:numId w:val="1002"/>
        </w:numPr>
      </w:pPr>
      <w:r>
        <w:rPr>
          <w:b/>
          <w:bCs/>
        </w:rPr>
        <w:t xml:space="preserve">Anti-static flooring (Lantai anti-statik):</w:t>
      </w:r>
      <w:r>
        <w:t xml:space="preserve"> </w:t>
      </w:r>
      <w:r>
        <w:t xml:space="preserve">The workshop floor must be constructed with anti-static or Electrostatic Discharge (ESD)-safe materials. Static discharge near HV battery components can cause electrical arcing, fire, or damage to sensitive electronic control units (ECUs).</w:t>
      </w:r>
    </w:p>
    <w:p>
      <w:pPr>
        <w:pStyle w:val="Compact"/>
        <w:numPr>
          <w:ilvl w:val="0"/>
          <w:numId w:val="1002"/>
        </w:numPr>
      </w:pPr>
      <w:r>
        <w:rPr>
          <w:b/>
          <w:bCs/>
        </w:rPr>
        <w:t xml:space="preserve">Ergonomic workspace:</w:t>
      </w:r>
      <w:r>
        <w:t xml:space="preserve"> </w:t>
      </w:r>
      <w:r>
        <w:t xml:space="preserve">Workstations must be designed to minimise physical strain. HV battery packs can weigh between 200 kg and 700 kg; appropriate lifting equipment is essential.</w:t>
      </w:r>
    </w:p>
    <w:p>
      <w:pPr>
        <w:pStyle w:val="Compact"/>
        <w:numPr>
          <w:ilvl w:val="0"/>
          <w:numId w:val="1002"/>
        </w:numPr>
      </w:pPr>
      <w:r>
        <w:rPr>
          <w:b/>
          <w:bCs/>
        </w:rPr>
        <w:t xml:space="preserve">Ventilation:</w:t>
      </w:r>
      <w:r>
        <w:t xml:space="preserve"> </w:t>
      </w:r>
      <w:r>
        <w:t xml:space="preserve">Adequate ventilation is required, particularly when working with battery packs. Lithium-ion batteries can release toxic gases (hydrogen fluoride, carbon monoxide) if damaged or during thermal runaway events.</w:t>
      </w:r>
    </w:p>
    <w:p>
      <w:pPr>
        <w:pStyle w:val="Compact"/>
        <w:numPr>
          <w:ilvl w:val="0"/>
          <w:numId w:val="1002"/>
        </w:numPr>
      </w:pPr>
      <w:r>
        <w:rPr>
          <w:b/>
          <w:bCs/>
        </w:rPr>
        <w:t xml:space="preserve">Emergency equipment:</w:t>
      </w:r>
      <w:r>
        <w:t xml:space="preserve"> </w:t>
      </w:r>
      <w:r>
        <w:t xml:space="preserve">Each BEV work bay must have:</w:t>
      </w:r>
    </w:p>
    <w:p>
      <w:pPr>
        <w:pStyle w:val="Compact"/>
        <w:numPr>
          <w:ilvl w:val="1"/>
          <w:numId w:val="1003"/>
        </w:numPr>
      </w:pPr>
      <w:r>
        <w:t xml:space="preserve">Class D fire extinguisher (for metal fires / lithium battery fires)</w:t>
      </w:r>
    </w:p>
    <w:p>
      <w:pPr>
        <w:pStyle w:val="Compact"/>
        <w:numPr>
          <w:ilvl w:val="1"/>
          <w:numId w:val="1003"/>
        </w:numPr>
      </w:pPr>
      <w:r>
        <w:t xml:space="preserve">Electric rescue hook (cangkuk penyelamat elektrik) rated for HV</w:t>
      </w:r>
    </w:p>
    <w:p>
      <w:pPr>
        <w:pStyle w:val="Compact"/>
        <w:numPr>
          <w:ilvl w:val="1"/>
          <w:numId w:val="1003"/>
        </w:numPr>
      </w:pPr>
      <w:r>
        <w:t xml:space="preserve">First aid kit with burn treatment supplies</w:t>
      </w:r>
    </w:p>
    <w:p>
      <w:pPr>
        <w:pStyle w:val="Compact"/>
        <w:numPr>
          <w:ilvl w:val="1"/>
          <w:numId w:val="1003"/>
        </w:numPr>
      </w:pPr>
      <w:r>
        <w:t xml:space="preserve">Emergency shower / eyewash station</w:t>
      </w:r>
    </w:p>
    <w:bookmarkEnd w:id="16"/>
    <w:bookmarkStart w:id="17" w:name="Xf10f9971605beb0a08c3403f48dd4375dc428e7"/>
    <w:p>
      <w:pPr>
        <w:pStyle w:val="Heading3"/>
      </w:pPr>
      <w:r>
        <w:t xml:space="preserve">2.2 Personal Protective Equipment (PPE) — Peralatan Perlindungan Diri</w:t>
      </w:r>
    </w:p>
    <w:tbl>
      <w:tblPr>
        <w:tblStyle w:val="Table"/>
        <w:tblW w:type="pct" w:w="5000"/>
        <w:tblLayout w:type="fixed"/>
        <w:tblLook w:firstRow="1" w:lastRow="0" w:firstColumn="0" w:lastColumn="0" w:noHBand="0" w:noVBand="0" w:val="0020"/>
      </w:tblPr>
      <w:tblGrid>
        <w:gridCol w:w="2329"/>
        <w:gridCol w:w="3494"/>
        <w:gridCol w:w="2096"/>
      </w:tblGrid>
      <w:tr>
        <w:trPr>
          <w:tblHeader w:val="on"/>
        </w:trPr>
        <w:tc>
          <w:tcPr/>
          <w:p>
            <w:pPr>
              <w:pStyle w:val="Compact"/>
            </w:pPr>
            <w:r>
              <w:t xml:space="preserve">PPE Item</w:t>
            </w:r>
          </w:p>
        </w:tc>
        <w:tc>
          <w:tcPr/>
          <w:p>
            <w:pPr>
              <w:pStyle w:val="Compact"/>
            </w:pPr>
            <w:r>
              <w:t xml:space="preserve">Specification</w:t>
            </w:r>
          </w:p>
        </w:tc>
        <w:tc>
          <w:tcPr/>
          <w:p>
            <w:pPr>
              <w:pStyle w:val="Compact"/>
            </w:pPr>
            <w:r>
              <w:t xml:space="preserve">Purpose</w:t>
            </w:r>
          </w:p>
        </w:tc>
      </w:tr>
      <w:tr>
        <w:tc>
          <w:tcPr/>
          <w:p>
            <w:pPr>
              <w:pStyle w:val="Compact"/>
            </w:pPr>
            <w:r>
              <w:t xml:space="preserve">Insulated gloves (Sarung tangan bertebat)</w:t>
            </w:r>
          </w:p>
        </w:tc>
        <w:tc>
          <w:tcPr/>
          <w:p>
            <w:pPr>
              <w:pStyle w:val="Compact"/>
            </w:pPr>
            <w:r>
              <w:t xml:space="preserve">Class 0, rated 1000V AC / 1500V DC</w:t>
            </w:r>
          </w:p>
        </w:tc>
        <w:tc>
          <w:tcPr/>
          <w:p>
            <w:pPr>
              <w:pStyle w:val="Compact"/>
            </w:pPr>
            <w:r>
              <w:t xml:space="preserve">Protection from electrical shock during HV work</w:t>
            </w:r>
          </w:p>
        </w:tc>
      </w:tr>
      <w:tr>
        <w:tc>
          <w:tcPr/>
          <w:p>
            <w:pPr>
              <w:pStyle w:val="Compact"/>
            </w:pPr>
            <w:r>
              <w:t xml:space="preserve">Leather gloves (Sarung tangan kulit)</w:t>
            </w:r>
          </w:p>
        </w:tc>
        <w:tc>
          <w:tcPr/>
          <w:p>
            <w:pPr>
              <w:pStyle w:val="Compact"/>
            </w:pPr>
            <w:r>
              <w:t xml:space="preserve">Worn over insulated gloves</w:t>
            </w:r>
          </w:p>
        </w:tc>
        <w:tc>
          <w:tcPr/>
          <w:p>
            <w:pPr>
              <w:pStyle w:val="Compact"/>
            </w:pPr>
            <w:r>
              <w:t xml:space="preserve">Physical protection for insulated gloves</w:t>
            </w:r>
          </w:p>
        </w:tc>
      </w:tr>
      <w:tr>
        <w:tc>
          <w:tcPr/>
          <w:p>
            <w:pPr>
              <w:pStyle w:val="Compact"/>
            </w:pPr>
            <w:r>
              <w:t xml:space="preserve">Safety glasses (Cermin mata keselamatan)</w:t>
            </w:r>
          </w:p>
        </w:tc>
        <w:tc>
          <w:tcPr/>
          <w:p>
            <w:pPr>
              <w:pStyle w:val="Compact"/>
            </w:pPr>
            <w:r>
              <w:t xml:space="preserve">MS ISO 16321 / ANSI Z87.1 (equivalent to DIN EN166)</w:t>
            </w:r>
          </w:p>
        </w:tc>
        <w:tc>
          <w:tcPr/>
          <w:p>
            <w:pPr>
              <w:pStyle w:val="Compact"/>
            </w:pPr>
            <w:r>
              <w:t xml:space="preserve">Eye protection from sparks, chemical splash</w:t>
            </w:r>
          </w:p>
        </w:tc>
      </w:tr>
      <w:tr>
        <w:tc>
          <w:tcPr/>
          <w:p>
            <w:pPr>
              <w:pStyle w:val="Compact"/>
            </w:pPr>
            <w:r>
              <w:t xml:space="preserve">Dielectric safety footwear (Kasut keselamatan dielektrik)</w:t>
            </w:r>
          </w:p>
        </w:tc>
        <w:tc>
          <w:tcPr/>
          <w:p>
            <w:pPr>
              <w:pStyle w:val="Compact"/>
            </w:pPr>
            <w:r>
              <w:t xml:space="preserve">DI rated</w:t>
            </w:r>
          </w:p>
        </w:tc>
        <w:tc>
          <w:tcPr/>
          <w:p>
            <w:pPr>
              <w:pStyle w:val="Compact"/>
            </w:pPr>
            <w:r>
              <w:t xml:space="preserve">Electrical insulation from ground</w:t>
            </w:r>
          </w:p>
        </w:tc>
      </w:tr>
      <w:tr>
        <w:tc>
          <w:tcPr/>
          <w:p>
            <w:pPr>
              <w:pStyle w:val="Compact"/>
            </w:pPr>
            <w:r>
              <w:t xml:space="preserve">Safety helmet (Topi keselamatan)</w:t>
            </w:r>
          </w:p>
        </w:tc>
        <w:tc>
          <w:tcPr/>
          <w:p>
            <w:pPr>
              <w:pStyle w:val="Compact"/>
            </w:pPr>
            <w:r>
              <w:t xml:space="preserve">MS 340 or equivalent</w:t>
            </w:r>
          </w:p>
        </w:tc>
        <w:tc>
          <w:tcPr/>
          <w:p>
            <w:pPr>
              <w:pStyle w:val="Compact"/>
            </w:pPr>
            <w:r>
              <w:t xml:space="preserve">Head protection</w:t>
            </w:r>
          </w:p>
        </w:tc>
      </w:tr>
    </w:tbl>
    <w:p>
      <w:pPr>
        <w:pStyle w:val="BodyText"/>
      </w:pPr>
      <w:r>
        <w:rPr>
          <w:b/>
          <w:bCs/>
        </w:rPr>
        <w:t xml:space="preserve">IMPORTANT:</w:t>
      </w:r>
      <w:r>
        <w:t xml:space="preserve"> </w:t>
      </w:r>
      <w:r>
        <w:t xml:space="preserve">Insulated gloves must be inspected before each use by performing an air inflation test. Gloves with any puncture, crack, or discoloration must be replaced immediately.</w:t>
      </w:r>
    </w:p>
    <w:p>
      <w:r>
        <w:pict>
          <v:rect style="width:0;height:1.5pt" o:hralign="center" o:hrstd="t" o:hr="t"/>
        </w:pict>
      </w:r>
    </w:p>
    <w:bookmarkEnd w:id="17"/>
    <w:bookmarkEnd w:id="18"/>
    <w:bookmarkStart w:id="21" w:name="Xa3355bbafbc13a630afb9af72ef2c53aa714128"/>
    <w:p>
      <w:pPr>
        <w:pStyle w:val="Heading2"/>
      </w:pPr>
      <w:r>
        <w:t xml:space="preserve">3. Overview of Environmental Impact in the BEV Industry</w:t>
      </w:r>
    </w:p>
    <w:bookmarkStart w:id="19" w:name="guidelines-in-scheduled-waste-handling"/>
    <w:p>
      <w:pPr>
        <w:pStyle w:val="Heading3"/>
      </w:pPr>
      <w:r>
        <w:t xml:space="preserve">3.1 Guidelines in Scheduled Waste Handling</w:t>
      </w:r>
    </w:p>
    <w:p>
      <w:pPr>
        <w:pStyle w:val="FirstParagraph"/>
      </w:pPr>
      <w:r>
        <w:t xml:space="preserve">Under the Environmental Quality (Scheduled Wastes) Regulations 2005 (Amendment 2007), BEV workshops must manage the following waste categories:</w:t>
      </w:r>
    </w:p>
    <w:tbl>
      <w:tblPr>
        <w:tblStyle w:val="Table"/>
        <w:tblW w:type="pct" w:w="5000"/>
        <w:tblLayout w:type="fixed"/>
        <w:tblLook w:firstRow="1" w:lastRow="0" w:firstColumn="0" w:lastColumn="0" w:noHBand="0" w:noVBand="0" w:val="0020"/>
      </w:tblPr>
      <w:tblGrid>
        <w:gridCol w:w="1853"/>
        <w:gridCol w:w="2527"/>
        <w:gridCol w:w="3538"/>
      </w:tblGrid>
      <w:tr>
        <w:trPr>
          <w:tblHeader w:val="on"/>
        </w:trPr>
        <w:tc>
          <w:tcPr/>
          <w:p>
            <w:pPr>
              <w:pStyle w:val="Compact"/>
            </w:pPr>
            <w:r>
              <w:t xml:space="preserve">Waste Type</w:t>
            </w:r>
          </w:p>
        </w:tc>
        <w:tc>
          <w:tcPr/>
          <w:p>
            <w:pPr>
              <w:pStyle w:val="Compact"/>
            </w:pPr>
            <w:r>
              <w:t xml:space="preserve">Classification</w:t>
            </w:r>
          </w:p>
        </w:tc>
        <w:tc>
          <w:tcPr/>
          <w:p>
            <w:pPr>
              <w:pStyle w:val="Compact"/>
            </w:pPr>
            <w:r>
              <w:t xml:space="preserve">Handling Requirement</w:t>
            </w:r>
          </w:p>
        </w:tc>
      </w:tr>
      <w:tr>
        <w:tc>
          <w:tcPr/>
          <w:p>
            <w:pPr>
              <w:pStyle w:val="Compact"/>
            </w:pPr>
            <w:r>
              <w:t xml:space="preserve">Spent HV battery coolant</w:t>
            </w:r>
          </w:p>
        </w:tc>
        <w:tc>
          <w:tcPr/>
          <w:p>
            <w:pPr>
              <w:pStyle w:val="Compact"/>
            </w:pPr>
            <w:r>
              <w:t xml:space="preserve">SW305</w:t>
            </w:r>
          </w:p>
        </w:tc>
        <w:tc>
          <w:tcPr/>
          <w:p>
            <w:pPr>
              <w:pStyle w:val="Compact"/>
            </w:pPr>
            <w:r>
              <w:t xml:space="preserve">Collected in sealed containers; disposed via licensed contractor</w:t>
            </w:r>
          </w:p>
        </w:tc>
      </w:tr>
      <w:tr>
        <w:tc>
          <w:tcPr/>
          <w:p>
            <w:pPr>
              <w:pStyle w:val="Compact"/>
            </w:pPr>
            <w:r>
              <w:t xml:space="preserve">Damaged lithium-ion cells</w:t>
            </w:r>
          </w:p>
        </w:tc>
        <w:tc>
          <w:tcPr/>
          <w:p>
            <w:pPr>
              <w:pStyle w:val="Compact"/>
            </w:pPr>
            <w:r>
              <w:t xml:space="preserve">SW110</w:t>
            </w:r>
          </w:p>
        </w:tc>
        <w:tc>
          <w:tcPr/>
          <w:p>
            <w:pPr>
              <w:pStyle w:val="Compact"/>
            </w:pPr>
            <w:r>
              <w:t xml:space="preserve">Stored in fireproof containers; transported by licensed hazardous waste carrier</w:t>
            </w:r>
          </w:p>
        </w:tc>
      </w:tr>
      <w:tr>
        <w:tc>
          <w:tcPr/>
          <w:p>
            <w:pPr>
              <w:pStyle w:val="Compact"/>
            </w:pPr>
            <w:r>
              <w:t xml:space="preserve">Contaminated PPE / cloths</w:t>
            </w:r>
          </w:p>
        </w:tc>
        <w:tc>
          <w:tcPr/>
          <w:p>
            <w:pPr>
              <w:pStyle w:val="Compact"/>
            </w:pPr>
            <w:r>
              <w:t xml:space="preserve">SW410</w:t>
            </w:r>
          </w:p>
        </w:tc>
        <w:tc>
          <w:tcPr/>
          <w:p>
            <w:pPr>
              <w:pStyle w:val="Compact"/>
            </w:pPr>
            <w:r>
              <w:t xml:space="preserve">Segregated and disposed as scheduled waste</w:t>
            </w:r>
          </w:p>
        </w:tc>
      </w:tr>
      <w:tr>
        <w:tc>
          <w:tcPr/>
          <w:p>
            <w:pPr>
              <w:pStyle w:val="Compact"/>
            </w:pPr>
            <w:r>
              <w:t xml:space="preserve">Used insulating oil</w:t>
            </w:r>
          </w:p>
        </w:tc>
        <w:tc>
          <w:tcPr/>
          <w:p>
            <w:pPr>
              <w:pStyle w:val="Compact"/>
            </w:pPr>
            <w:r>
              <w:t xml:space="preserve">SW305</w:t>
            </w:r>
          </w:p>
        </w:tc>
        <w:tc>
          <w:tcPr/>
          <w:p>
            <w:pPr>
              <w:pStyle w:val="Compact"/>
            </w:pPr>
            <w:r>
              <w:t xml:space="preserve">Collected separately; recycled or disposed via licensed contractor</w:t>
            </w:r>
          </w:p>
        </w:tc>
      </w:tr>
    </w:tbl>
    <w:bookmarkEnd w:id="19"/>
    <w:bookmarkStart w:id="20" w:name="Xfa8dd2ae3ac0015423a52b74f968df82c6301d1"/>
    <w:p>
      <w:pPr>
        <w:pStyle w:val="Heading3"/>
      </w:pPr>
      <w:r>
        <w:t xml:space="preserve">3.2 Prescribed Activities and Environmental Impact</w:t>
      </w:r>
    </w:p>
    <w:p>
      <w:pPr>
        <w:pStyle w:val="FirstParagraph"/>
      </w:pPr>
      <w:r>
        <w:t xml:space="preserve">BEV workshops handling battery packs exceeding certain thresholds may fall under prescribed activities requiring an Environmental Impact Assessment (EIA) under the Environmental Quality Order (Prescribed Activities) 2015. Workshops must maintain waste inventory records and submit annual reports to DOE.</w:t>
      </w:r>
    </w:p>
    <w:p>
      <w:r>
        <w:pict>
          <v:rect style="width:0;height:1.5pt" o:hralign="center" o:hrstd="t" o:hr="t"/>
        </w:pict>
      </w:r>
    </w:p>
    <w:bookmarkEnd w:id="20"/>
    <w:bookmarkEnd w:id="21"/>
    <w:bookmarkStart w:id="26" w:name="Xc15dd1cb41f81e506e70619db52e30c67e48459"/>
    <w:p>
      <w:pPr>
        <w:pStyle w:val="Heading2"/>
      </w:pPr>
      <w:r>
        <w:t xml:space="preserve">4. Maintenance Tools and Equipment (Peralatan dan Alatan Penyelenggaraan)</w:t>
      </w:r>
    </w:p>
    <w:bookmarkStart w:id="22" w:name="insulated-tools-alatan-bertebat"/>
    <w:p>
      <w:pPr>
        <w:pStyle w:val="Heading3"/>
      </w:pPr>
      <w:r>
        <w:t xml:space="preserve">4.1 Insulated Tools (Alatan Bertebat)</w:t>
      </w:r>
    </w:p>
    <w:p>
      <w:pPr>
        <w:pStyle w:val="FirstParagraph"/>
      </w:pPr>
      <w:r>
        <w:t xml:space="preserve">Insulated tools rated to Class 0 (1000V) are mandatory for any work on or near HV components. These tools feature a two-layer insulation system (typically red and yellow layers) complying with IEC 60900. If the outer layer is damaged and the inner layer becomes visible, the tool must be replaced.</w:t>
      </w:r>
    </w:p>
    <w:p>
      <w:pPr>
        <w:pStyle w:val="BodyText"/>
      </w:pPr>
      <w:r>
        <w:t xml:space="preserve">Common insulated tools include:</w:t>
      </w:r>
      <w:r>
        <w:t xml:space="preserve"> </w:t>
      </w:r>
      <w:r>
        <w:t xml:space="preserve">- Insulated combination pliers</w:t>
      </w:r>
      <w:r>
        <w:t xml:space="preserve"> </w:t>
      </w:r>
      <w:r>
        <w:t xml:space="preserve">- Insulated screwdrivers (flat and Phillips)</w:t>
      </w:r>
      <w:r>
        <w:t xml:space="preserve"> </w:t>
      </w:r>
      <w:r>
        <w:t xml:space="preserve">- Insulated socket set</w:t>
      </w:r>
      <w:r>
        <w:t xml:space="preserve"> </w:t>
      </w:r>
      <w:r>
        <w:t xml:space="preserve">- Insulated torque wrench</w:t>
      </w:r>
      <w:r>
        <w:t xml:space="preserve"> </w:t>
      </w:r>
      <w:r>
        <w:t xml:space="preserve">- Insulated cable cutters</w:t>
      </w:r>
    </w:p>
    <w:bookmarkEnd w:id="22"/>
    <w:bookmarkStart w:id="23" w:name="common-tools-alatan-biasa"/>
    <w:p>
      <w:pPr>
        <w:pStyle w:val="Heading3"/>
      </w:pPr>
      <w:r>
        <w:t xml:space="preserve">4.2 Common Tools (Alatan Biasa)</w:t>
      </w:r>
    </w:p>
    <w:p>
      <w:pPr>
        <w:pStyle w:val="FirstParagraph"/>
      </w:pPr>
      <w:r>
        <w:t xml:space="preserve">Standard automotive tools used for non-HV components:</w:t>
      </w:r>
      <w:r>
        <w:t xml:space="preserve"> </w:t>
      </w:r>
      <w:r>
        <w:t xml:space="preserve">- Socket and ratchet set</w:t>
      </w:r>
      <w:r>
        <w:t xml:space="preserve"> </w:t>
      </w:r>
      <w:r>
        <w:t xml:space="preserve">- Screwdriver set</w:t>
      </w:r>
      <w:r>
        <w:t xml:space="preserve"> </w:t>
      </w:r>
      <w:r>
        <w:t xml:space="preserve">- Torque wrench (non-insulated, for LV components)</w:t>
      </w:r>
      <w:r>
        <w:t xml:space="preserve"> </w:t>
      </w:r>
      <w:r>
        <w:t xml:space="preserve">- Pry bars and trim removal tools</w:t>
      </w:r>
    </w:p>
    <w:bookmarkEnd w:id="23"/>
    <w:bookmarkStart w:id="24" w:name="equipment"/>
    <w:p>
      <w:pPr>
        <w:pStyle w:val="Heading3"/>
      </w:pPr>
      <w:r>
        <w:t xml:space="preserve">4.3 Equipment</w:t>
      </w:r>
    </w:p>
    <w:tbl>
      <w:tblPr>
        <w:tblStyle w:val="Table"/>
        <w:tblW w:type="pct" w:w="5000"/>
        <w:tblLayout w:type="fixed"/>
        <w:tblLook w:firstRow="1" w:lastRow="0" w:firstColumn="0" w:lastColumn="0" w:noHBand="0" w:noVBand="0" w:val="0020"/>
      </w:tblPr>
      <w:tblGrid>
        <w:gridCol w:w="3226"/>
        <w:gridCol w:w="2053"/>
        <w:gridCol w:w="2640"/>
      </w:tblGrid>
      <w:tr>
        <w:trPr>
          <w:tblHeader w:val="on"/>
        </w:trPr>
        <w:tc>
          <w:tcPr/>
          <w:p>
            <w:pPr>
              <w:pStyle w:val="Compact"/>
            </w:pPr>
            <w:r>
              <w:t xml:space="preserve">Equipment</w:t>
            </w:r>
          </w:p>
        </w:tc>
        <w:tc>
          <w:tcPr/>
          <w:p>
            <w:pPr>
              <w:pStyle w:val="Compact"/>
            </w:pPr>
            <w:r>
              <w:t xml:space="preserve">Ratio</w:t>
            </w:r>
          </w:p>
        </w:tc>
        <w:tc>
          <w:tcPr/>
          <w:p>
            <w:pPr>
              <w:pStyle w:val="Compact"/>
            </w:pPr>
            <w:r>
              <w:t xml:space="preserve">Purpose</w:t>
            </w:r>
          </w:p>
        </w:tc>
      </w:tr>
      <w:tr>
        <w:tc>
          <w:tcPr/>
          <w:p>
            <w:pPr>
              <w:pStyle w:val="Compact"/>
            </w:pPr>
            <w:r>
              <w:t xml:space="preserve">EV Service Bay</w:t>
            </w:r>
          </w:p>
        </w:tc>
        <w:tc>
          <w:tcPr/>
          <w:p>
            <w:pPr>
              <w:pStyle w:val="Compact"/>
            </w:pPr>
            <w:r>
              <w:t xml:space="preserve">1:6</w:t>
            </w:r>
          </w:p>
        </w:tc>
        <w:tc>
          <w:tcPr/>
          <w:p>
            <w:pPr>
              <w:pStyle w:val="Compact"/>
            </w:pPr>
            <w:r>
              <w:t xml:space="preserve">Dedicated lift and workspace for BEV</w:t>
            </w:r>
          </w:p>
        </w:tc>
      </w:tr>
      <w:tr>
        <w:tc>
          <w:tcPr/>
          <w:p>
            <w:pPr>
              <w:pStyle w:val="Compact"/>
            </w:pPr>
            <w:r>
              <w:t xml:space="preserve">Diagnostic scan tool</w:t>
            </w:r>
          </w:p>
        </w:tc>
        <w:tc>
          <w:tcPr/>
          <w:p>
            <w:pPr>
              <w:pStyle w:val="Compact"/>
            </w:pPr>
            <w:r>
              <w:t xml:space="preserve">1:25</w:t>
            </w:r>
          </w:p>
        </w:tc>
        <w:tc>
          <w:tcPr/>
          <w:p>
            <w:pPr>
              <w:pStyle w:val="Compact"/>
            </w:pPr>
            <w:r>
              <w:t xml:space="preserve">OBD-II and manufacturer-specific diagnostics</w:t>
            </w:r>
          </w:p>
        </w:tc>
      </w:tr>
      <w:tr>
        <w:tc>
          <w:tcPr/>
          <w:p>
            <w:pPr>
              <w:pStyle w:val="Compact"/>
            </w:pPr>
            <w:r>
              <w:t xml:space="preserve">Electric rescue hook</w:t>
            </w:r>
          </w:p>
        </w:tc>
        <w:tc>
          <w:tcPr/>
          <w:p>
            <w:pPr>
              <w:pStyle w:val="Compact"/>
            </w:pPr>
            <w:r>
              <w:t xml:space="preserve">1:25</w:t>
            </w:r>
          </w:p>
        </w:tc>
        <w:tc>
          <w:tcPr/>
          <w:p>
            <w:pPr>
              <w:pStyle w:val="Compact"/>
            </w:pPr>
            <w:r>
              <w:t xml:space="preserve">Emergency extraction of personnel from electrical contact</w:t>
            </w:r>
          </w:p>
        </w:tc>
      </w:tr>
      <w:tr>
        <w:tc>
          <w:tcPr/>
          <w:p>
            <w:pPr>
              <w:pStyle w:val="Compact"/>
            </w:pPr>
            <w:r>
              <w:t xml:space="preserve">Retractable barrier stanchions</w:t>
            </w:r>
          </w:p>
        </w:tc>
        <w:tc>
          <w:tcPr/>
          <w:p>
            <w:pPr>
              <w:pStyle w:val="Compact"/>
            </w:pPr>
            <w:r>
              <w:t xml:space="preserve">1:25</w:t>
            </w:r>
          </w:p>
        </w:tc>
        <w:tc>
          <w:tcPr/>
          <w:p>
            <w:pPr>
              <w:pStyle w:val="Compact"/>
            </w:pPr>
            <w:r>
              <w:t xml:space="preserve">Demarcation of HV work zones</w:t>
            </w:r>
          </w:p>
        </w:tc>
      </w:tr>
      <w:tr>
        <w:tc>
          <w:tcPr/>
          <w:p>
            <w:pPr>
              <w:pStyle w:val="Compact"/>
            </w:pPr>
            <w:r>
              <w:t xml:space="preserve">Safety box</w:t>
            </w:r>
          </w:p>
        </w:tc>
        <w:tc>
          <w:tcPr/>
          <w:p>
            <w:pPr>
              <w:pStyle w:val="Compact"/>
            </w:pPr>
            <w:r>
              <w:t xml:space="preserve">1:25</w:t>
            </w:r>
          </w:p>
        </w:tc>
        <w:tc>
          <w:tcPr/>
          <w:p>
            <w:pPr>
              <w:pStyle w:val="Compact"/>
            </w:pPr>
            <w:r>
              <w:t xml:space="preserve">Secure storage of vehicle key and interlock plug during HV work</w:t>
            </w:r>
          </w:p>
        </w:tc>
      </w:tr>
      <w:tr>
        <w:tc>
          <w:tcPr/>
          <w:p>
            <w:pPr>
              <w:pStyle w:val="Compact"/>
            </w:pPr>
            <w:r>
              <w:t xml:space="preserve">Fire extinguisher (Class D)</w:t>
            </w:r>
          </w:p>
        </w:tc>
        <w:tc>
          <w:tcPr/>
          <w:p>
            <w:pPr>
              <w:pStyle w:val="Compact"/>
            </w:pPr>
            <w:r>
              <w:t xml:space="preserve">1:6</w:t>
            </w:r>
          </w:p>
        </w:tc>
        <w:tc>
          <w:tcPr/>
          <w:p>
            <w:pPr>
              <w:pStyle w:val="Compact"/>
            </w:pPr>
            <w:r>
              <w:t xml:space="preserve">Lithium battery fire suppression</w:t>
            </w:r>
          </w:p>
        </w:tc>
      </w:tr>
    </w:tbl>
    <w:bookmarkEnd w:id="24"/>
    <w:bookmarkStart w:id="25" w:name="dedicated-bev-work-bay"/>
    <w:p>
      <w:pPr>
        <w:pStyle w:val="Heading3"/>
      </w:pPr>
      <w:r>
        <w:t xml:space="preserve">4.4 Dedicated BEV Work Bay</w:t>
      </w:r>
    </w:p>
    <w:p>
      <w:pPr>
        <w:pStyle w:val="FirstParagraph"/>
      </w:pPr>
      <w:r>
        <w:t xml:space="preserve">A dedicated BEV work bay must include:</w:t>
      </w:r>
      <w:r>
        <w:t xml:space="preserve"> </w:t>
      </w:r>
      <w:r>
        <w:t xml:space="preserve">- Anti-static flooring</w:t>
      </w:r>
      <w:r>
        <w:t xml:space="preserve"> </w:t>
      </w:r>
      <w:r>
        <w:t xml:space="preserve">- HV warning signage at entry points</w:t>
      </w:r>
      <w:r>
        <w:t xml:space="preserve"> </w:t>
      </w:r>
      <w:r>
        <w:t xml:space="preserve">- Insulated mat (Class 0, 1000V) on the work floor</w:t>
      </w:r>
      <w:r>
        <w:t xml:space="preserve"> </w:t>
      </w:r>
      <w:r>
        <w:t xml:space="preserve">- Barrier stanchions to isolate the work area</w:t>
      </w:r>
      <w:r>
        <w:t xml:space="preserve"> </w:t>
      </w:r>
      <w:r>
        <w:t xml:space="preserve">- Emergency stop button connected to facility power</w:t>
      </w:r>
      <w:r>
        <w:t xml:space="preserve"> </w:t>
      </w:r>
      <w:r>
        <w:t xml:space="preserve">- Adequate lighting (minimum 500 lux at work surface)</w:t>
      </w:r>
    </w:p>
    <w:p>
      <w:r>
        <w:pict>
          <v:rect style="width:0;height:1.5pt" o:hralign="center" o:hrstd="t" o:hr="t"/>
        </w:pict>
      </w:r>
    </w:p>
    <w:bookmarkEnd w:id="25"/>
    <w:bookmarkEnd w:id="26"/>
    <w:bookmarkStart w:id="31" w:name="X713d663e00f05083b0b16c7e8c6c3558e86a0d9"/>
    <w:p>
      <w:pPr>
        <w:pStyle w:val="Heading2"/>
      </w:pPr>
      <w:r>
        <w:t xml:space="preserve">5. Hazard Identification in Workshop Environment (Pengenalpastian Hazad)</w:t>
      </w:r>
    </w:p>
    <w:bookmarkStart w:id="27" w:name="definition-of-hazard-definisi-hazad"/>
    <w:p>
      <w:pPr>
        <w:pStyle w:val="Heading3"/>
      </w:pPr>
      <w:r>
        <w:t xml:space="preserve">5.1 Definition of Hazard (Definisi Hazad)</w:t>
      </w:r>
    </w:p>
    <w:p>
      <w:pPr>
        <w:pStyle w:val="FirstParagraph"/>
      </w:pPr>
      <w:r>
        <w:t xml:space="preserve">A hazard is any source, situation, or act with the potential to cause harm in terms of injury, ill-health, or damage to property, equipment, or the environment.</w:t>
      </w:r>
    </w:p>
    <w:bookmarkEnd w:id="27"/>
    <w:bookmarkStart w:id="28" w:name="types-of-hazards-in-bev-workshop"/>
    <w:p>
      <w:pPr>
        <w:pStyle w:val="Heading3"/>
      </w:pPr>
      <w:r>
        <w:t xml:space="preserve">5.2 Types of Hazards in BEV Workshop</w:t>
      </w:r>
    </w:p>
    <w:tbl>
      <w:tblPr>
        <w:tblStyle w:val="Table"/>
        <w:tblW w:type="pct" w:w="5000"/>
        <w:tblLayout w:type="fixed"/>
        <w:tblLook w:firstRow="1" w:lastRow="0" w:firstColumn="0" w:lastColumn="0" w:noHBand="0" w:noVBand="0" w:val="0020"/>
      </w:tblPr>
      <w:tblGrid>
        <w:gridCol w:w="2941"/>
        <w:gridCol w:w="2262"/>
        <w:gridCol w:w="2715"/>
      </w:tblGrid>
      <w:tr>
        <w:trPr>
          <w:tblHeader w:val="on"/>
        </w:trPr>
        <w:tc>
          <w:tcPr/>
          <w:p>
            <w:pPr>
              <w:pStyle w:val="Compact"/>
            </w:pPr>
            <w:r>
              <w:t xml:space="preserve">Hazard Type</w:t>
            </w:r>
          </w:p>
        </w:tc>
        <w:tc>
          <w:tcPr/>
          <w:p>
            <w:pPr>
              <w:pStyle w:val="Compact"/>
            </w:pPr>
            <w:r>
              <w:t xml:space="preserve">Examples</w:t>
            </w:r>
          </w:p>
        </w:tc>
        <w:tc>
          <w:tcPr/>
          <w:p>
            <w:pPr>
              <w:pStyle w:val="Compact"/>
            </w:pPr>
            <w:r>
              <w:t xml:space="preserve">Risk Level</w:t>
            </w:r>
          </w:p>
        </w:tc>
      </w:tr>
      <w:tr>
        <w:tc>
          <w:tcPr/>
          <w:p>
            <w:pPr>
              <w:pStyle w:val="Compact"/>
            </w:pPr>
            <w:r>
              <w:t xml:space="preserve">Electrical (Elektrik)</w:t>
            </w:r>
          </w:p>
        </w:tc>
        <w:tc>
          <w:tcPr/>
          <w:p>
            <w:pPr>
              <w:pStyle w:val="Compact"/>
            </w:pPr>
            <w:r>
              <w:t xml:space="preserve">HV shock (400-800V DC), arc flash, electrocution</w:t>
            </w:r>
          </w:p>
        </w:tc>
        <w:tc>
          <w:tcPr/>
          <w:p>
            <w:pPr>
              <w:pStyle w:val="Compact"/>
            </w:pPr>
            <w:r>
              <w:t xml:space="preserve">CRITICAL</w:t>
            </w:r>
          </w:p>
        </w:tc>
      </w:tr>
      <w:tr>
        <w:tc>
          <w:tcPr/>
          <w:p>
            <w:pPr>
              <w:pStyle w:val="Compact"/>
            </w:pPr>
            <w:r>
              <w:t xml:space="preserve">Chemical (Kimia)</w:t>
            </w:r>
          </w:p>
        </w:tc>
        <w:tc>
          <w:tcPr/>
          <w:p>
            <w:pPr>
              <w:pStyle w:val="Compact"/>
            </w:pPr>
            <w:r>
              <w:t xml:space="preserve">Battery electrolyte (lithium hexafluorophosphate), coolant, refrigerant</w:t>
            </w:r>
          </w:p>
        </w:tc>
        <w:tc>
          <w:tcPr/>
          <w:p>
            <w:pPr>
              <w:pStyle w:val="Compact"/>
            </w:pPr>
            <w:r>
              <w:t xml:space="preserve">HIGH</w:t>
            </w:r>
          </w:p>
        </w:tc>
      </w:tr>
      <w:tr>
        <w:tc>
          <w:tcPr/>
          <w:p>
            <w:pPr>
              <w:pStyle w:val="Compact"/>
            </w:pPr>
            <w:r>
              <w:t xml:space="preserve">Mechanical (Mekanikal)</w:t>
            </w:r>
          </w:p>
        </w:tc>
        <w:tc>
          <w:tcPr/>
          <w:p>
            <w:pPr>
              <w:pStyle w:val="Compact"/>
            </w:pPr>
            <w:r>
              <w:t xml:space="preserve">Crushing (battery pack weight 200-700 kg), pinch points, rotating parts</w:t>
            </w:r>
          </w:p>
        </w:tc>
        <w:tc>
          <w:tcPr/>
          <w:p>
            <w:pPr>
              <w:pStyle w:val="Compact"/>
            </w:pPr>
            <w:r>
              <w:t xml:space="preserve">HIGH</w:t>
            </w:r>
          </w:p>
        </w:tc>
      </w:tr>
      <w:tr>
        <w:tc>
          <w:tcPr/>
          <w:p>
            <w:pPr>
              <w:pStyle w:val="Compact"/>
            </w:pPr>
            <w:r>
              <w:t xml:space="preserve">Thermal (Haba)</w:t>
            </w:r>
          </w:p>
        </w:tc>
        <w:tc>
          <w:tcPr/>
          <w:p>
            <w:pPr>
              <w:pStyle w:val="Compact"/>
            </w:pPr>
            <w:r>
              <w:t xml:space="preserve">Battery thermal runaway (temperatures &gt;600 deg C), hot coolant</w:t>
            </w:r>
          </w:p>
        </w:tc>
        <w:tc>
          <w:tcPr/>
          <w:p>
            <w:pPr>
              <w:pStyle w:val="Compact"/>
            </w:pPr>
            <w:r>
              <w:t xml:space="preserve">HIGH</w:t>
            </w:r>
          </w:p>
        </w:tc>
      </w:tr>
      <w:tr>
        <w:tc>
          <w:tcPr/>
          <w:p>
            <w:pPr>
              <w:pStyle w:val="Compact"/>
            </w:pPr>
            <w:r>
              <w:t xml:space="preserve">Ergonomic (Ergonomik)</w:t>
            </w:r>
          </w:p>
        </w:tc>
        <w:tc>
          <w:tcPr/>
          <w:p>
            <w:pPr>
              <w:pStyle w:val="Compact"/>
            </w:pPr>
            <w:r>
              <w:t xml:space="preserve">Heavy lifting, repetitive motion, awkward postures</w:t>
            </w:r>
          </w:p>
        </w:tc>
        <w:tc>
          <w:tcPr/>
          <w:p>
            <w:pPr>
              <w:pStyle w:val="Compact"/>
            </w:pPr>
            <w:r>
              <w:t xml:space="preserve">MEDIUM</w:t>
            </w:r>
          </w:p>
        </w:tc>
      </w:tr>
      <w:tr>
        <w:tc>
          <w:tcPr/>
          <w:p>
            <w:pPr>
              <w:pStyle w:val="Compact"/>
            </w:pPr>
            <w:r>
              <w:t xml:space="preserve">Environmental (Persekitaran)</w:t>
            </w:r>
          </w:p>
        </w:tc>
        <w:tc>
          <w:tcPr/>
          <w:p>
            <w:pPr>
              <w:pStyle w:val="Compact"/>
            </w:pPr>
            <w:r>
              <w:t xml:space="preserve">Toxic gas release (HF, CO), noise</w:t>
            </w:r>
          </w:p>
        </w:tc>
        <w:tc>
          <w:tcPr/>
          <w:p>
            <w:pPr>
              <w:pStyle w:val="Compact"/>
            </w:pPr>
            <w:r>
              <w:t xml:space="preserve">MEDIUM</w:t>
            </w:r>
          </w:p>
        </w:tc>
      </w:tr>
    </w:tbl>
    <w:bookmarkEnd w:id="28"/>
    <w:bookmarkStart w:id="29" w:name="control-measures-hierarchy-of-controls"/>
    <w:p>
      <w:pPr>
        <w:pStyle w:val="Heading3"/>
      </w:pPr>
      <w:r>
        <w:t xml:space="preserve">5.3 Control Measures — Hierarchy of Controls</w:t>
      </w:r>
    </w:p>
    <w:p>
      <w:pPr>
        <w:pStyle w:val="Compact"/>
        <w:numPr>
          <w:ilvl w:val="0"/>
          <w:numId w:val="1004"/>
        </w:numPr>
      </w:pPr>
      <w:r>
        <w:rPr>
          <w:b/>
          <w:bCs/>
        </w:rPr>
        <w:t xml:space="preserve">Elimination:</w:t>
      </w:r>
      <w:r>
        <w:t xml:space="preserve"> </w:t>
      </w:r>
      <w:r>
        <w:t xml:space="preserve">Remove the hazard (e.g., de-energise HV system before work)</w:t>
      </w:r>
    </w:p>
    <w:p>
      <w:pPr>
        <w:pStyle w:val="Compact"/>
        <w:numPr>
          <w:ilvl w:val="0"/>
          <w:numId w:val="1004"/>
        </w:numPr>
      </w:pPr>
      <w:r>
        <w:rPr>
          <w:b/>
          <w:bCs/>
        </w:rPr>
        <w:t xml:space="preserve">Substitution:</w:t>
      </w:r>
      <w:r>
        <w:t xml:space="preserve"> </w:t>
      </w:r>
      <w:r>
        <w:t xml:space="preserve">Replace with less hazardous alternative (e.g., use non-toxic coolant where possible)</w:t>
      </w:r>
    </w:p>
    <w:p>
      <w:pPr>
        <w:pStyle w:val="Compact"/>
        <w:numPr>
          <w:ilvl w:val="0"/>
          <w:numId w:val="1004"/>
        </w:numPr>
      </w:pPr>
      <w:r>
        <w:rPr>
          <w:b/>
          <w:bCs/>
        </w:rPr>
        <w:t xml:space="preserve">Engineering controls:</w:t>
      </w:r>
      <w:r>
        <w:t xml:space="preserve"> </w:t>
      </w:r>
      <w:r>
        <w:t xml:space="preserve">Physical barriers, interlocks, ventilation systems</w:t>
      </w:r>
    </w:p>
    <w:p>
      <w:pPr>
        <w:pStyle w:val="Compact"/>
        <w:numPr>
          <w:ilvl w:val="0"/>
          <w:numId w:val="1004"/>
        </w:numPr>
      </w:pPr>
      <w:r>
        <w:rPr>
          <w:b/>
          <w:bCs/>
        </w:rPr>
        <w:t xml:space="preserve">Administrative controls:</w:t>
      </w:r>
      <w:r>
        <w:t xml:space="preserve"> </w:t>
      </w:r>
      <w:r>
        <w:t xml:space="preserve">SOPs, training, signage, work permits</w:t>
      </w:r>
    </w:p>
    <w:p>
      <w:pPr>
        <w:pStyle w:val="Compact"/>
        <w:numPr>
          <w:ilvl w:val="0"/>
          <w:numId w:val="1004"/>
        </w:numPr>
      </w:pPr>
      <w:r>
        <w:rPr>
          <w:b/>
          <w:bCs/>
        </w:rPr>
        <w:t xml:space="preserve">PPE:</w:t>
      </w:r>
      <w:r>
        <w:t xml:space="preserve"> </w:t>
      </w:r>
      <w:r>
        <w:t xml:space="preserve">Last line of defence — insulated gloves, safety glasses, dielectric footwear</w:t>
      </w:r>
    </w:p>
    <w:bookmarkEnd w:id="29"/>
    <w:bookmarkStart w:id="30" w:name="X0c7cd6ec7483f666dbeddeaa5b541d95880a2d6"/>
    <w:p>
      <w:pPr>
        <w:pStyle w:val="Heading3"/>
      </w:pPr>
      <w:r>
        <w:t xml:space="preserve">5.4 Job Hazard Analysis (JHA) — Analisis Hazad Kerja</w:t>
      </w:r>
    </w:p>
    <w:p>
      <w:pPr>
        <w:pStyle w:val="FirstParagraph"/>
      </w:pPr>
      <w:r>
        <w:t xml:space="preserve">Before commencing any BEV maintenance task, a JHA must be completed using the company JHA checklist form. The JHA process involves:</w:t>
      </w:r>
      <w:r>
        <w:t xml:space="preserve"> </w:t>
      </w:r>
      <w:r>
        <w:t xml:space="preserve">1. Identify the task and break it into steps</w:t>
      </w:r>
      <w:r>
        <w:t xml:space="preserve"> </w:t>
      </w:r>
      <w:r>
        <w:t xml:space="preserve">2. Identify hazards at each step</w:t>
      </w:r>
      <w:r>
        <w:t xml:space="preserve"> </w:t>
      </w:r>
      <w:r>
        <w:t xml:space="preserve">3. Assess risk level (likelihood x severity)</w:t>
      </w:r>
      <w:r>
        <w:t xml:space="preserve"> </w:t>
      </w:r>
      <w:r>
        <w:t xml:space="preserve">4. Determine control measures</w:t>
      </w:r>
      <w:r>
        <w:t xml:space="preserve"> </w:t>
      </w:r>
      <w:r>
        <w:t xml:space="preserve">5. Document and communicate to all personnel</w:t>
      </w:r>
    </w:p>
    <w:p>
      <w:r>
        <w:pict>
          <v:rect style="width:0;height:1.5pt" o:hralign="center" o:hrstd="t" o:hr="t"/>
        </w:pict>
      </w:r>
    </w:p>
    <w:bookmarkEnd w:id="30"/>
    <w:bookmarkEnd w:id="31"/>
    <w:bookmarkStart w:id="34" w:name="X897c1f71fd169361610c50a0020043fcf8441f5"/>
    <w:p>
      <w:pPr>
        <w:pStyle w:val="Heading2"/>
      </w:pPr>
      <w:r>
        <w:t xml:space="preserve">6. Procedure of Scheduled Waste Management (Prosedur Pengurusan Sisa Terjadual)</w:t>
      </w:r>
    </w:p>
    <w:bookmarkStart w:id="32" w:name="types-of-waste"/>
    <w:p>
      <w:pPr>
        <w:pStyle w:val="Heading3"/>
      </w:pPr>
      <w:r>
        <w:t xml:space="preserve">6.1 Types of Waste</w:t>
      </w:r>
    </w:p>
    <w:tbl>
      <w:tblPr>
        <w:tblStyle w:val="Table"/>
        <w:tblW w:type="pct" w:w="5000"/>
        <w:tblLayout w:type="fixed"/>
        <w:tblLook w:firstRow="1" w:lastRow="0" w:firstColumn="0" w:lastColumn="0" w:noHBand="0" w:noVBand="0" w:val="0020"/>
      </w:tblPr>
      <w:tblGrid>
        <w:gridCol w:w="2700"/>
        <w:gridCol w:w="1800"/>
        <w:gridCol w:w="3420"/>
      </w:tblGrid>
      <w:tr>
        <w:trPr>
          <w:tblHeader w:val="on"/>
        </w:trPr>
        <w:tc>
          <w:tcPr/>
          <w:p>
            <w:pPr>
              <w:pStyle w:val="Compact"/>
            </w:pPr>
            <w:r>
              <w:t xml:space="preserve">Waste Category</w:t>
            </w:r>
          </w:p>
        </w:tc>
        <w:tc>
          <w:tcPr/>
          <w:p>
            <w:pPr>
              <w:pStyle w:val="Compact"/>
            </w:pPr>
            <w:r>
              <w:t xml:space="preserve">Examples</w:t>
            </w:r>
          </w:p>
        </w:tc>
        <w:tc>
          <w:tcPr/>
          <w:p>
            <w:pPr>
              <w:pStyle w:val="Compact"/>
            </w:pPr>
            <w:r>
              <w:t xml:space="preserve">Storage Requirement</w:t>
            </w:r>
          </w:p>
        </w:tc>
      </w:tr>
      <w:tr>
        <w:tc>
          <w:tcPr/>
          <w:p>
            <w:pPr>
              <w:pStyle w:val="Compact"/>
            </w:pPr>
            <w:r>
              <w:t xml:space="preserve">Battery waste</w:t>
            </w:r>
          </w:p>
        </w:tc>
        <w:tc>
          <w:tcPr/>
          <w:p>
            <w:pPr>
              <w:pStyle w:val="Compact"/>
            </w:pPr>
            <w:r>
              <w:t xml:space="preserve">Damaged cells, battery modules, BMS components</w:t>
            </w:r>
          </w:p>
        </w:tc>
        <w:tc>
          <w:tcPr/>
          <w:p>
            <w:pPr>
              <w:pStyle w:val="Compact"/>
            </w:pPr>
            <w:r>
              <w:t xml:space="preserve">Fireproof container, temperature-monitored area</w:t>
            </w:r>
          </w:p>
        </w:tc>
      </w:tr>
      <w:tr>
        <w:tc>
          <w:tcPr/>
          <w:p>
            <w:pPr>
              <w:pStyle w:val="Compact"/>
            </w:pPr>
            <w:r>
              <w:t xml:space="preserve">Liquid waste</w:t>
            </w:r>
          </w:p>
        </w:tc>
        <w:tc>
          <w:tcPr/>
          <w:p>
            <w:pPr>
              <w:pStyle w:val="Compact"/>
            </w:pPr>
            <w:r>
              <w:t xml:space="preserve">Spent coolant, contaminated fluids</w:t>
            </w:r>
          </w:p>
        </w:tc>
        <w:tc>
          <w:tcPr/>
          <w:p>
            <w:pPr>
              <w:pStyle w:val="Compact"/>
            </w:pPr>
            <w:r>
              <w:t xml:space="preserve">Sealed drums with secondary containment</w:t>
            </w:r>
          </w:p>
        </w:tc>
      </w:tr>
      <w:tr>
        <w:tc>
          <w:tcPr/>
          <w:p>
            <w:pPr>
              <w:pStyle w:val="Compact"/>
            </w:pPr>
            <w:r>
              <w:t xml:space="preserve">Solid waste</w:t>
            </w:r>
          </w:p>
        </w:tc>
        <w:tc>
          <w:tcPr/>
          <w:p>
            <w:pPr>
              <w:pStyle w:val="Compact"/>
            </w:pPr>
            <w:r>
              <w:t xml:space="preserve">Contaminated rags, used filters, packaging</w:t>
            </w:r>
          </w:p>
        </w:tc>
        <w:tc>
          <w:tcPr/>
          <w:p>
            <w:pPr>
              <w:pStyle w:val="Compact"/>
            </w:pPr>
            <w:r>
              <w:t xml:space="preserve">Segregated bins with proper labeling</w:t>
            </w:r>
          </w:p>
        </w:tc>
      </w:tr>
      <w:tr>
        <w:tc>
          <w:tcPr/>
          <w:p>
            <w:pPr>
              <w:pStyle w:val="Compact"/>
            </w:pPr>
            <w:r>
              <w:t xml:space="preserve">Electronic waste</w:t>
            </w:r>
          </w:p>
        </w:tc>
        <w:tc>
          <w:tcPr/>
          <w:p>
            <w:pPr>
              <w:pStyle w:val="Compact"/>
            </w:pPr>
            <w:r>
              <w:t xml:space="preserve">Faulty ECUs, sensors, wiring harnesses</w:t>
            </w:r>
          </w:p>
        </w:tc>
        <w:tc>
          <w:tcPr/>
          <w:p>
            <w:pPr>
              <w:pStyle w:val="Compact"/>
            </w:pPr>
            <w:r>
              <w:t xml:space="preserve">Separate e-waste collection</w:t>
            </w:r>
          </w:p>
        </w:tc>
      </w:tr>
    </w:tbl>
    <w:bookmarkEnd w:id="32"/>
    <w:bookmarkStart w:id="33" w:name="temporary-waste-disposal-area"/>
    <w:p>
      <w:pPr>
        <w:pStyle w:val="Heading3"/>
      </w:pPr>
      <w:r>
        <w:t xml:space="preserve">6.2 Temporary Waste Disposal Area</w:t>
      </w:r>
    </w:p>
    <w:p>
      <w:pPr>
        <w:pStyle w:val="FirstParagraph"/>
      </w:pPr>
      <w:r>
        <w:t xml:space="preserve">The workshop must designate a temporary waste storage area (kawasan simpanan sisa sementara) that is:</w:t>
      </w:r>
      <w:r>
        <w:t xml:space="preserve"> </w:t>
      </w:r>
      <w:r>
        <w:t xml:space="preserve">- Located away from main work areas and ignition sources</w:t>
      </w:r>
      <w:r>
        <w:t xml:space="preserve"> </w:t>
      </w:r>
      <w:r>
        <w:t xml:space="preserve">- Equipped with secondary containment (bunding) for liquid waste</w:t>
      </w:r>
      <w:r>
        <w:t xml:space="preserve"> </w:t>
      </w:r>
      <w:r>
        <w:t xml:space="preserve">- Clearly labeled with waste type and hazard symbols</w:t>
      </w:r>
      <w:r>
        <w:t xml:space="preserve"> </w:t>
      </w:r>
      <w:r>
        <w:t xml:space="preserve">- Accessible for licensed waste collector pickup</w:t>
      </w:r>
      <w:r>
        <w:t xml:space="preserve"> </w:t>
      </w:r>
      <w:r>
        <w:t xml:space="preserve">- Inventoried with waste tracking documentation</w:t>
      </w:r>
    </w:p>
    <w:p>
      <w:r>
        <w:pict>
          <v:rect style="width:0;height:1.5pt" o:hralign="center" o:hrstd="t" o:hr="t"/>
        </w:pict>
      </w:r>
    </w:p>
    <w:bookmarkEnd w:id="33"/>
    <w:bookmarkEnd w:id="34"/>
    <w:bookmarkStart w:id="38" w:name="X05b71e474c4a772adcd5a8a9e68e873903ef58a"/>
    <w:p>
      <w:pPr>
        <w:pStyle w:val="Heading2"/>
      </w:pPr>
      <w:r>
        <w:t xml:space="preserve">7. Procedure for Scheduled Maintenance Preparation</w:t>
      </w:r>
    </w:p>
    <w:bookmarkStart w:id="35" w:name="equipment-list-layout"/>
    <w:p>
      <w:pPr>
        <w:pStyle w:val="Heading3"/>
      </w:pPr>
      <w:r>
        <w:t xml:space="preserve">7.1 Equipment List Layout</w:t>
      </w:r>
    </w:p>
    <w:p>
      <w:pPr>
        <w:pStyle w:val="FirstParagraph"/>
      </w:pPr>
      <w:r>
        <w:t xml:space="preserve">Before commencing work, verify the following equipment checklist:</w:t>
      </w:r>
      <w:r>
        <w:t xml:space="preserve"> </w:t>
      </w:r>
      <w:r>
        <w:t xml:space="preserve">- [ ] EV service bay operational and clean</w:t>
      </w:r>
      <w:r>
        <w:t xml:space="preserve"> </w:t>
      </w:r>
      <w:r>
        <w:t xml:space="preserve">- [ ] All insulated tools inspected and in good condition</w:t>
      </w:r>
      <w:r>
        <w:t xml:space="preserve"> </w:t>
      </w:r>
      <w:r>
        <w:t xml:space="preserve">- [ ] Diagnostic scan tool charged and software updated</w:t>
      </w:r>
      <w:r>
        <w:t xml:space="preserve"> </w:t>
      </w:r>
      <w:r>
        <w:t xml:space="preserve">- [ ] PPE available and inspected (gloves, glasses, footwear, helmet)</w:t>
      </w:r>
      <w:r>
        <w:t xml:space="preserve"> </w:t>
      </w:r>
      <w:r>
        <w:t xml:space="preserve">- [ ] Fire extinguisher (Class D) accessible and within service date</w:t>
      </w:r>
      <w:r>
        <w:t xml:space="preserve"> </w:t>
      </w:r>
      <w:r>
        <w:t xml:space="preserve">- [ ] Electric rescue hook in designated location</w:t>
      </w:r>
      <w:r>
        <w:t xml:space="preserve"> </w:t>
      </w:r>
      <w:r>
        <w:t xml:space="preserve">- [ ] Safety box available for key and interlock plug storage</w:t>
      </w:r>
    </w:p>
    <w:bookmarkEnd w:id="35"/>
    <w:bookmarkStart w:id="36" w:name="toolbox-talk-perbincangan-peti-alat"/>
    <w:p>
      <w:pPr>
        <w:pStyle w:val="Heading3"/>
      </w:pPr>
      <w:r>
        <w:t xml:space="preserve">7.2 Toolbox Talk (Perbincangan Peti Alat)</w:t>
      </w:r>
    </w:p>
    <w:p>
      <w:pPr>
        <w:pStyle w:val="FirstParagraph"/>
      </w:pPr>
      <w:r>
        <w:t xml:space="preserve">A toolbox talk must be conducted before each shift or before starting a new maintenance task. The toolbox talk covers:</w:t>
      </w:r>
      <w:r>
        <w:t xml:space="preserve"> </w:t>
      </w:r>
      <w:r>
        <w:t xml:space="preserve">- Task overview and scope</w:t>
      </w:r>
      <w:r>
        <w:t xml:space="preserve"> </w:t>
      </w:r>
      <w:r>
        <w:t xml:space="preserve">- Identified hazards and control measures</w:t>
      </w:r>
      <w:r>
        <w:t xml:space="preserve"> </w:t>
      </w:r>
      <w:r>
        <w:t xml:space="preserve">- PPE requirements</w:t>
      </w:r>
      <w:r>
        <w:t xml:space="preserve"> </w:t>
      </w:r>
      <w:r>
        <w:t xml:space="preserve">- Emergency procedures</w:t>
      </w:r>
      <w:r>
        <w:t xml:space="preserve"> </w:t>
      </w:r>
      <w:r>
        <w:t xml:space="preserve">- Roles and responsibilities</w:t>
      </w:r>
    </w:p>
    <w:bookmarkEnd w:id="36"/>
    <w:bookmarkStart w:id="37" w:name="Xdf673b7832df9d4de52a0473e64eac7ab7ad061"/>
    <w:p>
      <w:pPr>
        <w:pStyle w:val="Heading3"/>
      </w:pPr>
      <w:r>
        <w:t xml:space="preserve">7.3 Assembly Point and Emergency Escape Route</w:t>
      </w:r>
    </w:p>
    <w:p>
      <w:pPr>
        <w:pStyle w:val="FirstParagraph"/>
      </w:pPr>
      <w:r>
        <w:t xml:space="preserve">All personnel must be familiar with:</w:t>
      </w:r>
      <w:r>
        <w:t xml:space="preserve"> </w:t>
      </w:r>
      <w:r>
        <w:t xml:space="preserve">- Location of the emergency assembly point (titik perhimpunan kecemasan)</w:t>
      </w:r>
      <w:r>
        <w:t xml:space="preserve"> </w:t>
      </w:r>
      <w:r>
        <w:t xml:space="preserve">- Primary and secondary escape routes from the work bay</w:t>
      </w:r>
      <w:r>
        <w:t xml:space="preserve"> </w:t>
      </w:r>
      <w:r>
        <w:t xml:space="preserve">- Location of emergency equipment (fire extinguisher, rescue hook, first aid kit)</w:t>
      </w:r>
      <w:r>
        <w:t xml:space="preserve"> </w:t>
      </w:r>
      <w:r>
        <w:t xml:space="preserve">- Emergency contact numbers (BOMBA: 999, DOSH hotline)</w:t>
      </w:r>
    </w:p>
    <w:p>
      <w:r>
        <w:pict>
          <v:rect style="width:0;height:1.5pt" o:hralign="center" o:hrstd="t" o:hr="t"/>
        </w:pict>
      </w:r>
    </w:p>
    <w:bookmarkEnd w:id="37"/>
    <w:bookmarkEnd w:id="38"/>
    <w:bookmarkStart w:id="39" w:name="rujukan-references"/>
    <w:p>
      <w:pPr>
        <w:pStyle w:val="Heading2"/>
      </w:pPr>
      <w:r>
        <w:t xml:space="preserve">Rujukan / References</w:t>
      </w:r>
    </w:p>
    <w:p>
      <w:pPr>
        <w:pStyle w:val="Compact"/>
        <w:numPr>
          <w:ilvl w:val="0"/>
          <w:numId w:val="1005"/>
        </w:numPr>
      </w:pPr>
      <w:r>
        <w:t xml:space="preserve">Occupational Safety and Health Act 1994 (Act 514) / Akta Keselamatan dan Kesihatan Pekerjaan 1994</w:t>
      </w:r>
    </w:p>
    <w:p>
      <w:pPr>
        <w:pStyle w:val="Compact"/>
        <w:numPr>
          <w:ilvl w:val="0"/>
          <w:numId w:val="1005"/>
        </w:numPr>
      </w:pPr>
      <w:r>
        <w:t xml:space="preserve">Environmental Quality Act 1974 (Act 127) / Akta Kualiti Alam Sekeliling 1974</w:t>
      </w:r>
    </w:p>
    <w:p>
      <w:pPr>
        <w:pStyle w:val="Compact"/>
        <w:numPr>
          <w:ilvl w:val="0"/>
          <w:numId w:val="1005"/>
        </w:numPr>
      </w:pPr>
      <w:r>
        <w:t xml:space="preserve">Environmental Quality (Scheduled Wastes) Regulations 2005</w:t>
      </w:r>
    </w:p>
    <w:p>
      <w:pPr>
        <w:pStyle w:val="Compact"/>
        <w:numPr>
          <w:ilvl w:val="0"/>
          <w:numId w:val="1005"/>
        </w:numPr>
      </w:pPr>
      <w:r>
        <w:t xml:space="preserve">Road Transport Act 1987 (Act 333)</w:t>
      </w:r>
    </w:p>
    <w:p>
      <w:pPr>
        <w:pStyle w:val="Compact"/>
        <w:numPr>
          <w:ilvl w:val="0"/>
          <w:numId w:val="1005"/>
        </w:numPr>
      </w:pPr>
      <w:r>
        <w:t xml:space="preserve">Energy Commission Act 2001 / Akta Suruhanjaya Tenaga 2001</w:t>
      </w:r>
    </w:p>
    <w:p>
      <w:pPr>
        <w:pStyle w:val="Compact"/>
        <w:numPr>
          <w:ilvl w:val="0"/>
          <w:numId w:val="1005"/>
        </w:numPr>
      </w:pPr>
      <w:r>
        <w:t xml:space="preserve">Electricity Supply Act 1990 (Act 447) / Akta Bekalan Elektrik 1990</w:t>
      </w:r>
    </w:p>
    <w:p>
      <w:pPr>
        <w:pStyle w:val="Compact"/>
        <w:numPr>
          <w:ilvl w:val="0"/>
          <w:numId w:val="1005"/>
        </w:numPr>
      </w:pPr>
      <w:r>
        <w:t xml:space="preserve">IEC 60900 — Live Working — Hand Tools for Use Up to 1000V AC and 1500V DC</w:t>
      </w:r>
    </w:p>
    <w:p>
      <w:pPr>
        <w:pStyle w:val="Compact"/>
        <w:numPr>
          <w:ilvl w:val="0"/>
          <w:numId w:val="1005"/>
        </w:numPr>
      </w:pPr>
      <w:r>
        <w:t xml:space="preserve">Manufacturer’s Service Manual (model-specific)</w:t>
      </w:r>
    </w:p>
    <w:p>
      <w:pPr>
        <w:pStyle w:val="Compact"/>
        <w:numPr>
          <w:ilvl w:val="0"/>
          <w:numId w:val="1005"/>
        </w:numPr>
      </w:pPr>
      <w:r>
        <w:t xml:space="preserve">DOSH Guidelines for Manual Handling at Workplace 2018</w:t>
      </w:r>
    </w:p>
    <w:bookmarkEnd w:id="39"/>
    <w:bookmarkEnd w:id="40"/>
    <w:sectPr>
      <w:footnotePr>
        <w:numRestart w:val="eachSect"/>
      </w:footnotePr>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2026-04-17T02:28:20Z</dcterms:created>
  <dcterms:modified xsi:type="dcterms:W3CDTF">2026-04-17T02:28:20Z</dcterms:modified>
</cp:coreProperties>
</file>

<file path=docProps/custom.xml><?xml version="1.0" encoding="utf-8"?>
<Properties xmlns="http://schemas.openxmlformats.org/officeDocument/2006/custom-properties" xmlns:vt="http://schemas.openxmlformats.org/officeDocument/2006/docPropsVTypes"/>
</file>