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NOSS: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 xml:space="preserve">CU: </w:t>
            </w:r>
          </w:p>
        </w:tc>
        <w:tc>
          <w:tcPr>
            <w:tcW w:type="dxa" w:w="306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Kod: -/</w:t>
            </w:r>
          </w:p>
        </w:tc>
      </w:tr>
      <w:tr>
        <w:tc>
          <w:tcPr>
            <w:tcW w:type="dxa" w:w="9186"/>
            <w:gridSpan w:val="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KERTAS PENERANGAN / INFORMATION SHEET</w:t>
            </w:r>
          </w:p>
        </w:tc>
      </w:tr>
    </w:tbl>
    <w:p/>
    <w:bookmarkStart w:id="14" w:name="equipment-verification-ppt-ppa-set-a"/>
    <w:p>
      <w:pPr>
        <w:pStyle w:val="Heading1"/>
      </w:pPr>
      <w:r>
        <w:t xml:space="preserve">EQUIPMENT VERIFICATION — PPT-PPA (SET 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JABATAN PEMBANGUNAN KEMAHIRAN</w:t>
      </w:r>
      <w:r>
        <w:t xml:space="preserve"> </w:t>
      </w:r>
      <w:r>
        <w:rPr>
          <w:b/>
          <w:bCs/>
        </w:rPr>
        <w:t xml:space="preserve">KEMENTERIAN SUMBER MANUSIA</w:t>
      </w:r>
      <w:r>
        <w:t xml:space="preserve"> </w:t>
      </w:r>
      <w:r>
        <w:t xml:space="preserve">ARAS 7 &amp; 8 SETIA PERKASA 4, KOMPLEKS SETIA PERKASA</w:t>
      </w:r>
      <w:r>
        <w:t xml:space="preserve"> </w:t>
      </w:r>
      <w:r>
        <w:t xml:space="preserve">62530 PUTRAJAYA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KOD DAN NAMA PUSAT BERTAULIAH/SYARIKAT</w:t>
      </w:r>
    </w:p>
    <w:p>
      <w:pPr>
        <w:pStyle w:val="BodyText"/>
      </w:pPr>
      <w:r>
        <w:t xml:space="preserve">CHARACTER INTERNATIONAL ACADEMY SDN. BHD.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SENARAI SEMAK PENGESAHAN PERALATAN DAN BAHAN — PPT-PPA (SET A)</w:t>
      </w:r>
    </w:p>
    <w:p>
      <w:pPr>
        <w:pStyle w:val="BodyText"/>
      </w:pPr>
      <w:r>
        <w:rPr>
          <w:b/>
          <w:bCs/>
        </w:rPr>
        <w:t xml:space="preserve">KOD KOMPETENSI:</w:t>
      </w:r>
      <w:r>
        <w:t xml:space="preserve"> </w:t>
      </w:r>
      <w:r>
        <w:t xml:space="preserve">FB-018-3:2012 SALES &amp; MARKETING OPERATION</w:t>
      </w:r>
    </w:p>
    <w:p>
      <w:pPr>
        <w:pStyle w:val="BodyText"/>
      </w:pPr>
      <w:r>
        <w:rPr>
          <w:b/>
          <w:bCs/>
        </w:rPr>
        <w:t xml:space="preserve">TARIKH PENILAIAN:</w:t>
      </w:r>
      <w:r>
        <w:t xml:space="preserve"> </w:t>
      </w:r>
      <w:r>
        <w:t xml:space="preserve">_________________________</w:t>
      </w:r>
    </w:p>
    <w:p>
      <w:pPr>
        <w:pStyle w:val="BodyText"/>
      </w:pPr>
      <w:r>
        <w:rPr>
          <w:b/>
          <w:bCs/>
        </w:rPr>
        <w:t xml:space="preserve">SESI / KUMPULAN:</w:t>
      </w:r>
      <w:r>
        <w:t xml:space="preserve"> </w:t>
      </w:r>
      <w:r>
        <w:t xml:space="preserve">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Arahan:</w:t>
      </w:r>
    </w:p>
    <w:p>
      <w:pPr>
        <w:pStyle w:val="BodyText"/>
      </w:pPr>
      <w:r>
        <w:t xml:space="preserve">Penilai / PPL-PPT hendaklah menyemak dan mengesahkan semua peralatan dan bahan berikut SEBELUM penilaian bermula. Tandakan (✓) pada ruangan</w:t>
      </w:r>
      <w:r>
        <w:t xml:space="preserve"> </w:t>
      </w:r>
      <w:r>
        <w:t xml:space="preserve">“Sedia”</w:t>
      </w:r>
      <w:r>
        <w:t xml:space="preserve"> </w:t>
      </w:r>
      <w:r>
        <w:t xml:space="preserve">jika peralatan/bahan berfungsi dan mencukupi.</w:t>
      </w:r>
    </w:p>
    <w:p>
      <w:r>
        <w:pict>
          <v:rect style="width:0;height:1.5pt" o:hralign="center" o:hrstd="t" o:hr="t"/>
        </w:pict>
      </w:r>
    </w:p>
    <w:bookmarkStart w:id="9" w:name="a.-peralatan-equipment"/>
    <w:p>
      <w:pPr>
        <w:pStyle w:val="Heading2"/>
      </w:pPr>
      <w:r>
        <w:t xml:space="preserve">A. PERALATAN /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2376"/>
        <w:gridCol w:w="2079"/>
        <w:gridCol w:w="2079"/>
        <w:gridCol w:w="792"/>
      </w:tblGrid>
      <w:tr>
        <w:trPr>
          <w:tblHeader w:val="on"/>
        </w:trPr>
        <w:tc>
          <w:tcPr>
            <w:tcW w:type="dxa" w:w="716"/>
          </w:tcPr>
          <w:p>
            <w:pPr>
              <w:pStyle w:val="Compact"/>
            </w:pPr>
            <w:r>
              <w:t xml:space="preserve">BIL.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PERALATAN / KELENGKAPAN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UKURAN / SPESIFIKASI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KUANTITI DIPERLUKAN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Computer / Laptop dengan capaian Internet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Berfungsi dengan sambungan Internet aktif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unit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Printer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Berfungsi dengan kertas dan dakwat mencukupi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unit : 5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Kalkulator / Calculation Tool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Fungsi asas (+ − × ÷ %)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unit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Aplikasi Pejabat Asas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Word processing (contoh: MS Word / Google Docs)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set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Aplikasi Hamparan / Spreadsheet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Contoh: MS Excel / Google Sheets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set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Akaun Platform Jualan Dalam Talian — Shopee Seller Centre (Sandbox / Training Mode)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Log masuk aktif, mod latihan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akaun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Akaun Platform Jualan Dalam Talian — TikTok Shop Seller Centre (Sandbox / Training Mode)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Log masuk aktif, mod latihan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akaun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16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3356"/>
          </w:tcPr>
          <w:p>
            <w:pPr>
              <w:pStyle w:val="Compact"/>
            </w:pPr>
            <w:r>
              <w:t xml:space="preserve">Clipboard / Folder Pemfailan</w:t>
            </w:r>
          </w:p>
        </w:tc>
        <w:tc>
          <w:tcPr>
            <w:tcW w:type="dxa" w:w="2453"/>
          </w:tcPr>
          <w:p>
            <w:pPr>
              <w:pStyle w:val="Compact"/>
            </w:pPr>
            <w:r>
              <w:t xml:space="preserve">Saiz A4</w:t>
            </w:r>
          </w:p>
        </w:tc>
        <w:tc>
          <w:tcPr>
            <w:tcW w:type="dxa" w:w="1600"/>
          </w:tcPr>
          <w:p>
            <w:pPr>
              <w:pStyle w:val="Compact"/>
            </w:pPr>
            <w:r>
              <w:t xml:space="preserve">1 unit setiap calon</w:t>
            </w:r>
          </w:p>
        </w:tc>
        <w:tc>
          <w:tcPr>
            <w:tcW w:type="dxa" w:w="947"/>
          </w:tcPr>
          <w:p>
            <w:pPr>
              <w:pStyle w:val="Compact"/>
            </w:pPr>
            <w:r>
              <w:t xml:space="preserve">☐ Sedia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b.-bahan-dokumen-materials"/>
    <w:p>
      <w:pPr>
        <w:pStyle w:val="Heading2"/>
      </w:pPr>
      <w:r>
        <w:t xml:space="preserve">B. BAHAN / DOKUMEN /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2404"/>
        <w:gridCol w:w="2121"/>
        <w:gridCol w:w="1414"/>
        <w:gridCol w:w="1131"/>
      </w:tblGrid>
      <w:tr>
        <w:trPr>
          <w:tblHeader w:val="on"/>
        </w:trPr>
        <w:tc>
          <w:tcPr>
            <w:tcW w:type="dxa" w:w="788"/>
          </w:tcPr>
          <w:p>
            <w:pPr>
              <w:pStyle w:val="Compact"/>
            </w:pPr>
            <w:r>
              <w:t xml:space="preserve">BIL.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BAHAN / DOKUMEN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UKURAN (UNIT)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KUANTITI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Appendix 1: Company Brief — VIZTECH TRADING SDN. BHD. &amp; Product Information Sheet (Electronics)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Appendix 2: Market Survey Raw Data (20 Respondents) &amp; Verified Market Survey Data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Appendix 3: Market &amp; Product Survey Planning and Questionnaire Form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Appendix 4: Online Sales Collateral and Product Listing Form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Appendix 5: Sales Performance Analysis Form &amp; Self Sales Performance Assessment Report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Template Katalog Produk Elektronik / Electronics Product Catalogue Template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A4, dicetak atau digital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Template Risalah / Brochure Template (Produk Elektronik)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A4, dicetak atau digital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Senarai Inventori Produk VIZTECH / VIZTECH Product Inventory List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A4, dicetak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Kertas cetak / Printing Paper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A4, 80gsm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Secukupnya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Folder kerja calon / Candidate Working Folder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Saiz A4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Alat tulis / Stationery (pen, pensil, pembaris)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788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type="dxa" w:w="3838"/>
          </w:tcPr>
          <w:p>
            <w:pPr>
              <w:pStyle w:val="Compact"/>
            </w:pPr>
            <w:r>
              <w:t xml:space="preserve">Lembaran Jawapan / Assessment Answer Sheet</w:t>
            </w:r>
          </w:p>
        </w:tc>
        <w:tc>
          <w:tcPr>
            <w:tcW w:type="dxa" w:w="1929"/>
          </w:tcPr>
          <w:p>
            <w:pPr>
              <w:pStyle w:val="Compact"/>
            </w:pPr>
            <w:r>
              <w:t xml:space="preserve">Set</w:t>
            </w:r>
          </w:p>
        </w:tc>
        <w:tc>
          <w:tcPr>
            <w:tcW w:type="dxa" w:w="1474"/>
          </w:tcPr>
          <w:p>
            <w:pPr>
              <w:pStyle w:val="Compact"/>
            </w:pPr>
            <w:r>
              <w:t xml:space="preserve">1 setiap calon</w:t>
            </w:r>
          </w:p>
        </w:tc>
        <w:tc>
          <w:tcPr>
            <w:tcW w:type="dxa" w:w="1042"/>
          </w:tcPr>
          <w:p>
            <w:pPr>
              <w:pStyle w:val="Compact"/>
            </w:pPr>
            <w:r>
              <w:t xml:space="preserve">☐ Sedia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196dc8771cc65e4b18638495fd642c46a22fccc"/>
    <w:p>
      <w:pPr>
        <w:pStyle w:val="Heading2"/>
      </w:pPr>
      <w:r>
        <w:t xml:space="preserve">C. PERSEKITARAN PENILAIAN / ASSESSMENT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>
            <w:tcW w:type="dxa" w:w="1324"/>
          </w:tcPr>
          <w:p>
            <w:pPr>
              <w:pStyle w:val="Compact"/>
            </w:pPr>
            <w:r>
              <w:t xml:space="preserve">BIL.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PERKARA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Bilik penilaian mencukupi untuk bilangan calon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Pencahayaan mencukupi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Sambungan internet berfungsi dan stabil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Akses kepada Shopee Seller Centre dan TikTok Shop Seller Centre disahkan berfungsi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Gangguan luar diminimumkan (bunyi, gangguan lalu lalang)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  <w:tr>
        <w:tc>
          <w:tcPr>
            <w:tcW w:type="dxa" w:w="1324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type="dxa" w:w="5995"/>
          </w:tcPr>
          <w:p>
            <w:pPr>
              <w:pStyle w:val="Compact"/>
            </w:pPr>
            <w:r>
              <w:t xml:space="preserve">Calon duduk secara berasingan (jarak sesuai)</w:t>
            </w:r>
          </w:p>
        </w:tc>
        <w:tc>
          <w:tcPr>
            <w:tcW w:type="dxa" w:w="1752"/>
          </w:tcPr>
          <w:p>
            <w:pPr>
              <w:pStyle w:val="Compact"/>
            </w:pPr>
            <w:r>
              <w:t xml:space="preserve">☐ Sedia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.-pengesahan-ppl-ppt-sebelum-penilaian"/>
    <w:p>
      <w:pPr>
        <w:pStyle w:val="Heading2"/>
      </w:pPr>
      <w:r>
        <w:t xml:space="preserve">D. PENGESAHAN PPL-PPT SEBELUM PENILAIAN</w:t>
      </w:r>
    </w:p>
    <w:p>
      <w:pPr>
        <w:pStyle w:val="FirstParagraph"/>
      </w:pPr>
      <w:r>
        <w:t xml:space="preserve">Saya mengesahkan bahawa semua peralatan, bahan dan persekitaran penilaian telah disemak dan bersedia untuk penilaian dijalankan.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Tandatangan PPL-PPT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Nama PPL-PPT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No. Rujukan PPL-PPT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Tarikh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Masa Semakan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  <w:tr>
        <w:tc>
          <w:tcPr>
            <w:tcW w:type="dxa" w:w="4225"/>
          </w:tcPr>
          <w:p>
            <w:pPr>
              <w:pStyle w:val="Compact"/>
            </w:pPr>
            <w:r>
              <w:rPr>
                <w:b/>
                <w:bCs/>
              </w:rPr>
              <w:t xml:space="preserve">Bilangan Calon</w:t>
            </w:r>
          </w:p>
        </w:tc>
        <w:tc>
          <w:tcPr>
            <w:tcW w:type="dxa" w:w="4846"/>
          </w:tcPr>
          <w:p>
            <w:pPr>
              <w:pStyle w:val="Compact"/>
            </w:pPr>
            <w:r>
              <w:t xml:space="preserve">_________________________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.-catatan-remarks"/>
    <w:p>
      <w:pPr>
        <w:pStyle w:val="Heading2"/>
      </w:pPr>
      <w:r>
        <w:t xml:space="preserve">E. CATATAN / REMARKS</w:t>
      </w:r>
    </w:p>
    <w:p>
      <w:pPr>
        <w:pStyle w:val="FirstParagraph"/>
      </w:pPr>
      <w:r>
        <w:t xml:space="preserve">Sekiranya terdapat peralatan / bahan yang tidak sedia, nyatakan tindakan yang diambil: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KERTAS INI MENGANDUNGI 5 MUKA SURAT BERCETAK</w:t>
      </w:r>
    </w:p>
    <w:p>
      <w:pPr>
        <w:pStyle w:val="BodyText"/>
      </w:pPr>
      <w:r>
        <w:rPr>
          <w:b/>
          <w:bCs/>
        </w:rPr>
        <w:t xml:space="preserve">FB-018-3:2012/2026/A/01 — PENGESAHAN PERALATAN</w:t>
      </w:r>
    </w:p>
    <w:bookmarkEnd w:id="13"/>
    <w:bookmarkEnd w:id="14"/>
    <w:sectPr w:rsidR="00FC693F" w:rsidRPr="0006063C" w:rsidSect="00034616">
      <w:mirrorMargins/>
      <w:pgSz w:h="16838" w:w="11906"/>
      <w:pgMar w:bottom="1417" w:footer="720" w:gutter="340" w:header="720" w:left="1417" w:right="1417" w:top="1417"/>
      <w:cols w:space="720"/>
      <w:docGrid w:linePitch="36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12" w:lineRule="auto"/>
      <w:jc w:val="both"/>
      <w:ind w:firstLine="283"/>
    </w:pPr>
    <w:rPr>
      <w:rFonts w:ascii="Source Serif 4" w:cs="Source Serif 4" w:eastAsia="Source Han Serif SC" w:hAnsi="Source Serif 4" w:hint="default"/>
      <w:sz w:val="21"/>
      <w:szCs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 w:line="264" w:lineRule="auto"/>
      <w:outlineLvl w:val="0"/>
      <w:pageBreakBefore/>
      <w:pBdr>
        <w:bottom w:color="1F3864" w:space="6" w:sz="8" w:val="single"/>
      </w:pBdr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themeShade="BF" w:val="1F3864"/>
      <w:sz w:val="48"/>
      <w:szCs w:val="4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360" w:line="276" w:lineRule="auto"/>
      <w:outlineLvl w:val="1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1F3864"/>
      <w:sz w:val="32"/>
      <w:szCs w:val="32"/>
      <w:smallCaps w:val="1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88" w:lineRule="auto"/>
      <w:outlineLvl w:val="2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color w:themeColor="accent1" w:val="3C5A99"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200"/>
      <w:outlineLvl w:val="3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b/>
      <w:bCs/>
      <w:i/>
      <w:iCs/>
      <w:color w:themeColor="accent1" w:val="3C5A99"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64" w:lineRule="auto"/>
      <w:contextualSpacing/>
      <w:jc w:val="center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color w:themeColor="text2" w:themeShade="BF" w:val="1F3864"/>
      <w:spacing w:val="5"/>
      <w:kern w:val="28"/>
      <w:sz w:val="64"/>
      <w:szCs w:val="64"/>
      <w:b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after="480" w:before="120"/>
    </w:pPr>
    <w:rPr>
      <w:rFonts w:ascii="Source Sans 3" w:asciiTheme="majorHAnsi" w:cs="Source Sans 3" w:cstheme="majorBidi" w:eastAsia="Source Han Serif SC" w:eastAsiaTheme="majorEastAsia" w:hAnsi="Source Sans 3" w:hAnsiTheme="majorHAnsi" w:hint="default"/>
      <w:i/>
      <w:iCs/>
      <w:color w:themeColor="accent1" w:val="595959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firstLine="0" w:left="566"/>
      <w:spacing w:after="120" w:before="120" w:line="300" w:lineRule="auto"/>
      <w:pBdr>
        <w:left w:color="1F3864" w:space="8" w:sz="24" w:val="single"/>
      </w:pBdr>
    </w:pPr>
    <w:rPr>
      <w:rFonts w:ascii="Source Serif 4" w:cs="Source Serif 4" w:eastAsia="Source Han Serif SC" w:hAnsi="Source Serif 4" w:hint="default"/>
      <w:i/>
      <w:iCs/>
      <w:color w:themeColor="text1" w:val="3F3F3F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  <w:ind w:firstLine="0"/>
    </w:pPr>
    <w:rPr>
      <w:rFonts w:ascii="Source Sans 3" w:cs="Source Sans 3" w:eastAsia="Source Han Serif SC" w:hAnsi="Source Sans 3" w:hint="default"/>
      <w:b/>
      <w:bCs/>
      <w:color w:themeColor="accent1" w:val="595959"/>
      <w:sz w:val="18"/>
      <w:szCs w:val="18"/>
      <w:i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odyFirst" w:type="paragraph">
    <w:name w:val="Body First"/>
    <w:basedOn w:val="Normal"/>
    <w:pPr>
      <w:ind w:firstLine="0"/>
    </w:pPr>
  </w:style>
  <w:style w:customStyle="1" w:styleId="SourceCode" w:type="paragraph">
    <w:name w:val="Source Code"/>
    <w:pPr>
      <w:ind w:firstLine="0"/>
      <w:spacing w:after="80" w:before="80" w:line="276" w:lineRule="auto"/>
      <w:jc w:val="left"/>
      <w:shd w:color="auto" w:fill="F6F8FA" w:val="clear"/>
      <w:pBdr>
        <w:top w:color="D0D7DE" w:space="2" w:sz="4" w:val="single"/>
        <w:left w:color="D0D7DE" w:space="2" w:sz="4" w:val="single"/>
        <w:bottom w:color="D0D7DE" w:space="2" w:sz="4" w:val="single"/>
        <w:right w:color="D0D7DE" w:space="2" w:sz="4" w:val="single"/>
      </w:pBdr>
    </w:pPr>
    <w:rPr>
      <w:rFonts w:ascii="JetBrains Mono" w:cs="JetBrains Mono" w:eastAsia="Source Han Serif SC" w:hAnsi="JetBrains Mono" w:hint="default"/>
      <w:sz w:val="19"/>
      <w:szCs w:val="19"/>
    </w:rPr>
  </w:style>
  <w:style w:customStyle="1" w:styleId="CalloutNote" w:type="paragraph">
    <w:name w:val="Callout Note"/>
    <w:basedOn w:val="Normal"/>
    <w:pPr>
      <w:shd w:color="auto" w:fill="FFF8E1" w:val="clear"/>
      <w:ind w:firstLine="0" w:left="170"/>
      <w:spacing w:after="120" w:before="120" w:line="300" w:lineRule="auto"/>
      <w:jc w:val="left"/>
      <w:pBdr>
        <w:left w:color="E6A23C" w:space="8" w:sz="24" w:val="single"/>
        <w:top w:color="E6A23C" w:space="4" w:sz="4" w:val="single"/>
        <w:bottom w:color="E6A23C" w:space="4" w:sz="4" w:val="single"/>
        <w:right w:color="E6A23C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Warning" w:type="paragraph">
    <w:name w:val="Callout Warning"/>
    <w:basedOn w:val="Normal"/>
    <w:pPr>
      <w:shd w:color="auto" w:fill="FDE7E9" w:val="clear"/>
      <w:ind w:firstLine="0" w:left="170"/>
      <w:spacing w:after="120" w:before="120" w:line="300" w:lineRule="auto"/>
      <w:jc w:val="left"/>
      <w:pBdr>
        <w:left w:color="C0392B" w:space="8" w:sz="24" w:val="single"/>
        <w:top w:color="C0392B" w:space="4" w:sz="4" w:val="single"/>
        <w:bottom w:color="C0392B" w:space="4" w:sz="4" w:val="single"/>
        <w:right w:color="C0392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Definition" w:type="paragraph">
    <w:name w:val="Callout Definition"/>
    <w:basedOn w:val="Normal"/>
    <w:pPr>
      <w:shd w:color="auto" w:fill="E3F2FD" w:val="clear"/>
      <w:ind w:firstLine="0" w:left="170"/>
      <w:spacing w:after="120" w:before="120" w:line="300" w:lineRule="auto"/>
      <w:jc w:val="left"/>
      <w:pBdr>
        <w:left w:color="2E86AB" w:space="8" w:sz="24" w:val="single"/>
        <w:top w:color="2E86AB" w:space="4" w:sz="4" w:val="single"/>
        <w:bottom w:color="2E86AB" w:space="4" w:sz="4" w:val="single"/>
        <w:right w:color="2E86AB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CalloutExample" w:type="paragraph">
    <w:name w:val="Callout Example"/>
    <w:basedOn w:val="Normal"/>
    <w:pPr>
      <w:shd w:color="auto" w:fill="E8F5E9" w:val="clear"/>
      <w:ind w:firstLine="0" w:left="170"/>
      <w:spacing w:after="120" w:before="120" w:line="300" w:lineRule="auto"/>
      <w:jc w:val="left"/>
      <w:pBdr>
        <w:left w:color="2E7D32" w:space="8" w:sz="24" w:val="single"/>
        <w:top w:color="2E7D32" w:space="4" w:sz="4" w:val="single"/>
        <w:bottom w:color="2E7D32" w:space="4" w:sz="4" w:val="single"/>
        <w:right w:color="2E7D32" w:space="4" w:sz="4" w:val="single"/>
      </w:pBdr>
    </w:pPr>
    <w:rPr>
      <w:rFonts w:ascii="Source Serif 4" w:cs="Source Serif 4" w:eastAsia="Source Han Serif SC" w:hAnsi="Source Serif 4" w:hint="default"/>
      <w:sz w:val="20"/>
      <w:szCs w:val="20"/>
    </w:rPr>
  </w:style>
  <w:style w:customStyle="1" w:styleId="PullQuote" w:type="paragraph">
    <w:name w:val="Pull Quote"/>
    <w:pPr>
      <w:jc w:val="center"/>
      <w:ind w:firstLine="0" w:left="680"/>
      <w:spacing w:after="240" w:before="240" w:line="312" w:lineRule="auto"/>
      <w:pBdr>
        <w:top w:color="1F3864" w:space="8" w:sz="8" w:val="single"/>
        <w:bottom w:color="1F3864" w:space="8" w:sz="8" w:val="single"/>
      </w:pBdr>
    </w:pPr>
    <w:rPr>
      <w:rFonts w:ascii="Source Sans 3" w:cs="Source Sans 3" w:eastAsia="Source Han Serif SC" w:hAnsi="Source Sans 3" w:hint="default"/>
      <w:sz w:val="28"/>
      <w:szCs w:val="28"/>
      <w:i/>
      <w:color w:val="1F386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2026-08-24T12:13:51Z</dcterms:created>
  <dcterms:modified xsi:type="dcterms:W3CDTF">2026-08-24T12:13:51Z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