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assessment-answer-sheet-model-answer"/>
    <w:p>
      <w:pPr>
        <w:pStyle w:val="Heading1"/>
      </w:pPr>
      <w:r>
        <w:rPr>
          <w:rFonts w:ascii="Arial" w:hAnsi="Arial" w:cs="Arial" w:eastAsia="Arial"/>
        </w:rPr>
        <w:t xml:space="preserve">ASSESSMENT ANSWER SHEET (MODEL ANSWER)</w:t>
      </w:r>
    </w:p>
    <w:p>
      <w:pPr>
        <w:pStyle w:val="BlockText"/>
      </w:pPr>
      <w:r>
        <w:rPr>
          <w:rFonts w:ascii="Arial" w:hAnsi="Arial" w:cs="Arial" w:eastAsia="Arial"/>
          <w:b/>
          <w:bCs/>
        </w:rPr>
        <w:t xml:space="preserve">Examiner’s Reference — Model Answer.</w:t>
      </w:r>
      <w:r>
        <w:rPr>
          <w:rFonts w:ascii="Arial" w:hAnsi="Arial" w:cs="Arial" w:eastAsia="Arial"/>
        </w:rPr>
        <w:t xml:space="preserve"> </w:t>
      </w:r>
      <w:r>
        <w:rPr>
          <w:rFonts w:ascii="Arial" w:hAnsi="Arial" w:cs="Arial" w:eastAsia="Arial"/>
        </w:rPr>
        <w:t xml:space="preserve">This document reproduces Appendices 3 to 7 of the SOALAN with the correct answers filled in. Text in</w:t>
      </w:r>
      <w:r>
        <w:rPr>
          <w:rFonts w:ascii="Arial" w:hAnsi="Arial" w:cs="Arial" w:eastAsia="Arial"/>
        </w:rPr>
        <w:t xml:space="preserve"> </w:t>
      </w:r>
      <w:r>
        <w:rPr>
          <w:rFonts w:ascii="Arial" w:hAnsi="Arial" w:cs="Arial" w:eastAsia="Arial"/>
          <w:b/>
          <w:bCs/>
        </w:rPr>
        <w:t xml:space="preserve">bold</w:t>
      </w:r>
      <w:r>
        <w:rPr>
          <w:rFonts w:ascii="Arial" w:hAnsi="Arial" w:cs="Arial" w:eastAsia="Arial"/>
        </w:rPr>
        <w:t xml:space="preserve"> </w:t>
      </w:r>
      <w:r>
        <w:rPr>
          <w:rFonts w:ascii="Arial" w:hAnsi="Arial" w:cs="Arial" w:eastAsia="Arial"/>
        </w:rPr>
        <w:t xml:space="preserve">is the model answer. Equivalent data-supported responses are acceptable where indicated.</w:t>
      </w:r>
    </w:p>
    <w:p>
      <w:r>
        <w:rPr>
          <w:rFonts w:ascii="Arial" w:hAnsi="Arial" w:cs="Arial" w:eastAsia="Arial"/>
        </w:rPr>
        <w:pict>
          <v:rect style="width:0;height:1.5pt" o:hralign="center" o:hrstd="t" o:hr="t"/>
        </w:pict>
      </w:r>
    </w:p>
    <w:bookmarkStart w:id="9" w:name="Xa5a896c7e732fd8c974d63f8c005db1059bd2ee"/>
    <w:p>
      <w:pPr>
        <w:pStyle w:val="Heading2"/>
      </w:pPr>
      <w:r>
        <w:rPr>
          <w:rFonts w:ascii="Arial" w:hAnsi="Arial" w:cs="Arial" w:eastAsia="Arial"/>
        </w:rPr>
        <w:t xml:space="preserve">APPENDIX 3 — PRODUCT &amp; MARKET ANALYSIS FORM (TUGASAN 1)</w:t>
      </w:r>
    </w:p>
    <w:p>
      <w:pPr>
        <w:pStyle w:val="FirstParagraph"/>
      </w:pPr>
      <w:r>
        <w:rPr>
          <w:rFonts w:ascii="Arial" w:hAnsi="Arial" w:cs="Arial" w:eastAsia="Arial"/>
          <w:b/>
          <w:bCs/>
        </w:rPr>
        <w:t xml:space="preserve">A. SOURCE OF INFORMATION</w:t>
      </w:r>
    </w:p>
    <w:p>
      <w:pPr>
        <w:pStyle w:val="Compact"/>
        <w:numPr>
          <w:ilvl w:val="0"/>
          <w:numId w:val="1001"/>
        </w:numPr>
      </w:pPr>
      <w:r>
        <w:rPr>
          <w:rFonts w:ascii="Arial" w:hAnsi="Arial" w:cs="Arial" w:eastAsia="Arial"/>
          <w:b/>
          <w:bCs/>
        </w:rPr>
        <w:t xml:space="preserve">Appendix 1: Company and Product Information Sheet (product specifications, selling price, warranty, delivery capacity)</w:t>
      </w:r>
    </w:p>
    <w:p>
      <w:pPr>
        <w:pStyle w:val="Compact"/>
        <w:numPr>
          <w:ilvl w:val="0"/>
          <w:numId w:val="1001"/>
        </w:numPr>
      </w:pPr>
      <w:r>
        <w:rPr>
          <w:rFonts w:ascii="Arial" w:hAnsi="Arial" w:cs="Arial" w:eastAsia="Arial"/>
          <w:b/>
          <w:bCs/>
        </w:rPr>
        <w:t xml:space="preserve">Appendix 2 section A: Unit Cost Structure (BOM, direct labour, logistics, advertising &amp; promotion, total unit cost)</w:t>
      </w:r>
    </w:p>
    <w:p>
      <w:pPr>
        <w:pStyle w:val="Compact"/>
        <w:numPr>
          <w:ilvl w:val="0"/>
          <w:numId w:val="1001"/>
        </w:numPr>
      </w:pPr>
      <w:r>
        <w:rPr>
          <w:rFonts w:ascii="Arial" w:hAnsi="Arial" w:cs="Arial" w:eastAsia="Arial"/>
          <w:b/>
          <w:bCs/>
        </w:rPr>
        <w:t xml:space="preserve">Appendix 2 sections B and C: Competitor Price &amp; Features Matrix and Corporate Buyer Survey Summary (15 corporate buyers)</w:t>
      </w:r>
    </w:p>
    <w:p>
      <w:pPr>
        <w:pStyle w:val="FirstParagraph"/>
      </w:pPr>
      <w:r>
        <w:rPr>
          <w:rFonts w:ascii="Arial" w:hAnsi="Arial" w:cs="Arial" w:eastAsia="Arial"/>
          <w:b/>
          <w:bCs/>
        </w:rPr>
        <w:t xml:space="preserve">B. PRODUCT ATTRIBUTES &amp; FUNCTIONALITY</w:t>
      </w:r>
    </w:p>
    <w:p>
      <w:pPr>
        <w:pStyle w:val="BodyText"/>
      </w:pPr>
      <w:r>
        <w:rPr>
          <w:rFonts w:ascii="Arial" w:hAnsi="Arial" w:cs="Arial" w:eastAsia="Arial"/>
        </w:rPr>
        <w:t xml:space="preserve">ErgoFlex Task Chair:</w:t>
      </w:r>
    </w:p>
    <w:p>
      <w:pPr>
        <w:pStyle w:val="Compact"/>
        <w:numPr>
          <w:ilvl w:val="0"/>
          <w:numId w:val="1002"/>
        </w:numPr>
      </w:pPr>
      <w:r>
        <w:rPr>
          <w:rFonts w:ascii="Arial" w:hAnsi="Arial" w:cs="Arial" w:eastAsia="Arial"/>
          <w:b/>
          <w:bCs/>
        </w:rPr>
        <w:t xml:space="preserve">Adjustable lumbar support for ergonomic back comfort</w:t>
      </w:r>
    </w:p>
    <w:p>
      <w:pPr>
        <w:pStyle w:val="Compact"/>
        <w:numPr>
          <w:ilvl w:val="0"/>
          <w:numId w:val="1002"/>
        </w:numPr>
      </w:pPr>
      <w:r>
        <w:rPr>
          <w:rFonts w:ascii="Arial" w:hAnsi="Arial" w:cs="Arial" w:eastAsia="Arial"/>
          <w:b/>
          <w:bCs/>
        </w:rPr>
        <w:t xml:space="preserve">Breathable mesh back for airflow and all-day comfort</w:t>
      </w:r>
    </w:p>
    <w:p>
      <w:pPr>
        <w:pStyle w:val="Compact"/>
        <w:numPr>
          <w:ilvl w:val="0"/>
          <w:numId w:val="1002"/>
        </w:numPr>
      </w:pPr>
      <w:r>
        <w:rPr>
          <w:rFonts w:ascii="Arial" w:hAnsi="Arial" w:cs="Arial" w:eastAsia="Arial"/>
          <w:b/>
          <w:bCs/>
        </w:rPr>
        <w:t xml:space="preserve">3D adjustable armrest and seat-height adjustment</w:t>
      </w:r>
    </w:p>
    <w:p>
      <w:pPr>
        <w:pStyle w:val="FirstParagraph"/>
      </w:pPr>
      <w:r>
        <w:rPr>
          <w:rFonts w:ascii="Arial" w:hAnsi="Arial" w:cs="Arial" w:eastAsia="Arial"/>
          <w:i/>
          <w:iCs/>
        </w:rPr>
        <w:t xml:space="preserve">(At least three attributes from Appendix 1 accepted. Fourth acceptable attribute: 5 Years Manufacturer Warranty.)</w:t>
      </w:r>
    </w:p>
    <w:p>
      <w:pPr>
        <w:pStyle w:val="BodyText"/>
      </w:pPr>
      <w:r>
        <w:rPr>
          <w:rFonts w:ascii="Arial" w:hAnsi="Arial" w:cs="Arial" w:eastAsia="Arial"/>
        </w:rPr>
        <w:t xml:space="preserve">ErgoPro Executive Chair:</w:t>
      </w:r>
    </w:p>
    <w:p>
      <w:pPr>
        <w:pStyle w:val="Compact"/>
        <w:numPr>
          <w:ilvl w:val="0"/>
          <w:numId w:val="1003"/>
        </w:numPr>
      </w:pPr>
      <w:r>
        <w:rPr>
          <w:rFonts w:ascii="Arial" w:hAnsi="Arial" w:cs="Arial" w:eastAsia="Arial"/>
          <w:b/>
          <w:bCs/>
        </w:rPr>
        <w:t xml:space="preserve">Adjustable lumbar support</w:t>
      </w:r>
    </w:p>
    <w:p>
      <w:pPr>
        <w:pStyle w:val="Compact"/>
        <w:numPr>
          <w:ilvl w:val="0"/>
          <w:numId w:val="1003"/>
        </w:numPr>
      </w:pPr>
      <w:r>
        <w:rPr>
          <w:rFonts w:ascii="Arial" w:hAnsi="Arial" w:cs="Arial" w:eastAsia="Arial"/>
          <w:b/>
          <w:bCs/>
        </w:rPr>
        <w:t xml:space="preserve">PU leather with mesh back panel and synchronised recline</w:t>
      </w:r>
    </w:p>
    <w:p>
      <w:pPr>
        <w:pStyle w:val="Compact"/>
        <w:numPr>
          <w:ilvl w:val="0"/>
          <w:numId w:val="1003"/>
        </w:numPr>
      </w:pPr>
      <w:r>
        <w:rPr>
          <w:rFonts w:ascii="Arial" w:hAnsi="Arial" w:cs="Arial" w:eastAsia="Arial"/>
          <w:b/>
          <w:bCs/>
        </w:rPr>
        <w:t xml:space="preserve">4D adjustable armrest</w:t>
      </w:r>
    </w:p>
    <w:p>
      <w:pPr>
        <w:pStyle w:val="FirstParagraph"/>
      </w:pPr>
      <w:r>
        <w:rPr>
          <w:rFonts w:ascii="Arial" w:hAnsi="Arial" w:cs="Arial" w:eastAsia="Arial"/>
          <w:i/>
          <w:iCs/>
        </w:rPr>
        <w:t xml:space="preserve">(At least three attributes from Appendix 1 accepted. Fourth acceptable attribute: 5 Years Manufacturer Warranty.)</w:t>
      </w:r>
    </w:p>
    <w:p>
      <w:pPr>
        <w:pStyle w:val="BodyText"/>
      </w:pPr>
      <w:r>
        <w:rPr>
          <w:rFonts w:ascii="Arial" w:hAnsi="Arial" w:cs="Arial" w:eastAsia="Arial"/>
          <w:b/>
          <w:bCs/>
        </w:rPr>
        <w:t xml:space="preserve">C. PRICE &amp; FEATURES COMPARISON AND PROFIT MARGIN</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617"/>
        <w:gridCol w:w="1888"/>
        <w:gridCol w:w="1791"/>
        <w:gridCol w:w="1980"/>
        <w:gridCol w:w="1791"/>
      </w:tblGrid>
      <w:tr>
        <w:trPr>
          <w:tblHeader w:val="on"/>
          <w:cantSplit/>
        </w:trPr>
        <w:tc>
          <w:tcPr>
            <w:tcW w:type="dxa" w:w="161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ITEM</w:t>
            </w:r>
          </w:p>
        </w:tc>
        <w:tc>
          <w:tcPr>
            <w:tcW w:type="dxa" w:w="188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ErgoFlex</w:t>
            </w:r>
          </w:p>
        </w:tc>
        <w:tc>
          <w:tcPr>
            <w:tcW w:type="dxa" w:w="179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Competitor 1 (SitPro T100)</w:t>
            </w:r>
          </w:p>
        </w:tc>
        <w:tc>
          <w:tcPr>
            <w:tcW w:type="dxa" w:w="198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ErgoPro</w:t>
            </w:r>
          </w:p>
        </w:tc>
        <w:tc>
          <w:tcPr>
            <w:tcW w:type="dxa" w:w="179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Competitor 2 (KerusiMax E9)</w:t>
            </w:r>
          </w:p>
        </w:tc>
      </w:tr>
      <w:tr>
        <w:trPr>
          <w:cantSplit/>
        </w:trPr>
        <w:tc>
          <w:tcPr>
            <w:tcW w:type="dxa" w:w="161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Selling Price (RM)</w:t>
            </w:r>
          </w:p>
        </w:tc>
        <w:tc>
          <w:tcPr>
            <w:tcW w:type="dxa" w:w="188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850</w:t>
            </w:r>
          </w:p>
        </w:tc>
        <w:tc>
          <w:tcPr>
            <w:tcW w:type="dxa" w:w="179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790</w:t>
            </w:r>
          </w:p>
        </w:tc>
        <w:tc>
          <w:tcPr>
            <w:tcW w:type="dxa" w:w="198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1,450</w:t>
            </w:r>
          </w:p>
        </w:tc>
        <w:tc>
          <w:tcPr>
            <w:tcW w:type="dxa" w:w="179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1,380</w:t>
            </w:r>
          </w:p>
        </w:tc>
      </w:tr>
      <w:tr>
        <w:trPr>
          <w:cantSplit/>
        </w:trPr>
        <w:tc>
          <w:tcPr>
            <w:tcW w:type="dxa" w:w="161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Warranty</w:t>
            </w:r>
          </w:p>
        </w:tc>
        <w:tc>
          <w:tcPr>
            <w:tcW w:type="dxa" w:w="188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5 years</w:t>
            </w:r>
          </w:p>
        </w:tc>
        <w:tc>
          <w:tcPr>
            <w:tcW w:type="dxa" w:w="179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 years</w:t>
            </w:r>
          </w:p>
        </w:tc>
        <w:tc>
          <w:tcPr>
            <w:tcW w:type="dxa" w:w="198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5 years</w:t>
            </w:r>
          </w:p>
        </w:tc>
        <w:tc>
          <w:tcPr>
            <w:tcW w:type="dxa" w:w="179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3 years</w:t>
            </w:r>
          </w:p>
        </w:tc>
      </w:tr>
      <w:tr>
        <w:trPr>
          <w:cantSplit/>
        </w:trPr>
        <w:tc>
          <w:tcPr>
            <w:tcW w:type="dxa" w:w="161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Main Feature Advantage</w:t>
            </w:r>
          </w:p>
        </w:tc>
        <w:tc>
          <w:tcPr>
            <w:tcW w:type="dxa" w:w="188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Adjustable lumbar + 3D armrest</w:t>
            </w:r>
          </w:p>
        </w:tc>
        <w:tc>
          <w:tcPr>
            <w:tcW w:type="dxa" w:w="179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Fixed lumbar, fixed armrest</w:t>
            </w:r>
          </w:p>
        </w:tc>
        <w:tc>
          <w:tcPr>
            <w:tcW w:type="dxa" w:w="198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4D armrest + synchronised recline</w:t>
            </w:r>
          </w:p>
        </w:tc>
        <w:tc>
          <w:tcPr>
            <w:tcW w:type="dxa" w:w="179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2D armrest, no mesh back</w:t>
            </w:r>
          </w:p>
        </w:tc>
      </w:tr>
      <w:tr>
        <w:trPr>
          <w:cantSplit/>
        </w:trPr>
        <w:tc>
          <w:tcPr>
            <w:tcW w:type="dxa" w:w="161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Total Unit Cost (RM)</w:t>
            </w:r>
          </w:p>
        </w:tc>
        <w:tc>
          <w:tcPr>
            <w:tcW w:type="dxa" w:w="188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510</w:t>
            </w:r>
          </w:p>
        </w:tc>
        <w:tc>
          <w:tcPr>
            <w:tcW w:type="dxa" w:w="179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198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935</w:t>
            </w:r>
          </w:p>
        </w:tc>
        <w:tc>
          <w:tcPr>
            <w:tcW w:type="dxa" w:w="179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r>
      <w:tr>
        <w:trPr>
          <w:cantSplit/>
        </w:trPr>
        <w:tc>
          <w:tcPr>
            <w:tcW w:type="dxa" w:w="161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Profit (RM)</w:t>
            </w:r>
          </w:p>
        </w:tc>
        <w:tc>
          <w:tcPr>
            <w:tcW w:type="dxa" w:w="188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340</w:t>
            </w:r>
          </w:p>
        </w:tc>
        <w:tc>
          <w:tcPr>
            <w:tcW w:type="dxa" w:w="179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198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515</w:t>
            </w:r>
          </w:p>
        </w:tc>
        <w:tc>
          <w:tcPr>
            <w:tcW w:type="dxa" w:w="179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r>
      <w:tr>
        <w:trPr>
          <w:cantSplit/>
        </w:trPr>
        <w:tc>
          <w:tcPr>
            <w:tcW w:type="dxa" w:w="161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Profit Margin (%)</w:t>
            </w:r>
          </w:p>
        </w:tc>
        <w:tc>
          <w:tcPr>
            <w:tcW w:type="dxa" w:w="188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40.00%</w:t>
            </w:r>
          </w:p>
        </w:tc>
        <w:tc>
          <w:tcPr>
            <w:tcW w:type="dxa" w:w="179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198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35.52%</w:t>
            </w:r>
          </w:p>
        </w:tc>
        <w:tc>
          <w:tcPr>
            <w:tcW w:type="dxa" w:w="179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r>
    </w:tbl>
    <w:p>
      <w:pPr>
        <w:pStyle w:val="BodyText"/>
      </w:pPr>
      <w:r>
        <w:rPr>
          <w:rFonts w:ascii="Arial" w:hAnsi="Arial" w:cs="Arial" w:eastAsia="Arial"/>
          <w:i/>
          <w:iCs/>
        </w:rPr>
        <w:t xml:space="preserve">Working:</w:t>
      </w:r>
      <w:r>
        <w:rPr>
          <w:rFonts w:ascii="Arial" w:hAnsi="Arial" w:cs="Arial" w:eastAsia="Arial"/>
        </w:rPr>
        <w:t xml:space="preserve"> </w:t>
      </w:r>
      <w:r>
        <w:rPr>
          <w:rFonts w:ascii="Arial" w:hAnsi="Arial" w:cs="Arial" w:eastAsia="Arial"/>
        </w:rPr>
        <w:t xml:space="preserve">-</w:t>
      </w:r>
      <w:r>
        <w:rPr>
          <w:rFonts w:ascii="Arial" w:hAnsi="Arial" w:cs="Arial" w:eastAsia="Arial"/>
        </w:rPr>
        <w:t xml:space="preserve"> </w:t>
      </w:r>
      <w:r>
        <w:rPr>
          <w:rFonts w:ascii="Arial" w:hAnsi="Arial" w:cs="Arial" w:eastAsia="Arial"/>
          <w:i/>
          <w:iCs/>
        </w:rPr>
        <w:t xml:space="preserve">ErgoFlex profit: RM850 − RM510 = RM340; margin: RM340 ÷ RM850 × 100 = 40.00%</w:t>
      </w:r>
      <w:r>
        <w:rPr>
          <w:rFonts w:ascii="Arial" w:hAnsi="Arial" w:cs="Arial" w:eastAsia="Arial"/>
        </w:rPr>
        <w:t xml:space="preserve"> </w:t>
      </w:r>
      <w:r>
        <w:rPr>
          <w:rFonts w:ascii="Arial" w:hAnsi="Arial" w:cs="Arial" w:eastAsia="Arial"/>
        </w:rPr>
        <w:t xml:space="preserve">-</w:t>
      </w:r>
      <w:r>
        <w:rPr>
          <w:rFonts w:ascii="Arial" w:hAnsi="Arial" w:cs="Arial" w:eastAsia="Arial"/>
        </w:rPr>
        <w:t xml:space="preserve"> </w:t>
      </w:r>
      <w:r>
        <w:rPr>
          <w:rFonts w:ascii="Arial" w:hAnsi="Arial" w:cs="Arial" w:eastAsia="Arial"/>
          <w:i/>
          <w:iCs/>
        </w:rPr>
        <w:t xml:space="preserve">ErgoPro profit: RM1,450 − RM935 = RM515; margin: RM515 ÷ RM1,450 × 100 = 35.52%</w:t>
      </w:r>
    </w:p>
    <w:p>
      <w:pPr>
        <w:pStyle w:val="BodyText"/>
      </w:pPr>
      <w:r>
        <w:rPr>
          <w:rFonts w:ascii="Arial" w:hAnsi="Arial" w:cs="Arial" w:eastAsia="Arial"/>
          <w:b/>
          <w:bCs/>
        </w:rPr>
        <w:t xml:space="preserve">D. TARGET MARKET</w:t>
      </w:r>
    </w:p>
    <w:p>
      <w:pPr>
        <w:pStyle w:val="BodyText"/>
      </w:pPr>
      <w:r>
        <w:rPr>
          <w:rFonts w:ascii="Arial" w:hAnsi="Arial" w:cs="Arial" w:eastAsia="Arial"/>
        </w:rPr>
        <w:t xml:space="preserve">Target Market:</w:t>
      </w:r>
      <w:r>
        <w:rPr>
          <w:rFonts w:ascii="Arial" w:hAnsi="Arial" w:cs="Arial" w:eastAsia="Arial"/>
        </w:rPr>
        <w:t xml:space="preserve"> </w:t>
      </w:r>
      <w:r>
        <w:rPr>
          <w:rFonts w:ascii="Arial" w:hAnsi="Arial" w:cs="Arial" w:eastAsia="Arial"/>
          <w:b/>
          <w:bCs/>
        </w:rPr>
        <w:t xml:space="preserve">Corporate offices, SME headquarters and interior fit-out companies in West Malaysia requiring ergonomic office seating.</w:t>
      </w:r>
    </w:p>
    <w:p>
      <w:pPr>
        <w:pStyle w:val="BodyText"/>
      </w:pPr>
      <w:r>
        <w:rPr>
          <w:rFonts w:ascii="Arial" w:hAnsi="Arial" w:cs="Arial" w:eastAsia="Arial"/>
        </w:rPr>
        <w:t xml:space="preserve">Justification:</w:t>
      </w:r>
      <w:r>
        <w:rPr>
          <w:rFonts w:ascii="Arial" w:hAnsi="Arial" w:cs="Arial" w:eastAsia="Arial"/>
        </w:rPr>
        <w:t xml:space="preserve"> </w:t>
      </w:r>
      <w:r>
        <w:rPr>
          <w:rFonts w:ascii="Arial" w:hAnsi="Arial" w:cs="Arial" w:eastAsia="Arial"/>
          <w:b/>
          <w:bCs/>
        </w:rPr>
        <w:t xml:space="preserve">60% of the 15 corporate buyers surveyed are corporate offices or SME headquarters, and 80% identified ergonomic task seating with lumbar support as their main product need. 80% expressed purchase interest within 6 months.</w:t>
      </w:r>
    </w:p>
    <w:p>
      <w:pPr>
        <w:pStyle w:val="BodyText"/>
      </w:pPr>
      <w:r>
        <w:rPr>
          <w:rFonts w:ascii="Arial" w:hAnsi="Arial" w:cs="Arial" w:eastAsia="Arial"/>
          <w:b/>
          <w:bCs/>
        </w:rPr>
        <w:t xml:space="preserve">E. MARKET DEMAND &amp; CUSTOMER EXPECTATIONS</w:t>
      </w:r>
    </w:p>
    <w:p>
      <w:pPr>
        <w:pStyle w:val="Compact"/>
        <w:numPr>
          <w:ilvl w:val="0"/>
          <w:numId w:val="1004"/>
        </w:numPr>
      </w:pPr>
      <w:r>
        <w:rPr>
          <w:rFonts w:ascii="Arial" w:hAnsi="Arial" w:cs="Arial" w:eastAsia="Arial"/>
          <w:b/>
          <w:bCs/>
        </w:rPr>
        <w:t xml:space="preserve">80% of corporate buyers require ergonomic task seating with lumbar support — ErgoFlex Task Chair (RM850) directly addresses this primary need.</w:t>
      </w:r>
    </w:p>
    <w:p>
      <w:pPr>
        <w:pStyle w:val="Compact"/>
        <w:numPr>
          <w:ilvl w:val="0"/>
          <w:numId w:val="1004"/>
        </w:numPr>
      </w:pPr>
      <w:r>
        <w:rPr>
          <w:rFonts w:ascii="Arial" w:hAnsi="Arial" w:cs="Arial" w:eastAsia="Arial"/>
          <w:b/>
          <w:bCs/>
        </w:rPr>
        <w:t xml:space="preserve">80% of buyers expect a warranty of 5 years or more — both ErgoFlex and ErgoPro carry a 5 Years Manufacturer Warranty, meeting this requirement.</w:t>
      </w:r>
    </w:p>
    <w:p>
      <w:pPr>
        <w:pStyle w:val="Compact"/>
        <w:numPr>
          <w:ilvl w:val="0"/>
          <w:numId w:val="1004"/>
        </w:numPr>
      </w:pPr>
      <w:r>
        <w:rPr>
          <w:rFonts w:ascii="Arial" w:hAnsi="Arial" w:cs="Arial" w:eastAsia="Arial"/>
          <w:b/>
          <w:bCs/>
        </w:rPr>
        <w:t xml:space="preserve">60% of buyers require bulk delivery within 4 weeks (West Malaysia) — the company’s delivery capacity of 4 weeks meets this expectation.</w:t>
      </w:r>
    </w:p>
    <w:p>
      <w:pPr>
        <w:pStyle w:val="FirstParagraph"/>
      </w:pPr>
      <w:r>
        <w:rPr>
          <w:rFonts w:ascii="Arial" w:hAnsi="Arial" w:cs="Arial" w:eastAsia="Arial"/>
          <w:i/>
          <w:iCs/>
        </w:rPr>
        <w:t xml:space="preserve">(Additional acceptable finding: 60% of task chair buyers have a budget of RM700–RM900, within which ErgoFlex at RM850 falls.)</w:t>
      </w:r>
    </w:p>
    <w:p>
      <w:pPr>
        <w:pStyle w:val="BodyText"/>
      </w:pPr>
      <w:r>
        <w:rPr>
          <w:rFonts w:ascii="Arial" w:hAnsi="Arial" w:cs="Arial" w:eastAsia="Arial"/>
          <w:b/>
          <w:bCs/>
        </w:rPr>
        <w:t xml:space="preserve">F. ANALYSIS SUMMARY</w:t>
      </w:r>
    </w:p>
    <w:p>
      <w:pPr>
        <w:pStyle w:val="BodyText"/>
      </w:pPr>
      <w:r>
        <w:rPr>
          <w:rFonts w:ascii="Arial" w:hAnsi="Arial" w:cs="Arial" w:eastAsia="Arial"/>
          <w:b/>
          <w:bCs/>
        </w:rPr>
        <w:t xml:space="preserve">The ErgoFlex Task Chair (RM850) is competitively priced against Competitor 1 (SitPro T100 at RM790) while offering superior features including adjustable lumbar support, breathable mesh back and 3D adjustable armrest, with a longer 5-year warranty. Profit margin is 40.00%. The ErgoPro Executive Chair (RM1,450) outperforms Competitor 2 (KerusiMax E9 at RM1,380) with a mesh back panel and 4D adjustable armrest, with a profit margin of 35.52%.</w:t>
      </w:r>
    </w:p>
    <w:p>
      <w:pPr>
        <w:pStyle w:val="BodyText"/>
      </w:pPr>
      <w:r>
        <w:rPr>
          <w:rFonts w:ascii="Arial" w:hAnsi="Arial" w:cs="Arial" w:eastAsia="Arial"/>
          <w:b/>
          <w:bCs/>
        </w:rPr>
        <w:t xml:space="preserve">The primary target market is corporate offices and SME headquarters. Market demand is strong — 80% expressed purchase interest within 6 months. Both products meet the key customer expectations of lumbar support, 5-year warranty and 4-week bulk delivery.</w:t>
      </w:r>
    </w:p>
    <w:p>
      <w:r>
        <w:rPr>
          <w:rFonts w:ascii="Arial" w:hAnsi="Arial" w:cs="Arial" w:eastAsia="Arial"/>
        </w:rPr>
        <w:pict>
          <v:rect style="width:0;height:1.5pt" o:hralign="center" o:hrstd="t" o:hr="t"/>
        </w:pict>
      </w:r>
    </w:p>
    <w:bookmarkEnd w:id="9"/>
    <w:bookmarkStart w:id="10" w:name="X9a1000147f3861e8e173ce3b8bd703c0a3993c3"/>
    <w:p>
      <w:pPr>
        <w:pStyle w:val="Heading2"/>
      </w:pPr>
      <w:r>
        <w:rPr>
          <w:rFonts w:ascii="Arial" w:hAnsi="Arial" w:cs="Arial" w:eastAsia="Arial"/>
        </w:rPr>
        <w:t xml:space="preserve">APPENDIX 4 — CORPORATE QUOTATION &amp; PROPOSAL FORM (TUGASAN 2)</w:t>
      </w:r>
    </w:p>
    <w:p>
      <w:pPr>
        <w:pStyle w:val="FirstParagraph"/>
      </w:pPr>
      <w:r>
        <w:rPr>
          <w:rFonts w:ascii="Arial" w:hAnsi="Arial" w:cs="Arial" w:eastAsia="Arial"/>
          <w:b/>
          <w:bCs/>
        </w:rPr>
        <w:t xml:space="preserve">A. CUSTOMER’S NEEDS &amp; REQUIREMENTS</w:t>
      </w:r>
    </w:p>
    <w:p>
      <w:pPr>
        <w:pStyle w:val="Compact"/>
        <w:numPr>
          <w:ilvl w:val="0"/>
          <w:numId w:val="1005"/>
        </w:numPr>
      </w:pPr>
      <w:r>
        <w:rPr>
          <w:rFonts w:ascii="Arial" w:hAnsi="Arial" w:cs="Arial" w:eastAsia="Arial"/>
          <w:b/>
          <w:bCs/>
        </w:rPr>
        <w:t xml:space="preserve">120 units of ErgoFlex Task Chair and 20 units of ErgoPro Executive Chair for a corporate office project in Kuala Lumpur.</w:t>
      </w:r>
    </w:p>
    <w:p>
      <w:pPr>
        <w:pStyle w:val="Compact"/>
        <w:numPr>
          <w:ilvl w:val="0"/>
          <w:numId w:val="1005"/>
        </w:numPr>
      </w:pPr>
      <w:r>
        <w:rPr>
          <w:rFonts w:ascii="Arial" w:hAnsi="Arial" w:cs="Arial" w:eastAsia="Arial"/>
          <w:b/>
          <w:bCs/>
        </w:rPr>
        <w:t xml:space="preserve">Single delivery to one project site in Kuala Lumpur within 4 weeks of order confirmation.</w:t>
      </w:r>
    </w:p>
    <w:p>
      <w:pPr>
        <w:pStyle w:val="Compact"/>
        <w:numPr>
          <w:ilvl w:val="0"/>
          <w:numId w:val="1005"/>
        </w:numPr>
      </w:pPr>
      <w:r>
        <w:rPr>
          <w:rFonts w:ascii="Arial" w:hAnsi="Arial" w:cs="Arial" w:eastAsia="Arial"/>
          <w:b/>
          <w:bCs/>
        </w:rPr>
        <w:t xml:space="preserve">5-year warranty for all units.</w:t>
      </w:r>
    </w:p>
    <w:p>
      <w:pPr>
        <w:pStyle w:val="FirstParagraph"/>
      </w:pPr>
      <w:r>
        <w:rPr>
          <w:rFonts w:ascii="Arial" w:hAnsi="Arial" w:cs="Arial" w:eastAsia="Arial"/>
          <w:i/>
          <w:iCs/>
        </w:rPr>
        <w:t xml:space="preserve">(Additional needs from the brief: 30-day quotation validity; bulk discount consideration of up to 5%; payment terms of 50% deposit upon confirmation, balance upon delivery.)</w:t>
      </w:r>
    </w:p>
    <w:p>
      <w:pPr>
        <w:pStyle w:val="BodyText"/>
      </w:pPr>
      <w:r>
        <w:rPr>
          <w:rFonts w:ascii="Arial" w:hAnsi="Arial" w:cs="Arial" w:eastAsia="Arial"/>
          <w:b/>
          <w:bCs/>
        </w:rPr>
        <w:t xml:space="preserve">B. QUOTATION</w:t>
      </w:r>
    </w:p>
    <w:p>
      <w:pPr>
        <w:pStyle w:val="BodyText"/>
      </w:pPr>
      <w:r>
        <w:rPr>
          <w:rFonts w:ascii="Arial" w:hAnsi="Arial" w:cs="Arial" w:eastAsia="Arial"/>
        </w:rPr>
        <w:t xml:space="preserve">Quotation No.:</w:t>
      </w:r>
      <w:r>
        <w:rPr>
          <w:rFonts w:ascii="Arial" w:hAnsi="Arial" w:cs="Arial" w:eastAsia="Arial"/>
        </w:rPr>
        <w:t xml:space="preserve"> </w:t>
      </w:r>
      <w:r>
        <w:rPr>
          <w:rFonts w:ascii="Arial" w:hAnsi="Arial" w:cs="Arial" w:eastAsia="Arial"/>
          <w:b/>
          <w:bCs/>
        </w:rPr>
        <w:t xml:space="preserve">Q-2026-001</w:t>
      </w:r>
      <w:r>
        <w:rPr>
          <w:rFonts w:ascii="Arial" w:hAnsi="Arial" w:cs="Arial" w:eastAsia="Arial"/>
        </w:rPr>
        <w:t xml:space="preserve"> </w:t>
      </w:r>
      <w:r>
        <w:rPr>
          <w:rFonts w:ascii="Arial" w:hAnsi="Arial" w:cs="Arial" w:eastAsia="Arial"/>
        </w:rPr>
        <w:t xml:space="preserve">   Date:</w:t>
      </w:r>
      <w:r>
        <w:rPr>
          <w:rFonts w:ascii="Arial" w:hAnsi="Arial" w:cs="Arial" w:eastAsia="Arial"/>
        </w:rPr>
        <w:t xml:space="preserve"> </w:t>
      </w:r>
      <w:r>
        <w:rPr>
          <w:rFonts w:ascii="Arial" w:hAnsi="Arial" w:cs="Arial" w:eastAsia="Arial"/>
          <w:b/>
          <w:bCs/>
        </w:rPr>
        <w:t xml:space="preserve">[Assessment date]</w:t>
      </w:r>
    </w:p>
    <w:p>
      <w:pPr>
        <w:pStyle w:val="BodyText"/>
      </w:pPr>
      <w:r>
        <w:rPr>
          <w:rFonts w:ascii="Arial" w:hAnsi="Arial" w:cs="Arial" w:eastAsia="Arial"/>
        </w:rPr>
        <w:t xml:space="preserve">Customer:</w:t>
      </w:r>
      <w:r>
        <w:rPr>
          <w:rFonts w:ascii="Arial" w:hAnsi="Arial" w:cs="Arial" w:eastAsia="Arial"/>
        </w:rPr>
        <w:t xml:space="preserve"> </w:t>
      </w:r>
      <w:r>
        <w:rPr>
          <w:rFonts w:ascii="Arial" w:hAnsi="Arial" w:cs="Arial" w:eastAsia="Arial"/>
          <w:b/>
          <w:bCs/>
        </w:rPr>
        <w:t xml:space="preserve">Menara Sentosa Interiors</w:t>
      </w:r>
    </w:p>
    <w:p>
      <w:pPr>
        <w:pStyle w:val="BodyText"/>
      </w:pPr>
      <w:r>
        <w:rPr>
          <w:rFonts w:ascii="Arial" w:hAnsi="Arial" w:cs="Arial" w:eastAsia="Arial"/>
        </w:rPr>
        <w:t xml:space="preserve">Project / Delivery Address:</w:t>
      </w:r>
      <w:r>
        <w:rPr>
          <w:rFonts w:ascii="Arial" w:hAnsi="Arial" w:cs="Arial" w:eastAsia="Arial"/>
        </w:rPr>
        <w:t xml:space="preserve"> </w:t>
      </w:r>
      <w:r>
        <w:rPr>
          <w:rFonts w:ascii="Arial" w:hAnsi="Arial" w:cs="Arial" w:eastAsia="Arial"/>
          <w:b/>
          <w:bCs/>
        </w:rPr>
        <w:t xml:space="preserve">Corporate office project site, Kuala Lumpur</w:t>
      </w:r>
    </w:p>
    <w:p>
      <w:pPr>
        <w:pStyle w:val="BodyText"/>
      </w:pPr>
      <w:r>
        <w:rPr>
          <w:rFonts w:ascii="Arial" w:hAnsi="Arial" w:cs="Arial" w:eastAsia="Arial"/>
        </w:rPr>
        <w:t xml:space="preserve">Item 1 — Model:</w:t>
      </w:r>
      <w:r>
        <w:rPr>
          <w:rFonts w:ascii="Arial" w:hAnsi="Arial" w:cs="Arial" w:eastAsia="Arial"/>
        </w:rPr>
        <w:t xml:space="preserve"> </w:t>
      </w:r>
      <w:r>
        <w:rPr>
          <w:rFonts w:ascii="Arial" w:hAnsi="Arial" w:cs="Arial" w:eastAsia="Arial"/>
          <w:b/>
          <w:bCs/>
        </w:rPr>
        <w:t xml:space="preserve">ErgoFlex Task Chair</w:t>
      </w:r>
      <w:r>
        <w:rPr>
          <w:rFonts w:ascii="Arial" w:hAnsi="Arial" w:cs="Arial" w:eastAsia="Arial"/>
        </w:rPr>
        <w:t xml:space="preserve"> </w:t>
      </w:r>
      <w:r>
        <w:rPr>
          <w:rFonts w:ascii="Arial" w:hAnsi="Arial" w:cs="Arial" w:eastAsia="Arial"/>
        </w:rPr>
        <w:t xml:space="preserve">Quantity:</w:t>
      </w:r>
      <w:r>
        <w:rPr>
          <w:rFonts w:ascii="Arial" w:hAnsi="Arial" w:cs="Arial" w:eastAsia="Arial"/>
        </w:rPr>
        <w:t xml:space="preserve"> </w:t>
      </w:r>
      <w:r>
        <w:rPr>
          <w:rFonts w:ascii="Arial" w:hAnsi="Arial" w:cs="Arial" w:eastAsia="Arial"/>
          <w:b/>
          <w:bCs/>
        </w:rPr>
        <w:t xml:space="preserve">120</w:t>
      </w:r>
      <w:r>
        <w:rPr>
          <w:rFonts w:ascii="Arial" w:hAnsi="Arial" w:cs="Arial" w:eastAsia="Arial"/>
        </w:rPr>
        <w:t xml:space="preserve"> </w:t>
      </w:r>
      <w:r>
        <w:rPr>
          <w:rFonts w:ascii="Arial" w:hAnsi="Arial" w:cs="Arial" w:eastAsia="Arial"/>
        </w:rPr>
        <w:t xml:space="preserve">Unit Price (RM):</w:t>
      </w:r>
      <w:r>
        <w:rPr>
          <w:rFonts w:ascii="Arial" w:hAnsi="Arial" w:cs="Arial" w:eastAsia="Arial"/>
        </w:rPr>
        <w:t xml:space="preserve"> </w:t>
      </w:r>
      <w:r>
        <w:rPr>
          <w:rFonts w:ascii="Arial" w:hAnsi="Arial" w:cs="Arial" w:eastAsia="Arial"/>
          <w:b/>
          <w:bCs/>
        </w:rPr>
        <w:t xml:space="preserve">850</w:t>
      </w:r>
      <w:r>
        <w:rPr>
          <w:rFonts w:ascii="Arial" w:hAnsi="Arial" w:cs="Arial" w:eastAsia="Arial"/>
        </w:rPr>
        <w:t xml:space="preserve"> </w:t>
      </w:r>
      <w:r>
        <w:rPr>
          <w:rFonts w:ascii="Arial" w:hAnsi="Arial" w:cs="Arial" w:eastAsia="Arial"/>
        </w:rPr>
        <w:t xml:space="preserve">Total (RM):</w:t>
      </w:r>
      <w:r>
        <w:rPr>
          <w:rFonts w:ascii="Arial" w:hAnsi="Arial" w:cs="Arial" w:eastAsia="Arial"/>
        </w:rPr>
        <w:t xml:space="preserve"> </w:t>
      </w:r>
      <w:r>
        <w:rPr>
          <w:rFonts w:ascii="Arial" w:hAnsi="Arial" w:cs="Arial" w:eastAsia="Arial"/>
          <w:b/>
          <w:bCs/>
        </w:rPr>
        <w:t xml:space="preserve">102,000</w:t>
      </w:r>
    </w:p>
    <w:p>
      <w:pPr>
        <w:pStyle w:val="BodyText"/>
      </w:pPr>
      <w:r>
        <w:rPr>
          <w:rFonts w:ascii="Arial" w:hAnsi="Arial" w:cs="Arial" w:eastAsia="Arial"/>
        </w:rPr>
        <w:t xml:space="preserve">Item 2 — Model:</w:t>
      </w:r>
      <w:r>
        <w:rPr>
          <w:rFonts w:ascii="Arial" w:hAnsi="Arial" w:cs="Arial" w:eastAsia="Arial"/>
        </w:rPr>
        <w:t xml:space="preserve"> </w:t>
      </w:r>
      <w:r>
        <w:rPr>
          <w:rFonts w:ascii="Arial" w:hAnsi="Arial" w:cs="Arial" w:eastAsia="Arial"/>
          <w:b/>
          <w:bCs/>
        </w:rPr>
        <w:t xml:space="preserve">ErgoPro Executive Chair</w:t>
      </w:r>
      <w:r>
        <w:rPr>
          <w:rFonts w:ascii="Arial" w:hAnsi="Arial" w:cs="Arial" w:eastAsia="Arial"/>
        </w:rPr>
        <w:t xml:space="preserve"> </w:t>
      </w:r>
      <w:r>
        <w:rPr>
          <w:rFonts w:ascii="Arial" w:hAnsi="Arial" w:cs="Arial" w:eastAsia="Arial"/>
        </w:rPr>
        <w:t xml:space="preserve">Quantity:</w:t>
      </w:r>
      <w:r>
        <w:rPr>
          <w:rFonts w:ascii="Arial" w:hAnsi="Arial" w:cs="Arial" w:eastAsia="Arial"/>
        </w:rPr>
        <w:t xml:space="preserve"> </w:t>
      </w:r>
      <w:r>
        <w:rPr>
          <w:rFonts w:ascii="Arial" w:hAnsi="Arial" w:cs="Arial" w:eastAsia="Arial"/>
          <w:b/>
          <w:bCs/>
        </w:rPr>
        <w:t xml:space="preserve">20</w:t>
      </w:r>
      <w:r>
        <w:rPr>
          <w:rFonts w:ascii="Arial" w:hAnsi="Arial" w:cs="Arial" w:eastAsia="Arial"/>
        </w:rPr>
        <w:t xml:space="preserve"> </w:t>
      </w:r>
      <w:r>
        <w:rPr>
          <w:rFonts w:ascii="Arial" w:hAnsi="Arial" w:cs="Arial" w:eastAsia="Arial"/>
        </w:rPr>
        <w:t xml:space="preserve">Unit Price (RM):</w:t>
      </w:r>
      <w:r>
        <w:rPr>
          <w:rFonts w:ascii="Arial" w:hAnsi="Arial" w:cs="Arial" w:eastAsia="Arial"/>
        </w:rPr>
        <w:t xml:space="preserve"> </w:t>
      </w:r>
      <w:r>
        <w:rPr>
          <w:rFonts w:ascii="Arial" w:hAnsi="Arial" w:cs="Arial" w:eastAsia="Arial"/>
          <w:b/>
          <w:bCs/>
        </w:rPr>
        <w:t xml:space="preserve">1,450</w:t>
      </w:r>
      <w:r>
        <w:rPr>
          <w:rFonts w:ascii="Arial" w:hAnsi="Arial" w:cs="Arial" w:eastAsia="Arial"/>
        </w:rPr>
        <w:t xml:space="preserve"> </w:t>
      </w:r>
      <w:r>
        <w:rPr>
          <w:rFonts w:ascii="Arial" w:hAnsi="Arial" w:cs="Arial" w:eastAsia="Arial"/>
        </w:rPr>
        <w:t xml:space="preserve">Total (RM):</w:t>
      </w:r>
      <w:r>
        <w:rPr>
          <w:rFonts w:ascii="Arial" w:hAnsi="Arial" w:cs="Arial" w:eastAsia="Arial"/>
        </w:rPr>
        <w:t xml:space="preserve"> </w:t>
      </w:r>
      <w:r>
        <w:rPr>
          <w:rFonts w:ascii="Arial" w:hAnsi="Arial" w:cs="Arial" w:eastAsia="Arial"/>
          <w:b/>
          <w:bCs/>
        </w:rPr>
        <w:t xml:space="preserve">29,000</w:t>
      </w:r>
    </w:p>
    <w:p>
      <w:pPr>
        <w:pStyle w:val="BodyText"/>
      </w:pPr>
      <w:r>
        <w:rPr>
          <w:rFonts w:ascii="Arial" w:hAnsi="Arial" w:cs="Arial" w:eastAsia="Arial"/>
        </w:rPr>
        <w:t xml:space="preserve">Subtotal (RM):</w:t>
      </w:r>
      <w:r>
        <w:rPr>
          <w:rFonts w:ascii="Arial" w:hAnsi="Arial" w:cs="Arial" w:eastAsia="Arial"/>
        </w:rPr>
        <w:t xml:space="preserve"> </w:t>
      </w:r>
      <w:r>
        <w:rPr>
          <w:rFonts w:ascii="Arial" w:hAnsi="Arial" w:cs="Arial" w:eastAsia="Arial"/>
          <w:b/>
          <w:bCs/>
        </w:rPr>
        <w:t xml:space="preserve">131,000</w:t>
      </w:r>
      <w:r>
        <w:rPr>
          <w:rFonts w:ascii="Arial" w:hAnsi="Arial" w:cs="Arial" w:eastAsia="Arial"/>
        </w:rPr>
        <w:t xml:space="preserve"> </w:t>
      </w:r>
      <w:r>
        <w:rPr>
          <w:rFonts w:ascii="Arial" w:hAnsi="Arial" w:cs="Arial" w:eastAsia="Arial"/>
        </w:rPr>
        <w:t xml:space="preserve">   Discount (5%):</w:t>
      </w:r>
      <w:r>
        <w:rPr>
          <w:rFonts w:ascii="Arial" w:hAnsi="Arial" w:cs="Arial" w:eastAsia="Arial"/>
        </w:rPr>
        <w:t xml:space="preserve"> </w:t>
      </w:r>
      <w:r>
        <w:rPr>
          <w:rFonts w:ascii="Arial" w:hAnsi="Arial" w:cs="Arial" w:eastAsia="Arial"/>
          <w:b/>
          <w:bCs/>
        </w:rPr>
        <w:t xml:space="preserve">RM6,550</w:t>
      </w:r>
      <w:r>
        <w:rPr>
          <w:rFonts w:ascii="Arial" w:hAnsi="Arial" w:cs="Arial" w:eastAsia="Arial"/>
        </w:rPr>
        <w:t xml:space="preserve"> </w:t>
      </w:r>
      <w:r>
        <w:rPr>
          <w:rFonts w:ascii="Arial" w:hAnsi="Arial" w:cs="Arial" w:eastAsia="Arial"/>
        </w:rPr>
        <w:t xml:space="preserve">   Grand Total (RM):</w:t>
      </w:r>
      <w:r>
        <w:rPr>
          <w:rFonts w:ascii="Arial" w:hAnsi="Arial" w:cs="Arial" w:eastAsia="Arial"/>
        </w:rPr>
        <w:t xml:space="preserve"> </w:t>
      </w:r>
      <w:r>
        <w:rPr>
          <w:rFonts w:ascii="Arial" w:hAnsi="Arial" w:cs="Arial" w:eastAsia="Arial"/>
          <w:b/>
          <w:bCs/>
        </w:rPr>
        <w:t xml:space="preserve">RM124,450</w:t>
      </w:r>
    </w:p>
    <w:p>
      <w:pPr>
        <w:pStyle w:val="BodyText"/>
      </w:pPr>
      <w:r>
        <w:rPr>
          <w:rFonts w:ascii="Arial" w:hAnsi="Arial" w:cs="Arial" w:eastAsia="Arial"/>
        </w:rPr>
        <w:t xml:space="preserve">Delivery Terms:</w:t>
      </w:r>
      <w:r>
        <w:rPr>
          <w:rFonts w:ascii="Arial" w:hAnsi="Arial" w:cs="Arial" w:eastAsia="Arial"/>
        </w:rPr>
        <w:t xml:space="preserve"> </w:t>
      </w:r>
      <w:r>
        <w:rPr>
          <w:rFonts w:ascii="Arial" w:hAnsi="Arial" w:cs="Arial" w:eastAsia="Arial"/>
          <w:b/>
          <w:bCs/>
        </w:rPr>
        <w:t xml:space="preserve">Single delivery to one project site in Kuala Lumpur within 4 weeks of order confirmation</w:t>
      </w:r>
    </w:p>
    <w:p>
      <w:pPr>
        <w:pStyle w:val="BodyText"/>
      </w:pPr>
      <w:r>
        <w:rPr>
          <w:rFonts w:ascii="Arial" w:hAnsi="Arial" w:cs="Arial" w:eastAsia="Arial"/>
        </w:rPr>
        <w:t xml:space="preserve">Warranty:</w:t>
      </w:r>
      <w:r>
        <w:rPr>
          <w:rFonts w:ascii="Arial" w:hAnsi="Arial" w:cs="Arial" w:eastAsia="Arial"/>
        </w:rPr>
        <w:t xml:space="preserve"> </w:t>
      </w:r>
      <w:r>
        <w:rPr>
          <w:rFonts w:ascii="Arial" w:hAnsi="Arial" w:cs="Arial" w:eastAsia="Arial"/>
          <w:b/>
          <w:bCs/>
        </w:rPr>
        <w:t xml:space="preserve">5 Years Manufacturer Warranty — all units</w:t>
      </w:r>
      <w:r>
        <w:rPr>
          <w:rFonts w:ascii="Arial" w:hAnsi="Arial" w:cs="Arial" w:eastAsia="Arial"/>
        </w:rPr>
        <w:t xml:space="preserve"> </w:t>
      </w:r>
      <w:r>
        <w:rPr>
          <w:rFonts w:ascii="Arial" w:hAnsi="Arial" w:cs="Arial" w:eastAsia="Arial"/>
        </w:rPr>
        <w:t xml:space="preserve">   Payment Terms:</w:t>
      </w:r>
      <w:r>
        <w:rPr>
          <w:rFonts w:ascii="Arial" w:hAnsi="Arial" w:cs="Arial" w:eastAsia="Arial"/>
        </w:rPr>
        <w:t xml:space="preserve"> </w:t>
      </w:r>
      <w:r>
        <w:rPr>
          <w:rFonts w:ascii="Arial" w:hAnsi="Arial" w:cs="Arial" w:eastAsia="Arial"/>
          <w:b/>
          <w:bCs/>
        </w:rPr>
        <w:t xml:space="preserve">50% deposit upon confirmation; balance upon delivery</w:t>
      </w:r>
    </w:p>
    <w:p>
      <w:pPr>
        <w:pStyle w:val="BodyText"/>
      </w:pPr>
      <w:r>
        <w:rPr>
          <w:rFonts w:ascii="Arial" w:hAnsi="Arial" w:cs="Arial" w:eastAsia="Arial"/>
        </w:rPr>
        <w:t xml:space="preserve">Quotation Validity:</w:t>
      </w:r>
      <w:r>
        <w:rPr>
          <w:rFonts w:ascii="Arial" w:hAnsi="Arial" w:cs="Arial" w:eastAsia="Arial"/>
        </w:rPr>
        <w:t xml:space="preserve"> </w:t>
      </w:r>
      <w:r>
        <w:rPr>
          <w:rFonts w:ascii="Arial" w:hAnsi="Arial" w:cs="Arial" w:eastAsia="Arial"/>
          <w:b/>
          <w:bCs/>
        </w:rPr>
        <w:t xml:space="preserve">30 days</w:t>
      </w:r>
    </w:p>
    <w:p>
      <w:pPr>
        <w:pStyle w:val="BodyText"/>
      </w:pPr>
      <w:r>
        <w:rPr>
          <w:rFonts w:ascii="Arial" w:hAnsi="Arial" w:cs="Arial" w:eastAsia="Arial"/>
          <w:i/>
          <w:iCs/>
        </w:rPr>
        <w:t xml:space="preserve">Working: Item 1: 120 × RM850 = RM102,000. Item 2: 20 × RM1,450 = RM29,000. Subtotal = RM131,000. Discount 5%: RM131,000 × 5% = RM6,550. Grand Total: RM131,000 − RM6,550 = RM124,450.</w:t>
      </w:r>
    </w:p>
    <w:p>
      <w:pPr>
        <w:pStyle w:val="BodyText"/>
      </w:pPr>
      <w:r>
        <w:rPr>
          <w:rFonts w:ascii="Arial" w:hAnsi="Arial" w:cs="Arial" w:eastAsia="Arial"/>
          <w:i/>
          <w:iCs/>
        </w:rPr>
        <w:t xml:space="preserve">(Discount may be applied to ErgoFlex only, or ErgoPro only, or both products — any consistent application of up to 5% on the subtotal or individual items is acceptable provided the arithmetic is correct.)</w:t>
      </w:r>
    </w:p>
    <w:p>
      <w:pPr>
        <w:pStyle w:val="BodyText"/>
      </w:pPr>
      <w:r>
        <w:rPr>
          <w:rFonts w:ascii="Arial" w:hAnsi="Arial" w:cs="Arial" w:eastAsia="Arial"/>
          <w:b/>
          <w:bCs/>
        </w:rPr>
        <w:t xml:space="preserve">C. SHORT PROPOSAL</w:t>
      </w:r>
    </w:p>
    <w:p>
      <w:pPr>
        <w:pStyle w:val="Compact"/>
        <w:numPr>
          <w:ilvl w:val="0"/>
          <w:numId w:val="1006"/>
        </w:numPr>
      </w:pPr>
      <w:r>
        <w:rPr>
          <w:rFonts w:ascii="Arial" w:hAnsi="Arial" w:cs="Arial" w:eastAsia="Arial"/>
          <w:b/>
          <w:bCs/>
        </w:rPr>
        <w:t xml:space="preserve">Price: The ErgoFlex Task Chair is offered at RM850 per unit (within the customer’s ergonomic task seating requirement) and the ErgoPro Executive Chair at RM1,450 per unit. A 5% bulk discount has been applied on the total order, reducing the grand total from RM131,000 to RM124,450.</w:t>
      </w:r>
    </w:p>
    <w:p>
      <w:pPr>
        <w:pStyle w:val="Compact"/>
        <w:numPr>
          <w:ilvl w:val="0"/>
          <w:numId w:val="1006"/>
        </w:numPr>
      </w:pPr>
      <w:r>
        <w:rPr>
          <w:rFonts w:ascii="Arial" w:hAnsi="Arial" w:cs="Arial" w:eastAsia="Arial"/>
          <w:b/>
          <w:bCs/>
        </w:rPr>
        <w:t xml:space="preserve">Delivery: Single delivery to the project site in Kuala Lumpur within 4 weeks of order confirmation, meeting the customer’s single-delivery and timeline requirement.</w:t>
      </w:r>
    </w:p>
    <w:p>
      <w:pPr>
        <w:pStyle w:val="Compact"/>
        <w:numPr>
          <w:ilvl w:val="0"/>
          <w:numId w:val="1006"/>
        </w:numPr>
      </w:pPr>
      <w:r>
        <w:rPr>
          <w:rFonts w:ascii="Arial" w:hAnsi="Arial" w:cs="Arial" w:eastAsia="Arial"/>
          <w:b/>
          <w:bCs/>
        </w:rPr>
        <w:t xml:space="preserve">Specification: Both products carry a 5 Years Manufacturer Warranty and include adjustable lumbar support — addressing the customer’s warranty and ergonomic specification requirements.</w:t>
      </w:r>
    </w:p>
    <w:p>
      <w:r>
        <w:rPr>
          <w:rFonts w:ascii="Arial" w:hAnsi="Arial" w:cs="Arial" w:eastAsia="Arial"/>
        </w:rPr>
        <w:pict>
          <v:rect style="width:0;height:1.5pt" o:hralign="center" o:hrstd="t" o:hr="t"/>
        </w:pict>
      </w:r>
    </w:p>
    <w:bookmarkEnd w:id="10"/>
    <w:bookmarkStart w:id="11" w:name="X504d1c676a6cd733d827d75cca4d42ec8ad50de"/>
    <w:p>
      <w:pPr>
        <w:pStyle w:val="Heading2"/>
      </w:pPr>
      <w:r>
        <w:rPr>
          <w:rFonts w:ascii="Arial" w:hAnsi="Arial" w:cs="Arial" w:eastAsia="Arial"/>
        </w:rPr>
        <w:t xml:space="preserve">APPENDIX 5 — SALES PROJECTION &amp; PERFORMANCE EVALUATION FORM (TUGASAN 3)</w:t>
      </w:r>
    </w:p>
    <w:p>
      <w:pPr>
        <w:pStyle w:val="FirstParagraph"/>
      </w:pPr>
      <w:r>
        <w:rPr>
          <w:rFonts w:ascii="Arial" w:hAnsi="Arial" w:cs="Arial" w:eastAsia="Arial"/>
          <w:b/>
          <w:bCs/>
        </w:rPr>
        <w:t xml:space="preserve">A. SALES PROJECTION (NEXT YEAR)</w:t>
      </w:r>
    </w:p>
    <w:tbl>
      <w:tblPr>
        <w:tblStyle w:val="Table"/>
        <w:tblW w:type="auto" w:w="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3653"/>
        <w:gridCol w:w="1879"/>
        <w:gridCol w:w="1657"/>
        <w:gridCol w:w="1879"/>
      </w:tblGrid>
      <w:tr>
        <w:trPr>
          <w:tblHeader w:val="on"/>
          <w:cantSplit/>
        </w:trPr>
        <w:tc>
          <w:tcPr>
            <w:tcW w:type="dxa" w:w="365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ITEM</w:t>
            </w:r>
          </w:p>
        </w:tc>
        <w:tc>
          <w:tcPr>
            <w:tcW w:type="dxa" w:w="188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ErgoFlex</w:t>
            </w:r>
          </w:p>
        </w:tc>
        <w:tc>
          <w:tcPr>
            <w:tcW w:type="dxa" w:w="165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ErgoPro</w:t>
            </w:r>
          </w:p>
        </w:tc>
        <w:tc>
          <w:tcPr>
            <w:tcW w:type="dxa" w:w="188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TOTAL</w:t>
            </w:r>
          </w:p>
        </w:tc>
      </w:tr>
      <w:tr>
        <w:trPr>
          <w:cantSplit/>
        </w:trPr>
        <w:tc>
          <w:tcPr>
            <w:tcW w:type="dxa" w:w="365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Forecast Units</w:t>
            </w:r>
          </w:p>
        </w:tc>
        <w:tc>
          <w:tcPr>
            <w:tcW w:type="dxa" w:w="188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2,400</w:t>
            </w:r>
          </w:p>
        </w:tc>
        <w:tc>
          <w:tcPr>
            <w:tcW w:type="dxa" w:w="165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480</w:t>
            </w:r>
          </w:p>
        </w:tc>
        <w:tc>
          <w:tcPr>
            <w:tcW w:type="dxa" w:w="188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2,880</w:t>
            </w:r>
          </w:p>
        </w:tc>
      </w:tr>
      <w:tr>
        <w:trPr>
          <w:cantSplit/>
        </w:trPr>
        <w:tc>
          <w:tcPr>
            <w:tcW w:type="dxa" w:w="365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Sales Income (RM)</w:t>
            </w:r>
          </w:p>
        </w:tc>
        <w:tc>
          <w:tcPr>
            <w:tcW w:type="dxa" w:w="188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2,040,000</w:t>
            </w:r>
          </w:p>
        </w:tc>
        <w:tc>
          <w:tcPr>
            <w:tcW w:type="dxa" w:w="165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696,000</w:t>
            </w:r>
          </w:p>
        </w:tc>
        <w:tc>
          <w:tcPr>
            <w:tcW w:type="dxa" w:w="188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2,736,000</w:t>
            </w:r>
          </w:p>
        </w:tc>
      </w:tr>
      <w:tr>
        <w:trPr>
          <w:cantSplit/>
        </w:trPr>
        <w:tc>
          <w:tcPr>
            <w:tcW w:type="dxa" w:w="365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Production Cost (RM)</w:t>
            </w:r>
          </w:p>
        </w:tc>
        <w:tc>
          <w:tcPr>
            <w:tcW w:type="dxa" w:w="188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1,224,000</w:t>
            </w:r>
          </w:p>
        </w:tc>
        <w:tc>
          <w:tcPr>
            <w:tcW w:type="dxa" w:w="165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448,800</w:t>
            </w:r>
          </w:p>
        </w:tc>
        <w:tc>
          <w:tcPr>
            <w:tcW w:type="dxa" w:w="188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1,672,800</w:t>
            </w:r>
          </w:p>
        </w:tc>
      </w:tr>
      <w:tr>
        <w:trPr>
          <w:cantSplit/>
        </w:trPr>
        <w:tc>
          <w:tcPr>
            <w:tcW w:type="dxa" w:w="365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Total Operating Expenses (RM)</w:t>
            </w:r>
          </w:p>
        </w:tc>
        <w:tc>
          <w:tcPr>
            <w:tcW w:type="dxa" w:w="188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16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188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650,000</w:t>
            </w:r>
          </w:p>
        </w:tc>
      </w:tr>
      <w:tr>
        <w:trPr>
          <w:cantSplit/>
        </w:trPr>
        <w:tc>
          <w:tcPr>
            <w:tcW w:type="dxa" w:w="365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Projected Surplus / (Deficit) (RM)</w:t>
            </w:r>
          </w:p>
        </w:tc>
        <w:tc>
          <w:tcPr>
            <w:tcW w:type="dxa" w:w="188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16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188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413,200</w:t>
            </w:r>
          </w:p>
        </w:tc>
      </w:tr>
    </w:tbl>
    <w:p>
      <w:pPr>
        <w:pStyle w:val="BodyText"/>
      </w:pPr>
      <w:r>
        <w:rPr>
          <w:rFonts w:ascii="Arial" w:hAnsi="Arial" w:cs="Arial" w:eastAsia="Arial"/>
          <w:i/>
          <w:iCs/>
        </w:rPr>
        <w:t xml:space="preserve">Working:</w:t>
      </w:r>
      <w:r>
        <w:rPr>
          <w:rFonts w:ascii="Arial" w:hAnsi="Arial" w:cs="Arial" w:eastAsia="Arial"/>
        </w:rPr>
        <w:t xml:space="preserve"> </w:t>
      </w:r>
      <w:r>
        <w:rPr>
          <w:rFonts w:ascii="Arial" w:hAnsi="Arial" w:cs="Arial" w:eastAsia="Arial"/>
        </w:rPr>
        <w:t xml:space="preserve">-</w:t>
      </w:r>
      <w:r>
        <w:rPr>
          <w:rFonts w:ascii="Arial" w:hAnsi="Arial" w:cs="Arial" w:eastAsia="Arial"/>
        </w:rPr>
        <w:t xml:space="preserve"> </w:t>
      </w:r>
      <w:r>
        <w:rPr>
          <w:rFonts w:ascii="Arial" w:hAnsi="Arial" w:cs="Arial" w:eastAsia="Arial"/>
          <w:i/>
          <w:iCs/>
        </w:rPr>
        <w:t xml:space="preserve">ErgoFlex: 2,400 × RM850 = RM2,040,000 income; 2,400 × RM510 = RM1,224,000 cost</w:t>
      </w:r>
      <w:r>
        <w:rPr>
          <w:rFonts w:ascii="Arial" w:hAnsi="Arial" w:cs="Arial" w:eastAsia="Arial"/>
        </w:rPr>
        <w:t xml:space="preserve"> </w:t>
      </w:r>
      <w:r>
        <w:rPr>
          <w:rFonts w:ascii="Arial" w:hAnsi="Arial" w:cs="Arial" w:eastAsia="Arial"/>
        </w:rPr>
        <w:t xml:space="preserve">-</w:t>
      </w:r>
      <w:r>
        <w:rPr>
          <w:rFonts w:ascii="Arial" w:hAnsi="Arial" w:cs="Arial" w:eastAsia="Arial"/>
        </w:rPr>
        <w:t xml:space="preserve"> </w:t>
      </w:r>
      <w:r>
        <w:rPr>
          <w:rFonts w:ascii="Arial" w:hAnsi="Arial" w:cs="Arial" w:eastAsia="Arial"/>
          <w:i/>
          <w:iCs/>
        </w:rPr>
        <w:t xml:space="preserve">ErgoPro: 480 × RM1,450 = RM696,000 income; 480 × RM935 = RM448,800 cost</w:t>
      </w:r>
      <w:r>
        <w:rPr>
          <w:rFonts w:ascii="Arial" w:hAnsi="Arial" w:cs="Arial" w:eastAsia="Arial"/>
        </w:rPr>
        <w:t xml:space="preserve"> </w:t>
      </w:r>
      <w:r>
        <w:rPr>
          <w:rFonts w:ascii="Arial" w:hAnsi="Arial" w:cs="Arial" w:eastAsia="Arial"/>
        </w:rPr>
        <w:t xml:space="preserve">-</w:t>
      </w:r>
      <w:r>
        <w:rPr>
          <w:rFonts w:ascii="Arial" w:hAnsi="Arial" w:cs="Arial" w:eastAsia="Arial"/>
        </w:rPr>
        <w:t xml:space="preserve"> </w:t>
      </w:r>
      <w:r>
        <w:rPr>
          <w:rFonts w:ascii="Arial" w:hAnsi="Arial" w:cs="Arial" w:eastAsia="Arial"/>
          <w:i/>
          <w:iCs/>
        </w:rPr>
        <w:t xml:space="preserve">Total operating expenses: RM380,000 + RM120,000 + RM60,000 + RM90,000 = RM650,000</w:t>
      </w:r>
      <w:r>
        <w:rPr>
          <w:rFonts w:ascii="Arial" w:hAnsi="Arial" w:cs="Arial" w:eastAsia="Arial"/>
        </w:rPr>
        <w:t xml:space="preserve"> </w:t>
      </w:r>
      <w:r>
        <w:rPr>
          <w:rFonts w:ascii="Arial" w:hAnsi="Arial" w:cs="Arial" w:eastAsia="Arial"/>
        </w:rPr>
        <w:t xml:space="preserve">-</w:t>
      </w:r>
      <w:r>
        <w:rPr>
          <w:rFonts w:ascii="Arial" w:hAnsi="Arial" w:cs="Arial" w:eastAsia="Arial"/>
        </w:rPr>
        <w:t xml:space="preserve"> </w:t>
      </w:r>
      <w:r>
        <w:rPr>
          <w:rFonts w:ascii="Arial" w:hAnsi="Arial" w:cs="Arial" w:eastAsia="Arial"/>
          <w:i/>
          <w:iCs/>
        </w:rPr>
        <w:t xml:space="preserve">Projected surplus: RM2,736,000 − RM1,672,800 − RM650,000 = RM413,200</w:t>
      </w:r>
    </w:p>
    <w:p>
      <w:pPr>
        <w:pStyle w:val="BodyText"/>
      </w:pPr>
      <w:r>
        <w:rPr>
          <w:rFonts w:ascii="Arial" w:hAnsi="Arial" w:cs="Arial" w:eastAsia="Arial"/>
          <w:b/>
          <w:bCs/>
        </w:rPr>
        <w:t xml:space="preserve">B. SALES BUDGET SUMMARY FOR APPROVAL</w:t>
      </w:r>
    </w:p>
    <w:p>
      <w:pPr>
        <w:pStyle w:val="BodyText"/>
      </w:pPr>
      <w:r>
        <w:rPr>
          <w:rFonts w:ascii="Arial" w:hAnsi="Arial" w:cs="Arial" w:eastAsia="Arial"/>
          <w:b/>
          <w:bCs/>
        </w:rPr>
        <w:t xml:space="preserve">Total projected sales income: RM2,736,000. Total production cost: RM1,672,800. Total operating expenses: RM650,000. Projected surplus: RM413,200.</w:t>
      </w:r>
    </w:p>
    <w:p>
      <w:pPr>
        <w:pStyle w:val="BodyText"/>
      </w:pPr>
      <w:r>
        <w:rPr>
          <w:rFonts w:ascii="Arial" w:hAnsi="Arial" w:cs="Arial" w:eastAsia="Arial"/>
          <w:b/>
          <w:bCs/>
        </w:rPr>
        <w:t xml:space="preserve">The next-year sales plan is projected to generate a surplus of RM413,200, representing a positive return on the planned sales volume of 2,400 units of ErgoFlex Task Chair and 480 units of ErgoPro Executive Chair.</w:t>
      </w:r>
    </w:p>
    <w:p>
      <w:pPr>
        <w:pStyle w:val="BodyText"/>
      </w:pPr>
      <w:r>
        <w:rPr>
          <w:rFonts w:ascii="Arial" w:hAnsi="Arial" w:cs="Arial" w:eastAsia="Arial"/>
          <w:b/>
          <w:bCs/>
        </w:rPr>
        <w:t xml:space="preserve">C. SALES PERFORMANCE EVALUATION (JANUARY–JUNE 2026)</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472"/>
        <w:gridCol w:w="1726"/>
        <w:gridCol w:w="1726"/>
        <w:gridCol w:w="1876"/>
        <w:gridCol w:w="2268"/>
      </w:tblGrid>
      <w:tr>
        <w:trPr>
          <w:tblHeader w:val="on"/>
          <w:cantSplit/>
        </w:trPr>
        <w:tc>
          <w:tcPr>
            <w:tcW w:type="dxa" w:w="147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MONTH</w:t>
            </w:r>
          </w:p>
        </w:tc>
        <w:tc>
          <w:tcPr>
            <w:tcW w:type="dxa" w:w="172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TARGET (RM)</w:t>
            </w:r>
          </w:p>
        </w:tc>
        <w:tc>
          <w:tcPr>
            <w:tcW w:type="dxa" w:w="172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ACTUAL (RM)</w:t>
            </w:r>
          </w:p>
        </w:tc>
        <w:tc>
          <w:tcPr>
            <w:tcW w:type="dxa" w:w="187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ACHIEVEMENT %</w:t>
            </w:r>
          </w:p>
        </w:tc>
        <w:tc>
          <w:tcPr>
            <w:tcW w:type="dxa" w:w="226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ON TARGET? (YES/NO)</w:t>
            </w:r>
          </w:p>
        </w:tc>
      </w:tr>
      <w:tr>
        <w:trPr>
          <w:cantSplit/>
        </w:trPr>
        <w:tc>
          <w:tcPr>
            <w:tcW w:type="dxa" w:w="147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January</w:t>
            </w:r>
          </w:p>
        </w:tc>
        <w:tc>
          <w:tcPr>
            <w:tcW w:type="dxa" w:w="172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180,000</w:t>
            </w:r>
          </w:p>
        </w:tc>
        <w:tc>
          <w:tcPr>
            <w:tcW w:type="dxa" w:w="172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165,600</w:t>
            </w:r>
          </w:p>
        </w:tc>
        <w:tc>
          <w:tcPr>
            <w:tcW w:type="dxa" w:w="187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92.00%</w:t>
            </w:r>
          </w:p>
        </w:tc>
        <w:tc>
          <w:tcPr>
            <w:tcW w:type="dxa" w:w="226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No</w:t>
            </w:r>
          </w:p>
        </w:tc>
      </w:tr>
      <w:tr>
        <w:trPr>
          <w:cantSplit/>
        </w:trPr>
        <w:tc>
          <w:tcPr>
            <w:tcW w:type="dxa" w:w="147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February</w:t>
            </w:r>
          </w:p>
        </w:tc>
        <w:tc>
          <w:tcPr>
            <w:tcW w:type="dxa" w:w="172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180,000</w:t>
            </w:r>
          </w:p>
        </w:tc>
        <w:tc>
          <w:tcPr>
            <w:tcW w:type="dxa" w:w="172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171,000</w:t>
            </w:r>
          </w:p>
        </w:tc>
        <w:tc>
          <w:tcPr>
            <w:tcW w:type="dxa" w:w="187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95.00%</w:t>
            </w:r>
          </w:p>
        </w:tc>
        <w:tc>
          <w:tcPr>
            <w:tcW w:type="dxa" w:w="226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No</w:t>
            </w:r>
          </w:p>
        </w:tc>
      </w:tr>
      <w:tr>
        <w:trPr>
          <w:cantSplit/>
        </w:trPr>
        <w:tc>
          <w:tcPr>
            <w:tcW w:type="dxa" w:w="147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March</w:t>
            </w:r>
          </w:p>
        </w:tc>
        <w:tc>
          <w:tcPr>
            <w:tcW w:type="dxa" w:w="172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200,000</w:t>
            </w:r>
          </w:p>
        </w:tc>
        <w:tc>
          <w:tcPr>
            <w:tcW w:type="dxa" w:w="172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178,000</w:t>
            </w:r>
          </w:p>
        </w:tc>
        <w:tc>
          <w:tcPr>
            <w:tcW w:type="dxa" w:w="187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89.00%</w:t>
            </w:r>
          </w:p>
        </w:tc>
        <w:tc>
          <w:tcPr>
            <w:tcW w:type="dxa" w:w="226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No</w:t>
            </w:r>
          </w:p>
        </w:tc>
      </w:tr>
      <w:tr>
        <w:trPr>
          <w:cantSplit/>
        </w:trPr>
        <w:tc>
          <w:tcPr>
            <w:tcW w:type="dxa" w:w="147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April</w:t>
            </w:r>
          </w:p>
        </w:tc>
        <w:tc>
          <w:tcPr>
            <w:tcW w:type="dxa" w:w="172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200,000</w:t>
            </w:r>
          </w:p>
        </w:tc>
        <w:tc>
          <w:tcPr>
            <w:tcW w:type="dxa" w:w="172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210,000</w:t>
            </w:r>
          </w:p>
        </w:tc>
        <w:tc>
          <w:tcPr>
            <w:tcW w:type="dxa" w:w="187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105.00%</w:t>
            </w:r>
          </w:p>
        </w:tc>
        <w:tc>
          <w:tcPr>
            <w:tcW w:type="dxa" w:w="226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Yes</w:t>
            </w:r>
          </w:p>
        </w:tc>
      </w:tr>
      <w:tr>
        <w:trPr>
          <w:cantSplit/>
        </w:trPr>
        <w:tc>
          <w:tcPr>
            <w:tcW w:type="dxa" w:w="147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May</w:t>
            </w:r>
          </w:p>
        </w:tc>
        <w:tc>
          <w:tcPr>
            <w:tcW w:type="dxa" w:w="172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220,000</w:t>
            </w:r>
          </w:p>
        </w:tc>
        <w:tc>
          <w:tcPr>
            <w:tcW w:type="dxa" w:w="172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198,000</w:t>
            </w:r>
          </w:p>
        </w:tc>
        <w:tc>
          <w:tcPr>
            <w:tcW w:type="dxa" w:w="187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90.00%</w:t>
            </w:r>
          </w:p>
        </w:tc>
        <w:tc>
          <w:tcPr>
            <w:tcW w:type="dxa" w:w="226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No</w:t>
            </w:r>
          </w:p>
        </w:tc>
      </w:tr>
      <w:tr>
        <w:trPr>
          <w:cantSplit/>
        </w:trPr>
        <w:tc>
          <w:tcPr>
            <w:tcW w:type="dxa" w:w="147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June</w:t>
            </w:r>
          </w:p>
        </w:tc>
        <w:tc>
          <w:tcPr>
            <w:tcW w:type="dxa" w:w="172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220,000</w:t>
            </w:r>
          </w:p>
        </w:tc>
        <w:tc>
          <w:tcPr>
            <w:tcW w:type="dxa" w:w="172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209,000</w:t>
            </w:r>
          </w:p>
        </w:tc>
        <w:tc>
          <w:tcPr>
            <w:tcW w:type="dxa" w:w="187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95.00%</w:t>
            </w:r>
          </w:p>
        </w:tc>
        <w:tc>
          <w:tcPr>
            <w:tcW w:type="dxa" w:w="226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No</w:t>
            </w:r>
          </w:p>
        </w:tc>
      </w:tr>
      <w:tr>
        <w:trPr>
          <w:cantSplit/>
        </w:trPr>
        <w:tc>
          <w:tcPr>
            <w:tcW w:type="dxa" w:w="147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OVERALL</w:t>
            </w:r>
          </w:p>
        </w:tc>
        <w:tc>
          <w:tcPr>
            <w:tcW w:type="dxa" w:w="172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1,200,000</w:t>
            </w:r>
          </w:p>
        </w:tc>
        <w:tc>
          <w:tcPr>
            <w:tcW w:type="dxa" w:w="172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1,131,600</w:t>
            </w:r>
          </w:p>
        </w:tc>
        <w:tc>
          <w:tcPr>
            <w:tcW w:type="dxa" w:w="187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94.30%</w:t>
            </w:r>
          </w:p>
        </w:tc>
        <w:tc>
          <w:tcPr>
            <w:tcW w:type="dxa" w:w="226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No</w:t>
            </w:r>
          </w:p>
        </w:tc>
      </w:tr>
    </w:tbl>
    <w:p>
      <w:pPr>
        <w:pStyle w:val="BodyText"/>
      </w:pPr>
      <w:r>
        <w:rPr>
          <w:rFonts w:ascii="Arial" w:hAnsi="Arial" w:cs="Arial" w:eastAsia="Arial"/>
          <w:i/>
          <w:iCs/>
        </w:rPr>
        <w:t xml:space="preserve">Working: Achievement % = Actual ÷ Target × 100. Overall: RM1,131,600 ÷ RM1,200,000 × 100 = 94.30%.</w:t>
      </w:r>
    </w:p>
    <w:p>
      <w:pPr>
        <w:pStyle w:val="BodyText"/>
      </w:pPr>
      <w:r>
        <w:rPr>
          <w:rFonts w:ascii="Arial" w:hAnsi="Arial" w:cs="Arial" w:eastAsia="Arial"/>
          <w:b/>
          <w:bCs/>
        </w:rPr>
        <w:t xml:space="preserve">D. MAIN ISSUES IN SALES PERFORMANCE</w:t>
      </w:r>
    </w:p>
    <w:p>
      <w:pPr>
        <w:pStyle w:val="Compact"/>
        <w:numPr>
          <w:ilvl w:val="0"/>
          <w:numId w:val="1007"/>
        </w:numPr>
      </w:pPr>
      <w:r>
        <w:rPr>
          <w:rFonts w:ascii="Arial" w:hAnsi="Arial" w:cs="Arial" w:eastAsia="Arial"/>
          <w:b/>
          <w:bCs/>
        </w:rPr>
        <w:t xml:space="preserve">5 out of 6 months did not achieve 100% of the monthly sales target — overall achievement was 94.30% (RM1,131,600 of RM1,200,000 target).</w:t>
      </w:r>
    </w:p>
    <w:p>
      <w:pPr>
        <w:pStyle w:val="Compact"/>
        <w:numPr>
          <w:ilvl w:val="0"/>
          <w:numId w:val="1007"/>
        </w:numPr>
      </w:pPr>
      <w:r>
        <w:rPr>
          <w:rFonts w:ascii="Arial" w:hAnsi="Arial" w:cs="Arial" w:eastAsia="Arial"/>
          <w:b/>
          <w:bCs/>
        </w:rPr>
        <w:t xml:space="preserve">March recorded the lowest achievement at 89.00% (RM178,000 of RM200,000 target) — the highest shortfall of RM22,000 in any single month.</w:t>
      </w:r>
    </w:p>
    <w:p>
      <w:pPr>
        <w:pStyle w:val="Compact"/>
        <w:numPr>
          <w:ilvl w:val="0"/>
          <w:numId w:val="1007"/>
        </w:numPr>
      </w:pPr>
      <w:r>
        <w:rPr>
          <w:rFonts w:ascii="Arial" w:hAnsi="Arial" w:cs="Arial" w:eastAsia="Arial"/>
          <w:b/>
          <w:bCs/>
        </w:rPr>
        <w:t xml:space="preserve">May also fell below target at 90.00% (RM198,000 of RM220,000) — the second-highest shortfall of RM22,000, occurring in the second half of the period.</w:t>
      </w:r>
    </w:p>
    <w:p>
      <w:pPr>
        <w:pStyle w:val="FirstParagraph"/>
      </w:pPr>
      <w:r>
        <w:rPr>
          <w:rFonts w:ascii="Arial" w:hAnsi="Arial" w:cs="Arial" w:eastAsia="Arial"/>
          <w:i/>
          <w:iCs/>
        </w:rPr>
        <w:t xml:space="preserve">(Additional acceptable issue: Only April achieved its monthly target (105.00%), indicating inconsistent performance across the half year.)</w:t>
      </w:r>
    </w:p>
    <w:p>
      <w:pPr>
        <w:pStyle w:val="BodyText"/>
      </w:pPr>
      <w:r>
        <w:rPr>
          <w:rFonts w:ascii="Arial" w:hAnsi="Arial" w:cs="Arial" w:eastAsia="Arial"/>
          <w:b/>
          <w:bCs/>
        </w:rPr>
        <w:t xml:space="preserve">E. SALES ACTION PLAN</w:t>
      </w:r>
    </w:p>
    <w:p>
      <w:pPr>
        <w:pStyle w:val="Compact"/>
        <w:numPr>
          <w:ilvl w:val="0"/>
          <w:numId w:val="1008"/>
        </w:numPr>
      </w:pPr>
      <w:r>
        <w:rPr>
          <w:rFonts w:ascii="Arial" w:hAnsi="Arial" w:cs="Arial" w:eastAsia="Arial"/>
          <w:b/>
          <w:bCs/>
        </w:rPr>
        <w:t xml:space="preserve">Strengthen corporate account acquisition activities in underperforming months — increase the number of corporate sales calls and prospecting activities to close more orders, particularly in March and May.</w:t>
      </w:r>
    </w:p>
    <w:p>
      <w:pPr>
        <w:pStyle w:val="Compact"/>
        <w:numPr>
          <w:ilvl w:val="0"/>
          <w:numId w:val="1008"/>
        </w:numPr>
      </w:pPr>
      <w:r>
        <w:rPr>
          <w:rFonts w:ascii="Arial" w:hAnsi="Arial" w:cs="Arial" w:eastAsia="Arial"/>
          <w:b/>
          <w:bCs/>
        </w:rPr>
        <w:t xml:space="preserve">Review and tighten the sales pipeline monitoring process to identify and address slow-moving deals earlier in each month.</w:t>
      </w:r>
    </w:p>
    <w:p>
      <w:pPr>
        <w:pStyle w:val="Compact"/>
        <w:numPr>
          <w:ilvl w:val="0"/>
          <w:numId w:val="1008"/>
        </w:numPr>
      </w:pPr>
      <w:r>
        <w:rPr>
          <w:rFonts w:ascii="Arial" w:hAnsi="Arial" w:cs="Arial" w:eastAsia="Arial"/>
          <w:b/>
          <w:bCs/>
        </w:rPr>
        <w:t xml:space="preserve">Set individual monthly sub-targets for each sales staff member and review performance bi-weekly to enable timely corrective action and reduce end-of-month shortfalls.</w:t>
      </w:r>
    </w:p>
    <w:p>
      <w:pPr>
        <w:pStyle w:val="FirstParagraph"/>
      </w:pPr>
      <w:r>
        <w:rPr>
          <w:rFonts w:ascii="Arial" w:hAnsi="Arial" w:cs="Arial" w:eastAsia="Arial"/>
          <w:i/>
          <w:iCs/>
        </w:rPr>
        <w:t xml:space="preserve">(Any three data-linked, actionable improvement recommendations are acceptable.)</w:t>
      </w:r>
    </w:p>
    <w:p>
      <w:r>
        <w:rPr>
          <w:rFonts w:ascii="Arial" w:hAnsi="Arial" w:cs="Arial" w:eastAsia="Arial"/>
        </w:rPr>
        <w:pict>
          <v:rect style="width:0;height:1.5pt" o:hralign="center" o:hrstd="t" o:hr="t"/>
        </w:pict>
      </w:r>
    </w:p>
    <w:bookmarkEnd w:id="11"/>
    <w:bookmarkStart w:id="12" w:name="Xeb8d3d1f0a5ffa7732139b7da5174b70cb9a1dd"/>
    <w:p>
      <w:pPr>
        <w:pStyle w:val="Heading2"/>
      </w:pPr>
      <w:r>
        <w:rPr>
          <w:rFonts w:ascii="Arial" w:hAnsi="Arial" w:cs="Arial" w:eastAsia="Arial"/>
        </w:rPr>
        <w:t xml:space="preserve">APPENDIX 6 — TEAM OBJECTIVE &amp; DEPARTMENTAL REPORT FORM (TUGASAN 4)</w:t>
      </w:r>
    </w:p>
    <w:p>
      <w:pPr>
        <w:pStyle w:val="FirstParagraph"/>
      </w:pPr>
      <w:r>
        <w:rPr>
          <w:rFonts w:ascii="Arial" w:hAnsi="Arial" w:cs="Arial" w:eastAsia="Arial"/>
          <w:b/>
          <w:bCs/>
        </w:rPr>
        <w:t xml:space="preserve">A. SALES TARGET &amp; KPI ALLOCATION (JULY–DECEMBER 2026)</w:t>
      </w:r>
    </w:p>
    <w:p>
      <w:pPr>
        <w:pStyle w:val="BodyText"/>
      </w:pPr>
      <w:r>
        <w:rPr>
          <w:rFonts w:ascii="Arial" w:hAnsi="Arial" w:cs="Arial" w:eastAsia="Arial"/>
        </w:rPr>
        <w:t xml:space="preserve">Allocation basis: Team total target RM1,260,000 allocated in proportion to January–June individual targets (Aina and Farid: RM320,000 each; Mei Ling and Ramesh: RM280,000 each; total RM1,200,000).</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083"/>
        <w:gridCol w:w="2590"/>
        <w:gridCol w:w="4397"/>
      </w:tblGrid>
      <w:tr>
        <w:trPr>
          <w:tblHeader w:val="on"/>
          <w:cantSplit/>
        </w:trPr>
        <w:tc>
          <w:tcPr>
            <w:tcW w:type="dxa" w:w="208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SALES STAFF</w:t>
            </w:r>
          </w:p>
        </w:tc>
        <w:tc>
          <w:tcPr>
            <w:tcW w:type="dxa" w:w="259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SALES TARGET (RM)</w:t>
            </w:r>
          </w:p>
        </w:tc>
        <w:tc>
          <w:tcPr>
            <w:tcW w:type="dxa" w:w="439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INDIVIDUAL KPI</w:t>
            </w:r>
          </w:p>
        </w:tc>
      </w:tr>
      <w:tr>
        <w:trPr>
          <w:cantSplit/>
        </w:trPr>
        <w:tc>
          <w:tcPr>
            <w:tcW w:type="dxa" w:w="208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Aina</w:t>
            </w:r>
          </w:p>
        </w:tc>
        <w:tc>
          <w:tcPr>
            <w:tcW w:type="dxa" w:w="259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336,000</w:t>
            </w:r>
          </w:p>
        </w:tc>
        <w:tc>
          <w:tcPr>
            <w:tcW w:type="dxa" w:w="439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Achieve RM336,000 in sales for July–December 2026</w:t>
            </w:r>
          </w:p>
        </w:tc>
      </w:tr>
      <w:tr>
        <w:trPr>
          <w:cantSplit/>
        </w:trPr>
        <w:tc>
          <w:tcPr>
            <w:tcW w:type="dxa" w:w="208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Farid</w:t>
            </w:r>
          </w:p>
        </w:tc>
        <w:tc>
          <w:tcPr>
            <w:tcW w:type="dxa" w:w="259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336,000</w:t>
            </w:r>
          </w:p>
        </w:tc>
        <w:tc>
          <w:tcPr>
            <w:tcW w:type="dxa" w:w="439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Achieve RM336,000 in sales for July–December 2026</w:t>
            </w:r>
          </w:p>
        </w:tc>
      </w:tr>
      <w:tr>
        <w:trPr>
          <w:cantSplit/>
        </w:trPr>
        <w:tc>
          <w:tcPr>
            <w:tcW w:type="dxa" w:w="208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Mei Ling</w:t>
            </w:r>
          </w:p>
        </w:tc>
        <w:tc>
          <w:tcPr>
            <w:tcW w:type="dxa" w:w="259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294,000</w:t>
            </w:r>
          </w:p>
        </w:tc>
        <w:tc>
          <w:tcPr>
            <w:tcW w:type="dxa" w:w="439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Achieve RM294,000 in sales for July–December 2026</w:t>
            </w:r>
          </w:p>
        </w:tc>
      </w:tr>
      <w:tr>
        <w:trPr>
          <w:cantSplit/>
        </w:trPr>
        <w:tc>
          <w:tcPr>
            <w:tcW w:type="dxa" w:w="208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Ramesh</w:t>
            </w:r>
          </w:p>
        </w:tc>
        <w:tc>
          <w:tcPr>
            <w:tcW w:type="dxa" w:w="259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294,000</w:t>
            </w:r>
          </w:p>
        </w:tc>
        <w:tc>
          <w:tcPr>
            <w:tcW w:type="dxa" w:w="439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Achieve RM294,000 in sales for July–December 2026</w:t>
            </w:r>
          </w:p>
        </w:tc>
      </w:tr>
      <w:tr>
        <w:trPr>
          <w:cantSplit/>
        </w:trPr>
        <w:tc>
          <w:tcPr>
            <w:tcW w:type="dxa" w:w="208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TEAM TOTAL</w:t>
            </w:r>
          </w:p>
        </w:tc>
        <w:tc>
          <w:tcPr>
            <w:tcW w:type="dxa" w:w="259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1,260,000</w:t>
            </w:r>
          </w:p>
        </w:tc>
        <w:tc>
          <w:tcPr>
            <w:tcW w:type="dxa" w:w="4397"/>
            <w:tcMar>
              <w:top w:w="60" w:type="dxa"/>
              <w:start w:w="80" w:type="dxa"/>
              <w:bottom w:w="60" w:type="dxa"/>
              <w:end w:w="80" w:type="dxa"/>
            </w:tcMar>
          </w:tcPr>
          <w:p>
            <w:pPr>
              <w:pStyle w:val="Compact"/>
              <w:spacing w:before="0" w:after="40" w:line="240" w:lineRule="auto"/>
              <w:jc w:val="left"/>
            </w:pPr>
          </w:p>
        </w:tc>
      </w:tr>
    </w:tbl>
    <w:p>
      <w:pPr>
        <w:pStyle w:val="BodyText"/>
      </w:pPr>
      <w:r>
        <w:rPr>
          <w:rFonts w:ascii="Arial" w:hAnsi="Arial" w:cs="Arial" w:eastAsia="Arial"/>
          <w:i/>
          <w:iCs/>
        </w:rPr>
        <w:t xml:space="preserve">Working: Aina + Farid: RM320,000 ÷ RM1,200,000 × RM1,260,000 = RM336,000 each. Mei Ling + Ramesh: RM280,000 ÷ RM1,200,000 × RM1,260,000 = RM294,000 each. Total: (2 × 336,000) + (2 × 294,000) = RM1,260,000. ✓</w:t>
      </w:r>
    </w:p>
    <w:p>
      <w:pPr>
        <w:pStyle w:val="BodyText"/>
      </w:pPr>
      <w:r>
        <w:rPr>
          <w:rFonts w:ascii="Arial" w:hAnsi="Arial" w:cs="Arial" w:eastAsia="Arial"/>
          <w:i/>
          <w:iCs/>
        </w:rPr>
        <w:t xml:space="preserve">(Equal allocation of RM315,000 each is also acceptable if well justified.)</w:t>
      </w:r>
    </w:p>
    <w:p>
      <w:pPr>
        <w:pStyle w:val="BodyText"/>
      </w:pPr>
      <w:r>
        <w:rPr>
          <w:rFonts w:ascii="Arial" w:hAnsi="Arial" w:cs="Arial" w:eastAsia="Arial"/>
          <w:b/>
          <w:bCs/>
        </w:rPr>
        <w:t xml:space="preserve">B. PERFORMANCE ASSESSMENT &amp; REWARD PROPOSAL</w:t>
      </w:r>
    </w:p>
    <w:p>
      <w:pPr>
        <w:pStyle w:val="BodyText"/>
      </w:pPr>
      <w:r>
        <w:rPr>
          <w:rFonts w:ascii="Arial" w:hAnsi="Arial" w:cs="Arial" w:eastAsia="Arial"/>
        </w:rPr>
        <w:t xml:space="preserve">Staff performance assessment:</w:t>
      </w:r>
      <w:r>
        <w:rPr>
          <w:rFonts w:ascii="Arial" w:hAnsi="Arial" w:cs="Arial" w:eastAsia="Arial"/>
        </w:rPr>
        <w:t xml:space="preserve"> </w:t>
      </w:r>
      <w:r>
        <w:rPr>
          <w:rFonts w:ascii="Arial" w:hAnsi="Arial" w:cs="Arial" w:eastAsia="Arial"/>
          <w:b/>
          <w:bCs/>
        </w:rPr>
        <w:t xml:space="preserve">Aina exceeded her January–June target — RM336,000 actual vs RM320,000 target (105.00%). Farid underperformed — RM288,000 actual vs RM320,000 target (90.00%). Mei Ling underperformed — RM266,000 actual vs RM280,000 target (95.00%). Ramesh underperformed — RM241,600 actual vs RM280,000 target (86.29%).</w:t>
      </w:r>
    </w:p>
    <w:p>
      <w:pPr>
        <w:pStyle w:val="BodyText"/>
      </w:pPr>
      <w:r>
        <w:rPr>
          <w:rFonts w:ascii="Arial" w:hAnsi="Arial" w:cs="Arial" w:eastAsia="Arial"/>
        </w:rPr>
        <w:t xml:space="preserve">Reward proposal:</w:t>
      </w:r>
      <w:r>
        <w:rPr>
          <w:rFonts w:ascii="Arial" w:hAnsi="Arial" w:cs="Arial" w:eastAsia="Arial"/>
        </w:rPr>
        <w:t xml:space="preserve"> </w:t>
      </w:r>
      <w:r>
        <w:rPr>
          <w:rFonts w:ascii="Arial" w:hAnsi="Arial" w:cs="Arial" w:eastAsia="Arial"/>
          <w:b/>
          <w:bCs/>
        </w:rPr>
        <w:t xml:space="preserve">Propose Aina for a performance reward, subject to superior’s approval.</w:t>
      </w:r>
    </w:p>
    <w:p>
      <w:pPr>
        <w:pStyle w:val="BodyText"/>
      </w:pPr>
      <w:r>
        <w:rPr>
          <w:rFonts w:ascii="Arial" w:hAnsi="Arial" w:cs="Arial" w:eastAsia="Arial"/>
        </w:rPr>
        <w:t xml:space="preserve">Justification:</w:t>
      </w:r>
      <w:r>
        <w:rPr>
          <w:rFonts w:ascii="Arial" w:hAnsi="Arial" w:cs="Arial" w:eastAsia="Arial"/>
        </w:rPr>
        <w:t xml:space="preserve"> </w:t>
      </w:r>
      <w:r>
        <w:rPr>
          <w:rFonts w:ascii="Arial" w:hAnsi="Arial" w:cs="Arial" w:eastAsia="Arial"/>
          <w:b/>
          <w:bCs/>
        </w:rPr>
        <w:t xml:space="preserve">Aina is the only sales staff member who exceeded her half-year sales target (105.00%). Under the company reward procedure, staff who exceed the half-year sales target may be proposed for a performance reward, subject to superior’s approval.</w:t>
      </w:r>
    </w:p>
    <w:p>
      <w:pPr>
        <w:pStyle w:val="BodyText"/>
      </w:pPr>
      <w:r>
        <w:rPr>
          <w:rFonts w:ascii="Arial" w:hAnsi="Arial" w:cs="Arial" w:eastAsia="Arial"/>
          <w:b/>
          <w:bCs/>
        </w:rPr>
        <w:t xml:space="preserve">C. DEPARTMENTAL ADMINISTRATION REPORT (JANUARY–JUNE 2026)</w:t>
      </w:r>
    </w:p>
    <w:p>
      <w:pPr>
        <w:pStyle w:val="BodyText"/>
      </w:pPr>
      <w:r>
        <w:rPr>
          <w:rFonts w:ascii="Arial" w:hAnsi="Arial" w:cs="Arial" w:eastAsia="Arial"/>
        </w:rPr>
        <w:t xml:space="preserve">Departmental KPI achievement:</w:t>
      </w:r>
    </w:p>
    <w:p>
      <w:pPr>
        <w:pStyle w:val="BodyText"/>
      </w:pPr>
      <w:r>
        <w:rPr>
          <w:rFonts w:ascii="Arial" w:hAnsi="Arial" w:cs="Arial" w:eastAsia="Arial"/>
          <w:b/>
          <w:bCs/>
        </w:rPr>
        <w:t xml:space="preserve">KPI (i) Monthly sales target achievement: 1 out of 6 months on target (April only). Overall achievement 94.30% — below 100% KPI.</w:t>
      </w:r>
    </w:p>
    <w:p>
      <w:pPr>
        <w:pStyle w:val="BodyText"/>
      </w:pPr>
      <w:r>
        <w:rPr>
          <w:rFonts w:ascii="Arial" w:hAnsi="Arial" w:cs="Arial" w:eastAsia="Arial"/>
          <w:b/>
          <w:bCs/>
        </w:rPr>
        <w:t xml:space="preserve">KPI (ii) New corporate accounts: 20 out of 24 target — not achieved.</w:t>
      </w:r>
    </w:p>
    <w:p>
      <w:pPr>
        <w:pStyle w:val="BodyText"/>
      </w:pPr>
      <w:r>
        <w:rPr>
          <w:rFonts w:ascii="Arial" w:hAnsi="Arial" w:cs="Arial" w:eastAsia="Arial"/>
          <w:b/>
          <w:bCs/>
        </w:rPr>
        <w:t xml:space="preserve">KPI (iii) Customer complaints resolved within 7 working days: 95% actual vs 90% target — achieved.</w:t>
      </w:r>
    </w:p>
    <w:p>
      <w:pPr>
        <w:pStyle w:val="BodyText"/>
      </w:pPr>
      <w:r>
        <w:rPr>
          <w:rFonts w:ascii="Arial" w:hAnsi="Arial" w:cs="Arial" w:eastAsia="Arial"/>
        </w:rPr>
        <w:t xml:space="preserve">Budget vs actual spending finding:</w:t>
      </w:r>
      <w:r>
        <w:rPr>
          <w:rFonts w:ascii="Arial" w:hAnsi="Arial" w:cs="Arial" w:eastAsia="Arial"/>
        </w:rPr>
        <w:t xml:space="preserve"> </w:t>
      </w:r>
      <w:r>
        <w:rPr>
          <w:rFonts w:ascii="Arial" w:hAnsi="Arial" w:cs="Arial" w:eastAsia="Arial"/>
          <w:b/>
          <w:bCs/>
        </w:rPr>
        <w:t xml:space="preserve">Actual spending of RM312,000 exceeded the departmental budget of RM300,000 by RM12,000. Staff cost overspent by RM6,000 (RM196,000 actual vs RM190,000 budget). Marketing overspent by RM8,000 (RM78,000 actual vs RM70,000 budget). Administration underspent by RM2,000 (RM38,000 actual vs RM40,000 budget).</w:t>
      </w:r>
    </w:p>
    <w:p>
      <w:pPr>
        <w:pStyle w:val="BodyText"/>
      </w:pPr>
      <w:r>
        <w:rPr>
          <w:rFonts w:ascii="Arial" w:hAnsi="Arial" w:cs="Arial" w:eastAsia="Arial"/>
        </w:rPr>
        <w:t xml:space="preserve">Improvement actions:</w:t>
      </w:r>
    </w:p>
    <w:p>
      <w:pPr>
        <w:pStyle w:val="Compact"/>
        <w:numPr>
          <w:ilvl w:val="0"/>
          <w:numId w:val="1009"/>
        </w:numPr>
      </w:pPr>
      <w:r>
        <w:rPr>
          <w:rFonts w:ascii="Arial" w:hAnsi="Arial" w:cs="Arial" w:eastAsia="Arial"/>
          <w:b/>
          <w:bCs/>
        </w:rPr>
        <w:t xml:space="preserve">Increase corporate account prospecting activities to close the shortfall of 4 new accounts (target 24, actual 20) and achieve the KPI of 24 new accounts for July–December 2026.</w:t>
      </w:r>
    </w:p>
    <w:p>
      <w:pPr>
        <w:pStyle w:val="Compact"/>
        <w:numPr>
          <w:ilvl w:val="0"/>
          <w:numId w:val="1009"/>
        </w:numPr>
      </w:pPr>
      <w:r>
        <w:rPr>
          <w:rFonts w:ascii="Arial" w:hAnsi="Arial" w:cs="Arial" w:eastAsia="Arial"/>
          <w:b/>
          <w:bCs/>
        </w:rPr>
        <w:t xml:space="preserve">Review and control staff cost and marketing expenditure to remain within the approved budget for July–December 2026 — require pre-approval for marketing spend exceeding the monthly allocation.</w:t>
      </w:r>
    </w:p>
    <w:p>
      <w:pPr>
        <w:pStyle w:val="FirstParagraph"/>
      </w:pPr>
      <w:r>
        <w:rPr>
          <w:rFonts w:ascii="Arial" w:hAnsi="Arial" w:cs="Arial" w:eastAsia="Arial"/>
        </w:rPr>
        <w:t xml:space="preserve">Conclusion:</w:t>
      </w:r>
      <w:r>
        <w:rPr>
          <w:rFonts w:ascii="Arial" w:hAnsi="Arial" w:cs="Arial" w:eastAsia="Arial"/>
        </w:rPr>
        <w:t xml:space="preserve"> </w:t>
      </w:r>
      <w:r>
        <w:rPr>
          <w:rFonts w:ascii="Arial" w:hAnsi="Arial" w:cs="Arial" w:eastAsia="Arial"/>
          <w:b/>
          <w:bCs/>
        </w:rPr>
        <w:t xml:space="preserve">The department achieved the customer complaints KPI (95% vs 90% target) but fell short on monthly sales target (94.30%) and new corporate accounts (20 of 24). Departmental spending exceeded budget by RM12,000. Corrective action is required on sales activity and budget control for the second half of 2026.</w:t>
      </w:r>
    </w:p>
    <w:p>
      <w:pPr>
        <w:pStyle w:val="BodyText"/>
      </w:pPr>
      <w:r>
        <w:rPr>
          <w:rFonts w:ascii="Arial" w:hAnsi="Arial" w:cs="Arial" w:eastAsia="Arial"/>
        </w:rPr>
        <w:t xml:space="preserve">Prepared by:</w:t>
      </w:r>
      <w:r>
        <w:rPr>
          <w:rFonts w:ascii="Arial" w:hAnsi="Arial" w:cs="Arial" w:eastAsia="Arial"/>
        </w:rPr>
        <w:t xml:space="preserve"> </w:t>
      </w:r>
      <w:r>
        <w:rPr>
          <w:rFonts w:ascii="Arial" w:hAnsi="Arial" w:cs="Arial" w:eastAsia="Arial"/>
          <w:b/>
          <w:bCs/>
        </w:rPr>
        <w:t xml:space="preserve">[Candidate Name]</w:t>
      </w:r>
      <w:r>
        <w:rPr>
          <w:rFonts w:ascii="Arial" w:hAnsi="Arial" w:cs="Arial" w:eastAsia="Arial"/>
        </w:rPr>
        <w:t xml:space="preserve"> </w:t>
      </w:r>
      <w:r>
        <w:rPr>
          <w:rFonts w:ascii="Arial" w:hAnsi="Arial" w:cs="Arial" w:eastAsia="Arial"/>
        </w:rPr>
        <w:t xml:space="preserve">   Date:</w:t>
      </w:r>
      <w:r>
        <w:rPr>
          <w:rFonts w:ascii="Arial" w:hAnsi="Arial" w:cs="Arial" w:eastAsia="Arial"/>
        </w:rPr>
        <w:t xml:space="preserve"> </w:t>
      </w:r>
      <w:r>
        <w:rPr>
          <w:rFonts w:ascii="Arial" w:hAnsi="Arial" w:cs="Arial" w:eastAsia="Arial"/>
          <w:b/>
          <w:bCs/>
        </w:rPr>
        <w:t xml:space="preserve">[Assessment date]</w:t>
      </w:r>
    </w:p>
    <w:p>
      <w:r>
        <w:rPr>
          <w:rFonts w:ascii="Arial" w:hAnsi="Arial" w:cs="Arial" w:eastAsia="Arial"/>
        </w:rPr>
        <w:pict>
          <v:rect style="width:0;height:1.5pt" o:hralign="center" o:hrstd="t" o:hr="t"/>
        </w:pict>
      </w:r>
    </w:p>
    <w:bookmarkEnd w:id="12"/>
    <w:bookmarkStart w:id="13" w:name="X81a5255be458f42a5f02db027cef6fc96e7d26b"/>
    <w:p>
      <w:pPr>
        <w:pStyle w:val="Heading2"/>
      </w:pPr>
      <w:r>
        <w:rPr>
          <w:rFonts w:ascii="Arial" w:hAnsi="Arial" w:cs="Arial" w:eastAsia="Arial"/>
        </w:rPr>
        <w:t xml:space="preserve">APPENDIX 7 — MARKETING COLLATERAL &amp; DISTRIBUTION RECORD FORM (TUGASAN 5)</w:t>
      </w:r>
    </w:p>
    <w:p>
      <w:pPr>
        <w:pStyle w:val="FirstParagraph"/>
      </w:pPr>
      <w:r>
        <w:rPr>
          <w:rFonts w:ascii="Arial" w:hAnsi="Arial" w:cs="Arial" w:eastAsia="Arial"/>
          <w:b/>
          <w:bCs/>
        </w:rPr>
        <w:t xml:space="preserve">A. COLLATERAL PLANNING</w:t>
      </w:r>
    </w:p>
    <w:p>
      <w:pPr>
        <w:pStyle w:val="BodyText"/>
      </w:pPr>
      <w:r>
        <w:rPr>
          <w:rFonts w:ascii="Arial" w:hAnsi="Arial" w:cs="Arial" w:eastAsia="Arial"/>
        </w:rPr>
        <w:t xml:space="preserve">Type of collateral selected:</w:t>
      </w:r>
      <w:r>
        <w:rPr>
          <w:rFonts w:ascii="Arial" w:hAnsi="Arial" w:cs="Arial" w:eastAsia="Arial"/>
        </w:rPr>
        <w:t xml:space="preserve"> </w:t>
      </w:r>
      <w:r>
        <w:rPr>
          <w:rFonts w:ascii="Arial" w:hAnsi="Arial" w:cs="Arial" w:eastAsia="Arial"/>
          <w:b/>
          <w:bCs/>
        </w:rPr>
        <w:t xml:space="preserve">A4 flyer</w:t>
      </w:r>
    </w:p>
    <w:p>
      <w:pPr>
        <w:pStyle w:val="BodyText"/>
      </w:pPr>
      <w:r>
        <w:rPr>
          <w:rFonts w:ascii="Arial" w:hAnsi="Arial" w:cs="Arial" w:eastAsia="Arial"/>
        </w:rPr>
        <w:t xml:space="preserve">Target audience:</w:t>
      </w:r>
      <w:r>
        <w:rPr>
          <w:rFonts w:ascii="Arial" w:hAnsi="Arial" w:cs="Arial" w:eastAsia="Arial"/>
        </w:rPr>
        <w:t xml:space="preserve"> </w:t>
      </w:r>
      <w:r>
        <w:rPr>
          <w:rFonts w:ascii="Arial" w:hAnsi="Arial" w:cs="Arial" w:eastAsia="Arial"/>
          <w:b/>
          <w:bCs/>
        </w:rPr>
        <w:t xml:space="preserve">Corporate offices, SME headquarters and interior fit-out companies in West Malaysia</w:t>
      </w:r>
    </w:p>
    <w:p>
      <w:pPr>
        <w:pStyle w:val="BodyText"/>
      </w:pPr>
      <w:r>
        <w:rPr>
          <w:rFonts w:ascii="Arial" w:hAnsi="Arial" w:cs="Arial" w:eastAsia="Arial"/>
        </w:rPr>
        <w:t xml:space="preserve">Key product information to be included:</w:t>
      </w:r>
      <w:r>
        <w:rPr>
          <w:rFonts w:ascii="Arial" w:hAnsi="Arial" w:cs="Arial" w:eastAsia="Arial"/>
        </w:rPr>
        <w:t xml:space="preserve"> </w:t>
      </w:r>
      <w:r>
        <w:rPr>
          <w:rFonts w:ascii="Arial" w:hAnsi="Arial" w:cs="Arial" w:eastAsia="Arial"/>
          <w:b/>
          <w:bCs/>
        </w:rPr>
        <w:t xml:space="preserve">ErgoFlex Task Chair — RM850 per unit; adjustable lumbar support; breathable mesh back; 3D adjustable armrest; 5 Years Manufacturer Warranty; bulk delivery within 4 weeks (West Malaysia)</w:t>
      </w:r>
    </w:p>
    <w:p>
      <w:pPr>
        <w:pStyle w:val="BodyText"/>
      </w:pPr>
      <w:r>
        <w:rPr>
          <w:rFonts w:ascii="Arial" w:hAnsi="Arial" w:cs="Arial" w:eastAsia="Arial"/>
        </w:rPr>
        <w:t xml:space="preserve">Method of promotion / distribution and reason:</w:t>
      </w:r>
      <w:r>
        <w:rPr>
          <w:rFonts w:ascii="Arial" w:hAnsi="Arial" w:cs="Arial" w:eastAsia="Arial"/>
        </w:rPr>
        <w:t xml:space="preserve"> </w:t>
      </w:r>
      <w:r>
        <w:rPr>
          <w:rFonts w:ascii="Arial" w:hAnsi="Arial" w:cs="Arial" w:eastAsia="Arial"/>
          <w:b/>
          <w:bCs/>
        </w:rPr>
        <w:t xml:space="preserve">Email to corporate prospect list and physical distribution at corporate trade events — to reach decision-makers in the target corporate buyer segment efficiently.</w:t>
      </w:r>
    </w:p>
    <w:p>
      <w:pPr>
        <w:pStyle w:val="BodyText"/>
      </w:pPr>
      <w:r>
        <w:rPr>
          <w:rFonts w:ascii="Arial" w:hAnsi="Arial" w:cs="Arial" w:eastAsia="Arial"/>
          <w:b/>
          <w:bCs/>
        </w:rPr>
        <w:t xml:space="preserve">B. MARKETING COLLATERAL</w:t>
      </w:r>
    </w:p>
    <w:p>
      <w:pPr>
        <w:pStyle w:val="BodyText"/>
      </w:pPr>
      <w:r>
        <w:rPr>
          <w:rFonts w:ascii="Arial" w:hAnsi="Arial" w:cs="Arial" w:eastAsia="Arial"/>
          <w:i/>
          <w:iCs/>
        </w:rPr>
        <w:t xml:space="preserve">(Model collateral — examiner reference; any collateral with accurate product information, correct selling price, at least three selling points and a valid enquiry method is acceptable.)</w:t>
      </w:r>
    </w:p>
    <w:p>
      <w:r>
        <w:rPr>
          <w:rFonts w:ascii="Arial" w:hAnsi="Arial" w:cs="Arial" w:eastAsia="Arial"/>
        </w:rPr>
        <w:pict>
          <v:rect style="width:0;height:1.5pt" o:hralign="center" o:hrstd="t" o:hr="t"/>
        </w:pict>
      </w:r>
    </w:p>
    <w:p>
      <w:pPr>
        <w:pStyle w:val="BlockText"/>
      </w:pPr>
      <w:r>
        <w:rPr>
          <w:rFonts w:ascii="Arial" w:hAnsi="Arial" w:cs="Arial" w:eastAsia="Arial"/>
          <w:b/>
          <w:bCs/>
        </w:rPr>
        <w:t xml:space="preserve">SURIA ERGONOMIK OFFICE SDN. BHD.</w:t>
      </w:r>
      <w:r>
        <w:rPr>
          <w:rFonts w:ascii="Arial" w:hAnsi="Arial" w:cs="Arial" w:eastAsia="Arial"/>
        </w:rPr>
        <w:t xml:space="preserve"> </w:t>
      </w:r>
      <w:r>
        <w:rPr>
          <w:rFonts w:ascii="Arial" w:hAnsi="Arial" w:cs="Arial" w:eastAsia="Arial"/>
        </w:rPr>
        <w:t xml:space="preserve">Shah Alam, Selangor</w:t>
      </w:r>
    </w:p>
    <w:p>
      <w:pPr>
        <w:pStyle w:val="BlockText"/>
      </w:pPr>
      <w:r>
        <w:rPr>
          <w:rFonts w:ascii="Arial" w:hAnsi="Arial" w:cs="Arial" w:eastAsia="Arial"/>
          <w:b/>
          <w:bCs/>
        </w:rPr>
        <w:t xml:space="preserve">Introducing the ErgoFlex Task Chair — Ergonomic Comfort for Your Corporate Office</w:t>
      </w:r>
    </w:p>
    <w:p>
      <w:pPr>
        <w:pStyle w:val="BlockText"/>
      </w:pPr>
      <w:r>
        <w:rPr>
          <w:rFonts w:ascii="Arial" w:hAnsi="Arial" w:cs="Arial" w:eastAsia="Arial"/>
          <w:b/>
          <w:bCs/>
        </w:rPr>
        <w:t xml:space="preserve">Price: RM850 per unit</w:t>
      </w:r>
    </w:p>
    <w:p>
      <w:pPr>
        <w:pStyle w:val="BlockText"/>
      </w:pPr>
      <w:r>
        <w:rPr>
          <w:rFonts w:ascii="Arial" w:hAnsi="Arial" w:cs="Arial" w:eastAsia="Arial"/>
        </w:rPr>
        <w:t xml:space="preserve">✓ Adjustable lumbar support for all-day back comfort</w:t>
      </w:r>
      <w:r>
        <w:rPr>
          <w:rFonts w:ascii="Arial" w:hAnsi="Arial" w:cs="Arial" w:eastAsia="Arial"/>
        </w:rPr>
        <w:t xml:space="preserve"> </w:t>
      </w:r>
      <w:r>
        <w:rPr>
          <w:rFonts w:ascii="Arial" w:hAnsi="Arial" w:cs="Arial" w:eastAsia="Arial"/>
        </w:rPr>
        <w:t xml:space="preserve">✓ Breathable mesh back for airflow and reduced fatigue</w:t>
      </w:r>
      <w:r>
        <w:rPr>
          <w:rFonts w:ascii="Arial" w:hAnsi="Arial" w:cs="Arial" w:eastAsia="Arial"/>
        </w:rPr>
        <w:t xml:space="preserve"> </w:t>
      </w:r>
      <w:r>
        <w:rPr>
          <w:rFonts w:ascii="Arial" w:hAnsi="Arial" w:cs="Arial" w:eastAsia="Arial"/>
        </w:rPr>
        <w:t xml:space="preserve">✓ 3D adjustable armrest and seat-height adjustment</w:t>
      </w:r>
      <w:r>
        <w:rPr>
          <w:rFonts w:ascii="Arial" w:hAnsi="Arial" w:cs="Arial" w:eastAsia="Arial"/>
        </w:rPr>
        <w:t xml:space="preserve"> </w:t>
      </w:r>
      <w:r>
        <w:rPr>
          <w:rFonts w:ascii="Arial" w:hAnsi="Arial" w:cs="Arial" w:eastAsia="Arial"/>
        </w:rPr>
        <w:t xml:space="preserve">✓ 5 Years Manufacturer Warranty</w:t>
      </w:r>
      <w:r>
        <w:rPr>
          <w:rFonts w:ascii="Arial" w:hAnsi="Arial" w:cs="Arial" w:eastAsia="Arial"/>
        </w:rPr>
        <w:t xml:space="preserve"> </w:t>
      </w:r>
      <w:r>
        <w:rPr>
          <w:rFonts w:ascii="Arial" w:hAnsi="Arial" w:cs="Arial" w:eastAsia="Arial"/>
        </w:rPr>
        <w:t xml:space="preserve">✓ Bulk delivery within 4 weeks (West Malaysia)</w:t>
      </w:r>
    </w:p>
    <w:p>
      <w:pPr>
        <w:pStyle w:val="BlockText"/>
      </w:pPr>
      <w:r>
        <w:rPr>
          <w:rFonts w:ascii="Arial" w:hAnsi="Arial" w:cs="Arial" w:eastAsia="Arial"/>
          <w:b/>
          <w:bCs/>
        </w:rPr>
        <w:t xml:space="preserve">Enquiries: Company Website | Corporate Sales Email | Showroom Visit by Appointment</w:t>
      </w:r>
    </w:p>
    <w:p>
      <w:pPr>
        <w:pStyle w:val="BlockText"/>
      </w:pPr>
      <w:r>
        <w:rPr>
          <w:rFonts w:ascii="Arial" w:hAnsi="Arial" w:cs="Arial" w:eastAsia="Arial"/>
          <w:i/>
          <w:iCs/>
        </w:rPr>
        <w:t xml:space="preserve">New Launch — Now Available for Corporate Orders</w:t>
      </w:r>
    </w:p>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C. DISTRIBUTION RECORD</w:t>
      </w:r>
    </w:p>
    <w:p>
      <w:pPr>
        <w:pStyle w:val="BodyText"/>
      </w:pPr>
      <w:r>
        <w:rPr>
          <w:rFonts w:ascii="Arial" w:hAnsi="Arial" w:cs="Arial" w:eastAsia="Arial"/>
        </w:rPr>
        <w:t xml:space="preserve">Date:</w:t>
      </w:r>
      <w:r>
        <w:rPr>
          <w:rFonts w:ascii="Arial" w:hAnsi="Arial" w:cs="Arial" w:eastAsia="Arial"/>
        </w:rPr>
        <w:t xml:space="preserve"> </w:t>
      </w:r>
      <w:r>
        <w:rPr>
          <w:rFonts w:ascii="Arial" w:hAnsi="Arial" w:cs="Arial" w:eastAsia="Arial"/>
          <w:b/>
          <w:bCs/>
        </w:rPr>
        <w:t xml:space="preserve">[Assessment date]</w:t>
      </w:r>
    </w:p>
    <w:p>
      <w:pPr>
        <w:pStyle w:val="BodyText"/>
      </w:pPr>
      <w:r>
        <w:rPr>
          <w:rFonts w:ascii="Arial" w:hAnsi="Arial" w:cs="Arial" w:eastAsia="Arial"/>
        </w:rPr>
        <w:t xml:space="preserve">Type of collateral:</w:t>
      </w:r>
      <w:r>
        <w:rPr>
          <w:rFonts w:ascii="Arial" w:hAnsi="Arial" w:cs="Arial" w:eastAsia="Arial"/>
        </w:rPr>
        <w:t xml:space="preserve"> </w:t>
      </w:r>
      <w:r>
        <w:rPr>
          <w:rFonts w:ascii="Arial" w:hAnsi="Arial" w:cs="Arial" w:eastAsia="Arial"/>
          <w:b/>
          <w:bCs/>
        </w:rPr>
        <w:t xml:space="preserve">A4 flyer — ErgoFlex Task Chair launch</w:t>
      </w:r>
    </w:p>
    <w:p>
      <w:pPr>
        <w:pStyle w:val="BodyText"/>
      </w:pPr>
      <w:r>
        <w:rPr>
          <w:rFonts w:ascii="Arial" w:hAnsi="Arial" w:cs="Arial" w:eastAsia="Arial"/>
        </w:rPr>
        <w:t xml:space="preserve">Quantity distributed:</w:t>
      </w:r>
      <w:r>
        <w:rPr>
          <w:rFonts w:ascii="Arial" w:hAnsi="Arial" w:cs="Arial" w:eastAsia="Arial"/>
        </w:rPr>
        <w:t xml:space="preserve"> </w:t>
      </w:r>
      <w:r>
        <w:rPr>
          <w:rFonts w:ascii="Arial" w:hAnsi="Arial" w:cs="Arial" w:eastAsia="Arial"/>
          <w:b/>
          <w:bCs/>
        </w:rPr>
        <w:t xml:space="preserve">[As stated by candidate]</w:t>
      </w:r>
    </w:p>
    <w:p>
      <w:pPr>
        <w:pStyle w:val="BodyText"/>
      </w:pPr>
      <w:r>
        <w:rPr>
          <w:rFonts w:ascii="Arial" w:hAnsi="Arial" w:cs="Arial" w:eastAsia="Arial"/>
        </w:rPr>
        <w:t xml:space="preserve">Distribution channel / recipient:</w:t>
      </w:r>
      <w:r>
        <w:rPr>
          <w:rFonts w:ascii="Arial" w:hAnsi="Arial" w:cs="Arial" w:eastAsia="Arial"/>
        </w:rPr>
        <w:t xml:space="preserve"> </w:t>
      </w:r>
      <w:r>
        <w:rPr>
          <w:rFonts w:ascii="Arial" w:hAnsi="Arial" w:cs="Arial" w:eastAsia="Arial"/>
          <w:b/>
          <w:bCs/>
        </w:rPr>
        <w:t xml:space="preserve">Corporate prospect email list and corporate trade event participants</w:t>
      </w:r>
    </w:p>
    <w:p>
      <w:pPr>
        <w:pStyle w:val="BodyText"/>
      </w:pPr>
      <w:r>
        <w:rPr>
          <w:rFonts w:ascii="Arial" w:hAnsi="Arial" w:cs="Arial" w:eastAsia="Arial"/>
        </w:rPr>
        <w:t xml:space="preserve">Recorded by:</w:t>
      </w:r>
      <w:r>
        <w:rPr>
          <w:rFonts w:ascii="Arial" w:hAnsi="Arial" w:cs="Arial" w:eastAsia="Arial"/>
        </w:rPr>
        <w:t xml:space="preserve"> </w:t>
      </w:r>
      <w:r>
        <w:rPr>
          <w:rFonts w:ascii="Arial" w:hAnsi="Arial" w:cs="Arial" w:eastAsia="Arial"/>
          <w:b/>
          <w:bCs/>
        </w:rPr>
        <w:t xml:space="preserve">[Candidate Name]</w:t>
      </w:r>
    </w:p>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FB-018-45:2012/2026/A/01 — TAMAT</w:t>
      </w:r>
    </w:p>
    <w:bookmarkEnd w:id="13"/>
    <w:bookmarkEnd w:id="14"/>
    <w:sectPr w:rsidR="00FC693F" w:rsidRPr="0006063C" w:rsidSect="00034616">
      <w:headerReference w:type="default" r:id="rId9"/>
      <w:footerReference w:type="default" r:id="rId10"/>
      <w:pgSz w:h="16838" w:w="11906"/>
      <w:pgMar w:bottom="1417" w:footer="720" w:gutter="0" w:header="720" w:left="1417"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rial" w:hAnsi="Arial" w:cs="Arial" w:eastAsia="Arial"/>
        <w:b/>
        <w:sz w:val="18"/>
      </w:rPr>
      <w:t>FB-018-45:2012/2026/A/01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jc w:val="left"/>
    </w:pPr>
    <w:rPr>
      <w:rFonts w:ascii="Arial" w:cs="Arial" w:eastAsia="Arial" w:hAnsi="Arial"/>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jc w:val="left"/>
      <w:outlineLvl w:val="0"/>
    </w:pPr>
    <w:rPr>
      <w:rFonts w:ascii="Arial" w:asciiTheme="majorHAnsi" w:cs="Arial" w:cstheme="majorBidi" w:eastAsia="Arial" w:eastAsiaTheme="majorEastAsia" w:hAnsi="Arial"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120" w:before="240"/>
      <w:jc w:val="left"/>
      <w:outlineLvl w:val="1"/>
    </w:pPr>
    <w:rPr>
      <w:rFonts w:ascii="Arial" w:asciiTheme="majorHAnsi" w:cs="Arial" w:cstheme="majorBidi" w:eastAsia="Arial" w:eastAsiaTheme="majorEastAsia" w:hAnsi="Arial" w:hAnsiTheme="majorHAnsi"/>
      <w:b/>
      <w:bCs/>
      <w:color w:val="000000"/>
      <w:sz w:val="26"/>
      <w:szCs w:val="26"/>
    </w:rPr>
  </w:style>
  <w:style w:styleId="Heading3" w:type="paragraph">
    <w:name w:val="heading 3"/>
    <w:basedOn w:val="Normal"/>
    <w:next w:val="Normal"/>
    <w:link w:val="Heading3Char"/>
    <w:uiPriority w:val="9"/>
    <w:unhideWhenUsed/>
    <w:qFormat/>
    <w:rsid w:val="00FC693F"/>
    <w:pPr>
      <w:keepNext/>
      <w:keepLines/>
      <w:spacing w:after="120" w:before="240"/>
      <w:jc w:val="left"/>
      <w:outlineLvl w:val="2"/>
    </w:pPr>
    <w:rPr>
      <w:rFonts w:ascii="Arial" w:asciiTheme="majorHAnsi" w:cs="Arial" w:cstheme="majorBidi" w:eastAsia="Arial" w:eastAsiaTheme="majorEastAsia" w:hAnsi="Arial" w:hAnsiTheme="majorHAnsi"/>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120" w:before="240"/>
      <w:jc w:val="left"/>
      <w:outlineLvl w:val="3"/>
    </w:pPr>
    <w:rPr>
      <w:rFonts w:ascii="Arial" w:asciiTheme="majorHAnsi" w:cs="Arial" w:cstheme="majorBidi" w:eastAsia="Arial" w:eastAsiaTheme="majorEastAsia" w:hAnsi="Arial" w:hAnsiTheme="majorHAnsi"/>
      <w:b/>
      <w:bCs/>
      <w:i/>
      <w:iCs/>
      <w:color w:val="000000"/>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2026-08-25T10:09:41Z</dcterms:created>
  <dcterms:modified xsi:type="dcterms:W3CDTF">2026-08-25T10:09:41Z</dcterms:modified>
</cp:coreProperties>
</file>

<file path=docProps/custom.xml><?xml version="1.0" encoding="utf-8"?>
<Properties xmlns="http://schemas.openxmlformats.org/officeDocument/2006/custom-properties" xmlns:vt="http://schemas.openxmlformats.org/officeDocument/2006/docPropsVTypes"/>
</file>