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assessment-answer-sheet-model-answer"/>
    <w:p>
      <w:pPr>
        <w:pStyle w:val="Heading1"/>
      </w:pPr>
      <w:r>
        <w:rPr>
          <w:rFonts w:ascii="Arial" w:hAnsi="Arial" w:cs="Arial" w:eastAsia="Arial"/>
        </w:rPr>
        <w:t xml:space="preserve">ASSESSMENT ANSWER SHEET (MODEL ANSWER)</w:t>
      </w:r>
    </w:p>
    <w:p>
      <w:pPr>
        <w:pStyle w:val="BlockText"/>
      </w:pPr>
      <w:r>
        <w:rPr>
          <w:rFonts w:ascii="Arial" w:hAnsi="Arial" w:cs="Arial" w:eastAsia="Arial"/>
          <w:b/>
          <w:bCs/>
        </w:rPr>
        <w:t xml:space="preserve">Examiner’s Reference — Model Answer.</w:t>
      </w:r>
      <w:r>
        <w:rPr>
          <w:rFonts w:ascii="Arial" w:hAnsi="Arial" w:cs="Arial" w:eastAsia="Arial"/>
        </w:rPr>
        <w:t xml:space="preserve"> </w:t>
      </w:r>
      <w:r>
        <w:rPr>
          <w:rFonts w:ascii="Arial" w:hAnsi="Arial" w:cs="Arial" w:eastAsia="Arial"/>
        </w:rPr>
        <w:t xml:space="preserve">This document reproduces Appendices 3 to 7 of the SOALAN with the correct answers filled in. Text in</w:t>
      </w:r>
      <w:r>
        <w:rPr>
          <w:rFonts w:ascii="Arial" w:hAnsi="Arial" w:cs="Arial" w:eastAsia="Arial"/>
        </w:rPr>
        <w:t xml:space="preserve"> </w:t>
      </w:r>
      <w:r>
        <w:rPr>
          <w:rFonts w:ascii="Arial" w:hAnsi="Arial" w:cs="Arial" w:eastAsia="Arial"/>
          <w:b/>
          <w:bCs/>
        </w:rPr>
        <w:t xml:space="preserve">bold</w:t>
      </w:r>
      <w:r>
        <w:rPr>
          <w:rFonts w:ascii="Arial" w:hAnsi="Arial" w:cs="Arial" w:eastAsia="Arial"/>
        </w:rPr>
        <w:t xml:space="preserve"> </w:t>
      </w:r>
      <w:r>
        <w:rPr>
          <w:rFonts w:ascii="Arial" w:hAnsi="Arial" w:cs="Arial" w:eastAsia="Arial"/>
        </w:rPr>
        <w:t xml:space="preserve">is the model answer. Equivalent data-supported responses are acceptable where indicated.</w:t>
      </w:r>
    </w:p>
    <w:p>
      <w:r>
        <w:rPr>
          <w:rFonts w:ascii="Arial" w:hAnsi="Arial" w:cs="Arial" w:eastAsia="Arial"/>
        </w:rPr>
        <w:pict>
          <v:rect style="width:0;height:1.5pt" o:hralign="center" o:hrstd="t" o:hr="t"/>
        </w:pict>
      </w:r>
    </w:p>
    <w:bookmarkStart w:id="9" w:name="Xa5a896c7e732fd8c974d63f8c005db1059bd2ee"/>
    <w:p>
      <w:pPr>
        <w:pStyle w:val="Heading2"/>
      </w:pPr>
      <w:r>
        <w:rPr>
          <w:rFonts w:ascii="Arial" w:hAnsi="Arial" w:cs="Arial" w:eastAsia="Arial"/>
        </w:rPr>
        <w:t xml:space="preserve">APPENDIX 3 — PRODUCT &amp; MARKET ANALYSIS FORM (TUGASAN 1)</w:t>
      </w:r>
    </w:p>
    <w:p>
      <w:pPr>
        <w:pStyle w:val="FirstParagraph"/>
      </w:pPr>
      <w:r>
        <w:rPr>
          <w:rFonts w:ascii="Arial" w:hAnsi="Arial" w:cs="Arial" w:eastAsia="Arial"/>
          <w:b/>
          <w:bCs/>
        </w:rPr>
        <w:t xml:space="preserve">A. SOURCE OF INFORMATION</w:t>
      </w:r>
    </w:p>
    <w:p>
      <w:pPr>
        <w:pStyle w:val="Compact"/>
        <w:numPr>
          <w:ilvl w:val="0"/>
          <w:numId w:val="1001"/>
        </w:numPr>
      </w:pPr>
      <w:r>
        <w:rPr>
          <w:rFonts w:ascii="Arial" w:hAnsi="Arial" w:cs="Arial" w:eastAsia="Arial"/>
          <w:b/>
          <w:bCs/>
        </w:rPr>
        <w:t xml:space="preserve">Appendix 1: Company and Product Information Sheet (product specifications, selling price, warranty, delivery capacity)</w:t>
      </w:r>
    </w:p>
    <w:p>
      <w:pPr>
        <w:pStyle w:val="Compact"/>
        <w:numPr>
          <w:ilvl w:val="0"/>
          <w:numId w:val="1001"/>
        </w:numPr>
      </w:pPr>
      <w:r>
        <w:rPr>
          <w:rFonts w:ascii="Arial" w:hAnsi="Arial" w:cs="Arial" w:eastAsia="Arial"/>
          <w:b/>
          <w:bCs/>
        </w:rPr>
        <w:t xml:space="preserve">Appendix 2 section A: Unit Cost Structure (BOM, direct labour, logistics, advertising &amp; promotion, total unit cost)</w:t>
      </w:r>
    </w:p>
    <w:p>
      <w:pPr>
        <w:pStyle w:val="Compact"/>
        <w:numPr>
          <w:ilvl w:val="0"/>
          <w:numId w:val="1001"/>
        </w:numPr>
      </w:pPr>
      <w:r>
        <w:rPr>
          <w:rFonts w:ascii="Arial" w:hAnsi="Arial" w:cs="Arial" w:eastAsia="Arial"/>
          <w:b/>
          <w:bCs/>
        </w:rPr>
        <w:t xml:space="preserve">Appendix 2 sections B and C: Competitor Price &amp; Features Matrix and F&amp;B Operator Survey Summary (15 café / restaurant operators)</w:t>
      </w:r>
    </w:p>
    <w:p>
      <w:pPr>
        <w:pStyle w:val="FirstParagraph"/>
      </w:pPr>
      <w:r>
        <w:rPr>
          <w:rFonts w:ascii="Arial" w:hAnsi="Arial" w:cs="Arial" w:eastAsia="Arial"/>
          <w:b/>
          <w:bCs/>
        </w:rPr>
        <w:t xml:space="preserve">B. PRODUCT ATTRIBUTES &amp; FUNCTIONALITY</w:t>
      </w:r>
    </w:p>
    <w:p>
      <w:pPr>
        <w:pStyle w:val="BodyText"/>
      </w:pPr>
      <w:r>
        <w:rPr>
          <w:rFonts w:ascii="Arial" w:hAnsi="Arial" w:cs="Arial" w:eastAsia="Arial"/>
        </w:rPr>
        <w:t xml:space="preserve">PrimaChef Convection Oven:</w:t>
      </w:r>
    </w:p>
    <w:p>
      <w:pPr>
        <w:pStyle w:val="Compact"/>
        <w:numPr>
          <w:ilvl w:val="0"/>
          <w:numId w:val="1002"/>
        </w:numPr>
      </w:pPr>
      <w:r>
        <w:rPr>
          <w:rFonts w:ascii="Arial" w:hAnsi="Arial" w:cs="Arial" w:eastAsia="Arial"/>
          <w:b/>
          <w:bCs/>
        </w:rPr>
        <w:t xml:space="preserve">4-tray capacity for commercial baking</w:t>
      </w:r>
    </w:p>
    <w:p>
      <w:pPr>
        <w:pStyle w:val="Compact"/>
        <w:numPr>
          <w:ilvl w:val="0"/>
          <w:numId w:val="1002"/>
        </w:numPr>
      </w:pPr>
      <w:r>
        <w:rPr>
          <w:rFonts w:ascii="Arial" w:hAnsi="Arial" w:cs="Arial" w:eastAsia="Arial"/>
          <w:b/>
          <w:bCs/>
        </w:rPr>
        <w:t xml:space="preserve">Digital temperature control for precise cooking</w:t>
      </w:r>
    </w:p>
    <w:p>
      <w:pPr>
        <w:pStyle w:val="Compact"/>
        <w:numPr>
          <w:ilvl w:val="0"/>
          <w:numId w:val="1002"/>
        </w:numPr>
      </w:pPr>
      <w:r>
        <w:rPr>
          <w:rFonts w:ascii="Arial" w:hAnsi="Arial" w:cs="Arial" w:eastAsia="Arial"/>
          <w:b/>
          <w:bCs/>
        </w:rPr>
        <w:t xml:space="preserve">Twin-fan air circulation for even heat distribution</w:t>
      </w:r>
    </w:p>
    <w:p>
      <w:pPr>
        <w:pStyle w:val="FirstParagraph"/>
      </w:pPr>
      <w:r>
        <w:rPr>
          <w:rFonts w:ascii="Arial" w:hAnsi="Arial" w:cs="Arial" w:eastAsia="Arial"/>
          <w:i/>
          <w:iCs/>
        </w:rPr>
        <w:t xml:space="preserve">(At least three attributes from Appendix 1 accepted. Fourth acceptable attribute: 2 Years Warranty with On-Site Service; stainless steel cooking chamber.)</w:t>
      </w:r>
    </w:p>
    <w:p>
      <w:pPr>
        <w:pStyle w:val="BodyText"/>
      </w:pPr>
      <w:r>
        <w:rPr>
          <w:rFonts w:ascii="Arial" w:hAnsi="Arial" w:cs="Arial" w:eastAsia="Arial"/>
        </w:rPr>
        <w:t xml:space="preserve">PrimaChef Combi Oven:</w:t>
      </w:r>
    </w:p>
    <w:p>
      <w:pPr>
        <w:pStyle w:val="Compact"/>
        <w:numPr>
          <w:ilvl w:val="0"/>
          <w:numId w:val="1003"/>
        </w:numPr>
      </w:pPr>
      <w:r>
        <w:rPr>
          <w:rFonts w:ascii="Arial" w:hAnsi="Arial" w:cs="Arial" w:eastAsia="Arial"/>
          <w:b/>
          <w:bCs/>
        </w:rPr>
        <w:t xml:space="preserve">10-tray capacity for high-volume commercial kitchen use</w:t>
      </w:r>
    </w:p>
    <w:p>
      <w:pPr>
        <w:pStyle w:val="Compact"/>
        <w:numPr>
          <w:ilvl w:val="0"/>
          <w:numId w:val="1003"/>
        </w:numPr>
      </w:pPr>
      <w:r>
        <w:rPr>
          <w:rFonts w:ascii="Arial" w:hAnsi="Arial" w:cs="Arial" w:eastAsia="Arial"/>
          <w:b/>
          <w:bCs/>
        </w:rPr>
        <w:t xml:space="preserve">Combination steam &amp; convection cooking modes</w:t>
      </w:r>
    </w:p>
    <w:p>
      <w:pPr>
        <w:pStyle w:val="Compact"/>
        <w:numPr>
          <w:ilvl w:val="0"/>
          <w:numId w:val="1003"/>
        </w:numPr>
      </w:pPr>
      <w:r>
        <w:rPr>
          <w:rFonts w:ascii="Arial" w:hAnsi="Arial" w:cs="Arial" w:eastAsia="Arial"/>
          <w:b/>
          <w:bCs/>
        </w:rPr>
        <w:t xml:space="preserve">Programmable cooking menus and automatic self-cleaning function</w:t>
      </w:r>
    </w:p>
    <w:p>
      <w:pPr>
        <w:pStyle w:val="FirstParagraph"/>
      </w:pPr>
      <w:r>
        <w:rPr>
          <w:rFonts w:ascii="Arial" w:hAnsi="Arial" w:cs="Arial" w:eastAsia="Arial"/>
          <w:i/>
          <w:iCs/>
        </w:rPr>
        <w:t xml:space="preserve">(At least three attributes from Appendix 1 accepted. Fourth acceptable attribute: 2 Years Warranty with On-Site Service.)</w:t>
      </w:r>
    </w:p>
    <w:p>
      <w:pPr>
        <w:pStyle w:val="BodyText"/>
      </w:pPr>
      <w:r>
        <w:rPr>
          <w:rFonts w:ascii="Arial" w:hAnsi="Arial" w:cs="Arial" w:eastAsia="Arial"/>
          <w:b/>
          <w:bCs/>
        </w:rPr>
        <w:t xml:space="preserve">C. PRICE &amp; FEATURES COMPARISON AND PROFIT MARGIN</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574"/>
        <w:gridCol w:w="2041"/>
        <w:gridCol w:w="1807"/>
        <w:gridCol w:w="1838"/>
        <w:gridCol w:w="1807"/>
      </w:tblGrid>
      <w:tr>
        <w:trPr>
          <w:tblHeader w:val="on"/>
          <w:cantSplit/>
        </w:trPr>
        <w:tc>
          <w:tcPr>
            <w:tcW w:type="dxa" w:w="157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ITEM</w:t>
            </w:r>
          </w:p>
        </w:tc>
        <w:tc>
          <w:tcPr>
            <w:tcW w:type="dxa" w:w="204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Convection Oven</w:t>
            </w:r>
          </w:p>
        </w:tc>
        <w:tc>
          <w:tcPr>
            <w:tcW w:type="dxa" w:w="180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Competitor 1 (BakeMaster C40)</w:t>
            </w:r>
          </w:p>
        </w:tc>
        <w:tc>
          <w:tcPr>
            <w:tcW w:type="dxa" w:w="183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Combi Oven</w:t>
            </w:r>
          </w:p>
        </w:tc>
        <w:tc>
          <w:tcPr>
            <w:tcW w:type="dxa" w:w="180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Competitor 2 (OvenTech CB-12)</w:t>
            </w:r>
          </w:p>
        </w:tc>
      </w:tr>
      <w:tr>
        <w:trPr>
          <w:cantSplit/>
        </w:trPr>
        <w:tc>
          <w:tcPr>
            <w:tcW w:type="dxa" w:w="157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Selling Price (RM)</w:t>
            </w:r>
          </w:p>
        </w:tc>
        <w:tc>
          <w:tcPr>
            <w:tcW w:type="dxa" w:w="204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6,800</w:t>
            </w:r>
          </w:p>
        </w:tc>
        <w:tc>
          <w:tcPr>
            <w:tcW w:type="dxa" w:w="180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6,200</w:t>
            </w:r>
          </w:p>
        </w:tc>
        <w:tc>
          <w:tcPr>
            <w:tcW w:type="dxa" w:w="183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12,500</w:t>
            </w:r>
          </w:p>
        </w:tc>
        <w:tc>
          <w:tcPr>
            <w:tcW w:type="dxa" w:w="180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11,800</w:t>
            </w:r>
          </w:p>
        </w:tc>
      </w:tr>
      <w:tr>
        <w:trPr>
          <w:cantSplit/>
        </w:trPr>
        <w:tc>
          <w:tcPr>
            <w:tcW w:type="dxa" w:w="157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Warranty</w:t>
            </w:r>
          </w:p>
        </w:tc>
        <w:tc>
          <w:tcPr>
            <w:tcW w:type="dxa" w:w="204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 years</w:t>
            </w:r>
          </w:p>
        </w:tc>
        <w:tc>
          <w:tcPr>
            <w:tcW w:type="dxa" w:w="180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 year</w:t>
            </w:r>
          </w:p>
        </w:tc>
        <w:tc>
          <w:tcPr>
            <w:tcW w:type="dxa" w:w="183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 years</w:t>
            </w:r>
          </w:p>
        </w:tc>
        <w:tc>
          <w:tcPr>
            <w:tcW w:type="dxa" w:w="180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 year</w:t>
            </w:r>
          </w:p>
        </w:tc>
      </w:tr>
      <w:tr>
        <w:trPr>
          <w:cantSplit/>
        </w:trPr>
        <w:tc>
          <w:tcPr>
            <w:tcW w:type="dxa" w:w="157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Main Feature Advantage</w:t>
            </w:r>
          </w:p>
        </w:tc>
        <w:tc>
          <w:tcPr>
            <w:tcW w:type="dxa" w:w="204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On-site service; digital temp control</w:t>
            </w:r>
          </w:p>
        </w:tc>
        <w:tc>
          <w:tcPr>
            <w:tcW w:type="dxa" w:w="180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No on-site service</w:t>
            </w:r>
          </w:p>
        </w:tc>
        <w:tc>
          <w:tcPr>
            <w:tcW w:type="dxa" w:w="183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On-site service; self-cleaning</w:t>
            </w:r>
          </w:p>
        </w:tc>
        <w:tc>
          <w:tcPr>
            <w:tcW w:type="dxa" w:w="180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No on-site service</w:t>
            </w:r>
          </w:p>
        </w:tc>
      </w:tr>
      <w:tr>
        <w:trPr>
          <w:cantSplit/>
        </w:trPr>
        <w:tc>
          <w:tcPr>
            <w:tcW w:type="dxa" w:w="157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Total Unit Cost (RM)</w:t>
            </w:r>
          </w:p>
        </w:tc>
        <w:tc>
          <w:tcPr>
            <w:tcW w:type="dxa" w:w="204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4,760</w:t>
            </w:r>
          </w:p>
        </w:tc>
        <w:tc>
          <w:tcPr>
            <w:tcW w:type="dxa" w:w="18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183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8,250</w:t>
            </w:r>
          </w:p>
        </w:tc>
        <w:tc>
          <w:tcPr>
            <w:tcW w:type="dxa" w:w="18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r>
      <w:tr>
        <w:trPr>
          <w:cantSplit/>
        </w:trPr>
        <w:tc>
          <w:tcPr>
            <w:tcW w:type="dxa" w:w="157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Profit (RM)</w:t>
            </w:r>
          </w:p>
        </w:tc>
        <w:tc>
          <w:tcPr>
            <w:tcW w:type="dxa" w:w="204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2,040</w:t>
            </w:r>
          </w:p>
        </w:tc>
        <w:tc>
          <w:tcPr>
            <w:tcW w:type="dxa" w:w="18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183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4,250</w:t>
            </w:r>
          </w:p>
        </w:tc>
        <w:tc>
          <w:tcPr>
            <w:tcW w:type="dxa" w:w="18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r>
      <w:tr>
        <w:trPr>
          <w:cantSplit/>
        </w:trPr>
        <w:tc>
          <w:tcPr>
            <w:tcW w:type="dxa" w:w="157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Profit Margin (%)</w:t>
            </w:r>
          </w:p>
        </w:tc>
        <w:tc>
          <w:tcPr>
            <w:tcW w:type="dxa" w:w="204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30.00%</w:t>
            </w:r>
          </w:p>
        </w:tc>
        <w:tc>
          <w:tcPr>
            <w:tcW w:type="dxa" w:w="18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183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34.00%</w:t>
            </w:r>
          </w:p>
        </w:tc>
        <w:tc>
          <w:tcPr>
            <w:tcW w:type="dxa" w:w="18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r>
    </w:tbl>
    <w:p>
      <w:pPr>
        <w:pStyle w:val="BodyText"/>
      </w:pPr>
      <w:r>
        <w:rPr>
          <w:rFonts w:ascii="Arial" w:hAnsi="Arial" w:cs="Arial" w:eastAsia="Arial"/>
          <w:i/>
          <w:iCs/>
        </w:rPr>
        <w:t xml:space="preserve">Working:</w:t>
      </w:r>
      <w:r>
        <w:rPr>
          <w:rFonts w:ascii="Arial" w:hAnsi="Arial" w:cs="Arial" w:eastAsia="Arial"/>
        </w:rPr>
        <w:t xml:space="preserve"> </w:t>
      </w:r>
      <w:r>
        <w:rPr>
          <w:rFonts w:ascii="Arial" w:hAnsi="Arial" w:cs="Arial" w:eastAsia="Arial"/>
        </w:rPr>
        <w:t xml:space="preserve">-</w:t>
      </w:r>
      <w:r>
        <w:rPr>
          <w:rFonts w:ascii="Arial" w:hAnsi="Arial" w:cs="Arial" w:eastAsia="Arial"/>
        </w:rPr>
        <w:t xml:space="preserve"> </w:t>
      </w:r>
      <w:r>
        <w:rPr>
          <w:rFonts w:ascii="Arial" w:hAnsi="Arial" w:cs="Arial" w:eastAsia="Arial"/>
          <w:i/>
          <w:iCs/>
        </w:rPr>
        <w:t xml:space="preserve">Convection profit: RM6,800 − RM4,760 = RM2,040; margin: RM2,040 ÷ RM6,800 × 100 = 30.00%</w:t>
      </w:r>
      <w:r>
        <w:rPr>
          <w:rFonts w:ascii="Arial" w:hAnsi="Arial" w:cs="Arial" w:eastAsia="Arial"/>
        </w:rPr>
        <w:t xml:space="preserve"> </w:t>
      </w:r>
      <w:r>
        <w:rPr>
          <w:rFonts w:ascii="Arial" w:hAnsi="Arial" w:cs="Arial" w:eastAsia="Arial"/>
        </w:rPr>
        <w:t xml:space="preserve">-</w:t>
      </w:r>
      <w:r>
        <w:rPr>
          <w:rFonts w:ascii="Arial" w:hAnsi="Arial" w:cs="Arial" w:eastAsia="Arial"/>
        </w:rPr>
        <w:t xml:space="preserve"> </w:t>
      </w:r>
      <w:r>
        <w:rPr>
          <w:rFonts w:ascii="Arial" w:hAnsi="Arial" w:cs="Arial" w:eastAsia="Arial"/>
          <w:i/>
          <w:iCs/>
        </w:rPr>
        <w:t xml:space="preserve">Combi profit: RM12,500 − RM8,250 = RM4,250; margin: RM4,250 ÷ RM12,500 × 100 = 34.00%</w:t>
      </w:r>
    </w:p>
    <w:p>
      <w:pPr>
        <w:pStyle w:val="BodyText"/>
      </w:pPr>
      <w:r>
        <w:rPr>
          <w:rFonts w:ascii="Arial" w:hAnsi="Arial" w:cs="Arial" w:eastAsia="Arial"/>
          <w:b/>
          <w:bCs/>
        </w:rPr>
        <w:t xml:space="preserve">D. TARGET MARKET</w:t>
      </w:r>
    </w:p>
    <w:p>
      <w:pPr>
        <w:pStyle w:val="BodyText"/>
      </w:pPr>
      <w:r>
        <w:rPr>
          <w:rFonts w:ascii="Arial" w:hAnsi="Arial" w:cs="Arial" w:eastAsia="Arial"/>
        </w:rPr>
        <w:t xml:space="preserve">Target Market:</w:t>
      </w:r>
      <w:r>
        <w:rPr>
          <w:rFonts w:ascii="Arial" w:hAnsi="Arial" w:cs="Arial" w:eastAsia="Arial"/>
        </w:rPr>
        <w:t xml:space="preserve"> </w:t>
      </w:r>
      <w:r>
        <w:rPr>
          <w:rFonts w:ascii="Arial" w:hAnsi="Arial" w:cs="Arial" w:eastAsia="Arial"/>
          <w:b/>
          <w:bCs/>
        </w:rPr>
        <w:t xml:space="preserve">Café chains, restaurant groups and hotel kitchens in West Malaysia (Johor and surrounding areas) requiring commercial kitchen ovens.</w:t>
      </w:r>
    </w:p>
    <w:p>
      <w:pPr>
        <w:pStyle w:val="BodyText"/>
      </w:pPr>
      <w:r>
        <w:rPr>
          <w:rFonts w:ascii="Arial" w:hAnsi="Arial" w:cs="Arial" w:eastAsia="Arial"/>
        </w:rPr>
        <w:t xml:space="preserve">Justification:</w:t>
      </w:r>
      <w:r>
        <w:rPr>
          <w:rFonts w:ascii="Arial" w:hAnsi="Arial" w:cs="Arial" w:eastAsia="Arial"/>
        </w:rPr>
        <w:t xml:space="preserve"> </w:t>
      </w:r>
      <w:r>
        <w:rPr>
          <w:rFonts w:ascii="Arial" w:hAnsi="Arial" w:cs="Arial" w:eastAsia="Arial"/>
          <w:b/>
          <w:bCs/>
        </w:rPr>
        <w:t xml:space="preserve">60% of the 15 F&amp;B operators surveyed are café chains or restaurant groups, and 80% identified multi-function ovens for baking and cooking as their main product need. 80% expressed purchase interest within 6 months.</w:t>
      </w:r>
    </w:p>
    <w:p>
      <w:pPr>
        <w:pStyle w:val="BodyText"/>
      </w:pPr>
      <w:r>
        <w:rPr>
          <w:rFonts w:ascii="Arial" w:hAnsi="Arial" w:cs="Arial" w:eastAsia="Arial"/>
          <w:b/>
          <w:bCs/>
        </w:rPr>
        <w:t xml:space="preserve">E. MARKET DEMAND &amp; CUSTOMER EXPECTATIONS</w:t>
      </w:r>
    </w:p>
    <w:p>
      <w:pPr>
        <w:pStyle w:val="Compact"/>
        <w:numPr>
          <w:ilvl w:val="0"/>
          <w:numId w:val="1004"/>
        </w:numPr>
      </w:pPr>
      <w:r>
        <w:rPr>
          <w:rFonts w:ascii="Arial" w:hAnsi="Arial" w:cs="Arial" w:eastAsia="Arial"/>
          <w:b/>
          <w:bCs/>
        </w:rPr>
        <w:t xml:space="preserve">80% of F&amp;B operators require a multi-function oven for baking and cooking — both PrimaChef products address this primary need.</w:t>
      </w:r>
    </w:p>
    <w:p>
      <w:pPr>
        <w:pStyle w:val="Compact"/>
        <w:numPr>
          <w:ilvl w:val="0"/>
          <w:numId w:val="1004"/>
        </w:numPr>
      </w:pPr>
      <w:r>
        <w:rPr>
          <w:rFonts w:ascii="Arial" w:hAnsi="Arial" w:cs="Arial" w:eastAsia="Arial"/>
          <w:b/>
          <w:bCs/>
        </w:rPr>
        <w:t xml:space="preserve">80% of operators expect on-site installation and staff training — PrimaChef’s 2 Years Warranty with On-Site Service directly meets this expectation.</w:t>
      </w:r>
    </w:p>
    <w:p>
      <w:pPr>
        <w:pStyle w:val="Compact"/>
        <w:numPr>
          <w:ilvl w:val="0"/>
          <w:numId w:val="1004"/>
        </w:numPr>
      </w:pPr>
      <w:r>
        <w:rPr>
          <w:rFonts w:ascii="Arial" w:hAnsi="Arial" w:cs="Arial" w:eastAsia="Arial"/>
          <w:b/>
          <w:bCs/>
        </w:rPr>
        <w:t xml:space="preserve">60% of operators require service response within 48 hours — the company’s on-site service offering addresses this operational requirement.</w:t>
      </w:r>
    </w:p>
    <w:p>
      <w:pPr>
        <w:pStyle w:val="FirstParagraph"/>
      </w:pPr>
      <w:r>
        <w:rPr>
          <w:rFonts w:ascii="Arial" w:hAnsi="Arial" w:cs="Arial" w:eastAsia="Arial"/>
          <w:i/>
          <w:iCs/>
        </w:rPr>
        <w:t xml:space="preserve">(Additional acceptable finding: 60% of convection oven buyers budget RM6,000–RM7,000, within which PrimaChef Convection Oven at RM6,800 falls.)</w:t>
      </w:r>
    </w:p>
    <w:p>
      <w:pPr>
        <w:pStyle w:val="BodyText"/>
      </w:pPr>
      <w:r>
        <w:rPr>
          <w:rFonts w:ascii="Arial" w:hAnsi="Arial" w:cs="Arial" w:eastAsia="Arial"/>
          <w:b/>
          <w:bCs/>
        </w:rPr>
        <w:t xml:space="preserve">F. ANALYSIS SUMMARY</w:t>
      </w:r>
    </w:p>
    <w:p>
      <w:pPr>
        <w:pStyle w:val="BodyText"/>
      </w:pPr>
      <w:r>
        <w:rPr>
          <w:rFonts w:ascii="Arial" w:hAnsi="Arial" w:cs="Arial" w:eastAsia="Arial"/>
          <w:b/>
          <w:bCs/>
        </w:rPr>
        <w:t xml:space="preserve">The PrimaChef Convection Oven (RM6,800) is priced higher than Competitor 1 (BakeMaster C40 at RM6,200) but offers superior warranty (2 years vs 1 year) and on-site service. Profit margin is 30.00%. The PrimaChef Combi Oven (RM12,500) is priced slightly above Competitor 2 (OvenTech CB-12 at RM11,800) but offers on-site service, programmable menus and self-cleaning — strong differentiation. Profit margin is 34.00%.</w:t>
      </w:r>
    </w:p>
    <w:p>
      <w:pPr>
        <w:pStyle w:val="BodyText"/>
      </w:pPr>
      <w:r>
        <w:rPr>
          <w:rFonts w:ascii="Arial" w:hAnsi="Arial" w:cs="Arial" w:eastAsia="Arial"/>
          <w:b/>
          <w:bCs/>
        </w:rPr>
        <w:t xml:space="preserve">The primary target market is café chains and restaurant groups. Market demand is strong — 80% expressed purchase interest within 6 months. Both products meet the key customer expectations of multi-function capability, on-site service and 48-hour service response.</w:t>
      </w:r>
    </w:p>
    <w:p>
      <w:r>
        <w:rPr>
          <w:rFonts w:ascii="Arial" w:hAnsi="Arial" w:cs="Arial" w:eastAsia="Arial"/>
        </w:rPr>
        <w:pict>
          <v:rect style="width:0;height:1.5pt" o:hralign="center" o:hrstd="t" o:hr="t"/>
        </w:pict>
      </w:r>
    </w:p>
    <w:bookmarkEnd w:id="9"/>
    <w:bookmarkStart w:id="10" w:name="X9a1000147f3861e8e173ce3b8bd703c0a3993c3"/>
    <w:p>
      <w:pPr>
        <w:pStyle w:val="Heading2"/>
      </w:pPr>
      <w:r>
        <w:rPr>
          <w:rFonts w:ascii="Arial" w:hAnsi="Arial" w:cs="Arial" w:eastAsia="Arial"/>
        </w:rPr>
        <w:t xml:space="preserve">APPENDIX 4 — CORPORATE QUOTATION &amp; PROPOSAL FORM (TUGASAN 2)</w:t>
      </w:r>
    </w:p>
    <w:p>
      <w:pPr>
        <w:pStyle w:val="FirstParagraph"/>
      </w:pPr>
      <w:r>
        <w:rPr>
          <w:rFonts w:ascii="Arial" w:hAnsi="Arial" w:cs="Arial" w:eastAsia="Arial"/>
          <w:b/>
          <w:bCs/>
        </w:rPr>
        <w:t xml:space="preserve">A. CUSTOMER’S NEEDS &amp; REQUIREMENTS</w:t>
      </w:r>
    </w:p>
    <w:p>
      <w:pPr>
        <w:pStyle w:val="Compact"/>
        <w:numPr>
          <w:ilvl w:val="0"/>
          <w:numId w:val="1005"/>
        </w:numPr>
      </w:pPr>
      <w:r>
        <w:rPr>
          <w:rFonts w:ascii="Arial" w:hAnsi="Arial" w:cs="Arial" w:eastAsia="Arial"/>
          <w:b/>
          <w:bCs/>
        </w:rPr>
        <w:t xml:space="preserve">12 units of PrimaChef Convection Oven (two units per outlet, six outlets in Johor).</w:t>
      </w:r>
    </w:p>
    <w:p>
      <w:pPr>
        <w:pStyle w:val="Compact"/>
        <w:numPr>
          <w:ilvl w:val="0"/>
          <w:numId w:val="1005"/>
        </w:numPr>
      </w:pPr>
      <w:r>
        <w:rPr>
          <w:rFonts w:ascii="Arial" w:hAnsi="Arial" w:cs="Arial" w:eastAsia="Arial"/>
          <w:b/>
          <w:bCs/>
        </w:rPr>
        <w:t xml:space="preserve">Delivery and installation at six outlet locations in Johor within 3 weeks of order confirmation.</w:t>
      </w:r>
    </w:p>
    <w:p>
      <w:pPr>
        <w:pStyle w:val="Compact"/>
        <w:numPr>
          <w:ilvl w:val="0"/>
          <w:numId w:val="1005"/>
        </w:numPr>
      </w:pPr>
      <w:r>
        <w:rPr>
          <w:rFonts w:ascii="Arial" w:hAnsi="Arial" w:cs="Arial" w:eastAsia="Arial"/>
          <w:b/>
          <w:bCs/>
        </w:rPr>
        <w:t xml:space="preserve">2-year warranty with on-site service for all units.</w:t>
      </w:r>
    </w:p>
    <w:p>
      <w:pPr>
        <w:pStyle w:val="FirstParagraph"/>
      </w:pPr>
      <w:r>
        <w:rPr>
          <w:rFonts w:ascii="Arial" w:hAnsi="Arial" w:cs="Arial" w:eastAsia="Arial"/>
          <w:i/>
          <w:iCs/>
        </w:rPr>
        <w:t xml:space="preserve">(Additional needs: 30-day quotation validity; bulk discount of up to 5%; payment terms of 50% deposit upon confirmation, balance upon completion of installation.)</w:t>
      </w:r>
    </w:p>
    <w:p>
      <w:pPr>
        <w:pStyle w:val="BodyText"/>
      </w:pPr>
      <w:r>
        <w:rPr>
          <w:rFonts w:ascii="Arial" w:hAnsi="Arial" w:cs="Arial" w:eastAsia="Arial"/>
          <w:b/>
          <w:bCs/>
        </w:rPr>
        <w:t xml:space="preserve">B. QUOTATION</w:t>
      </w:r>
    </w:p>
    <w:p>
      <w:pPr>
        <w:pStyle w:val="BodyText"/>
      </w:pPr>
      <w:r>
        <w:rPr>
          <w:rFonts w:ascii="Arial" w:hAnsi="Arial" w:cs="Arial" w:eastAsia="Arial"/>
        </w:rPr>
        <w:t xml:space="preserve">Quotation No.:</w:t>
      </w:r>
      <w:r>
        <w:rPr>
          <w:rFonts w:ascii="Arial" w:hAnsi="Arial" w:cs="Arial" w:eastAsia="Arial"/>
        </w:rPr>
        <w:t xml:space="preserve"> </w:t>
      </w:r>
      <w:r>
        <w:rPr>
          <w:rFonts w:ascii="Arial" w:hAnsi="Arial" w:cs="Arial" w:eastAsia="Arial"/>
          <w:b/>
          <w:bCs/>
        </w:rPr>
        <w:t xml:space="preserve">Q-2026-001</w:t>
      </w:r>
      <w:r>
        <w:rPr>
          <w:rFonts w:ascii="Arial" w:hAnsi="Arial" w:cs="Arial" w:eastAsia="Arial"/>
        </w:rPr>
        <w:t xml:space="preserve"> </w:t>
      </w:r>
      <w:r>
        <w:rPr>
          <w:rFonts w:ascii="Arial" w:hAnsi="Arial" w:cs="Arial" w:eastAsia="Arial"/>
        </w:rPr>
        <w:t xml:space="preserve">   Date:</w:t>
      </w:r>
      <w:r>
        <w:rPr>
          <w:rFonts w:ascii="Arial" w:hAnsi="Arial" w:cs="Arial" w:eastAsia="Arial"/>
        </w:rPr>
        <w:t xml:space="preserve"> </w:t>
      </w:r>
      <w:r>
        <w:rPr>
          <w:rFonts w:ascii="Arial" w:hAnsi="Arial" w:cs="Arial" w:eastAsia="Arial"/>
          <w:b/>
          <w:bCs/>
        </w:rPr>
        <w:t xml:space="preserve">[Assessment date]</w:t>
      </w:r>
    </w:p>
    <w:p>
      <w:pPr>
        <w:pStyle w:val="BodyText"/>
      </w:pPr>
      <w:r>
        <w:rPr>
          <w:rFonts w:ascii="Arial" w:hAnsi="Arial" w:cs="Arial" w:eastAsia="Arial"/>
        </w:rPr>
        <w:t xml:space="preserve">Customer:</w:t>
      </w:r>
      <w:r>
        <w:rPr>
          <w:rFonts w:ascii="Arial" w:hAnsi="Arial" w:cs="Arial" w:eastAsia="Arial"/>
        </w:rPr>
        <w:t xml:space="preserve"> </w:t>
      </w:r>
      <w:r>
        <w:rPr>
          <w:rFonts w:ascii="Arial" w:hAnsi="Arial" w:cs="Arial" w:eastAsia="Arial"/>
          <w:b/>
          <w:bCs/>
        </w:rPr>
        <w:t xml:space="preserve">Kopi Selatan F&amp;B Group</w:t>
      </w:r>
    </w:p>
    <w:p>
      <w:pPr>
        <w:pStyle w:val="BodyText"/>
      </w:pPr>
      <w:r>
        <w:rPr>
          <w:rFonts w:ascii="Arial" w:hAnsi="Arial" w:cs="Arial" w:eastAsia="Arial"/>
        </w:rPr>
        <w:t xml:space="preserve">Project / Delivery Address:</w:t>
      </w:r>
      <w:r>
        <w:rPr>
          <w:rFonts w:ascii="Arial" w:hAnsi="Arial" w:cs="Arial" w:eastAsia="Arial"/>
        </w:rPr>
        <w:t xml:space="preserve"> </w:t>
      </w:r>
      <w:r>
        <w:rPr>
          <w:rFonts w:ascii="Arial" w:hAnsi="Arial" w:cs="Arial" w:eastAsia="Arial"/>
          <w:b/>
          <w:bCs/>
        </w:rPr>
        <w:t xml:space="preserve">Six outlet locations in Johor</w:t>
      </w:r>
    </w:p>
    <w:p>
      <w:pPr>
        <w:pStyle w:val="BodyText"/>
      </w:pPr>
      <w:r>
        <w:rPr>
          <w:rFonts w:ascii="Arial" w:hAnsi="Arial" w:cs="Arial" w:eastAsia="Arial"/>
        </w:rPr>
        <w:t xml:space="preserve">Item 1 — Model:</w:t>
      </w:r>
      <w:r>
        <w:rPr>
          <w:rFonts w:ascii="Arial" w:hAnsi="Arial" w:cs="Arial" w:eastAsia="Arial"/>
        </w:rPr>
        <w:t xml:space="preserve"> </w:t>
      </w:r>
      <w:r>
        <w:rPr>
          <w:rFonts w:ascii="Arial" w:hAnsi="Arial" w:cs="Arial" w:eastAsia="Arial"/>
          <w:b/>
          <w:bCs/>
        </w:rPr>
        <w:t xml:space="preserve">PrimaChef Convection Oven</w:t>
      </w:r>
      <w:r>
        <w:rPr>
          <w:rFonts w:ascii="Arial" w:hAnsi="Arial" w:cs="Arial" w:eastAsia="Arial"/>
        </w:rPr>
        <w:t xml:space="preserve"> </w:t>
      </w:r>
      <w:r>
        <w:rPr>
          <w:rFonts w:ascii="Arial" w:hAnsi="Arial" w:cs="Arial" w:eastAsia="Arial"/>
        </w:rPr>
        <w:t xml:space="preserve">Quantity:</w:t>
      </w:r>
      <w:r>
        <w:rPr>
          <w:rFonts w:ascii="Arial" w:hAnsi="Arial" w:cs="Arial" w:eastAsia="Arial"/>
        </w:rPr>
        <w:t xml:space="preserve"> </w:t>
      </w:r>
      <w:r>
        <w:rPr>
          <w:rFonts w:ascii="Arial" w:hAnsi="Arial" w:cs="Arial" w:eastAsia="Arial"/>
          <w:b/>
          <w:bCs/>
        </w:rPr>
        <w:t xml:space="preserve">12</w:t>
      </w:r>
      <w:r>
        <w:rPr>
          <w:rFonts w:ascii="Arial" w:hAnsi="Arial" w:cs="Arial" w:eastAsia="Arial"/>
        </w:rPr>
        <w:t xml:space="preserve"> </w:t>
      </w:r>
      <w:r>
        <w:rPr>
          <w:rFonts w:ascii="Arial" w:hAnsi="Arial" w:cs="Arial" w:eastAsia="Arial"/>
        </w:rPr>
        <w:t xml:space="preserve">Unit Price (RM):</w:t>
      </w:r>
      <w:r>
        <w:rPr>
          <w:rFonts w:ascii="Arial" w:hAnsi="Arial" w:cs="Arial" w:eastAsia="Arial"/>
        </w:rPr>
        <w:t xml:space="preserve"> </w:t>
      </w:r>
      <w:r>
        <w:rPr>
          <w:rFonts w:ascii="Arial" w:hAnsi="Arial" w:cs="Arial" w:eastAsia="Arial"/>
          <w:b/>
          <w:bCs/>
        </w:rPr>
        <w:t xml:space="preserve">6,800</w:t>
      </w:r>
      <w:r>
        <w:rPr>
          <w:rFonts w:ascii="Arial" w:hAnsi="Arial" w:cs="Arial" w:eastAsia="Arial"/>
        </w:rPr>
        <w:t xml:space="preserve"> </w:t>
      </w:r>
      <w:r>
        <w:rPr>
          <w:rFonts w:ascii="Arial" w:hAnsi="Arial" w:cs="Arial" w:eastAsia="Arial"/>
        </w:rPr>
        <w:t xml:space="preserve">Total (RM):</w:t>
      </w:r>
      <w:r>
        <w:rPr>
          <w:rFonts w:ascii="Arial" w:hAnsi="Arial" w:cs="Arial" w:eastAsia="Arial"/>
        </w:rPr>
        <w:t xml:space="preserve"> </w:t>
      </w:r>
      <w:r>
        <w:rPr>
          <w:rFonts w:ascii="Arial" w:hAnsi="Arial" w:cs="Arial" w:eastAsia="Arial"/>
          <w:b/>
          <w:bCs/>
        </w:rPr>
        <w:t xml:space="preserve">81,600</w:t>
      </w:r>
    </w:p>
    <w:p>
      <w:pPr>
        <w:pStyle w:val="BodyText"/>
      </w:pPr>
      <w:r>
        <w:rPr>
          <w:rFonts w:ascii="Arial" w:hAnsi="Arial" w:cs="Arial" w:eastAsia="Arial"/>
        </w:rPr>
        <w:t xml:space="preserve">Item 2 (jika berkaitan) — Model:</w:t>
      </w:r>
      <w:r>
        <w:rPr>
          <w:rFonts w:ascii="Arial" w:hAnsi="Arial" w:cs="Arial" w:eastAsia="Arial"/>
        </w:rPr>
        <w:t xml:space="preserve"> </w:t>
      </w:r>
      <w:r>
        <w:rPr>
          <w:rFonts w:ascii="Arial" w:hAnsi="Arial" w:cs="Arial" w:eastAsia="Arial"/>
          <w:b/>
          <w:bCs/>
        </w:rPr>
        <w:t xml:space="preserve">—</w:t>
      </w:r>
      <w:r>
        <w:rPr>
          <w:rFonts w:ascii="Arial" w:hAnsi="Arial" w:cs="Arial" w:eastAsia="Arial"/>
        </w:rPr>
        <w:t xml:space="preserve"> </w:t>
      </w:r>
      <w:r>
        <w:rPr>
          <w:rFonts w:ascii="Arial" w:hAnsi="Arial" w:cs="Arial" w:eastAsia="Arial"/>
        </w:rPr>
        <w:t xml:space="preserve">Quantity:</w:t>
      </w:r>
      <w:r>
        <w:rPr>
          <w:rFonts w:ascii="Arial" w:hAnsi="Arial" w:cs="Arial" w:eastAsia="Arial"/>
        </w:rPr>
        <w:t xml:space="preserve"> </w:t>
      </w:r>
      <w:r>
        <w:rPr>
          <w:rFonts w:ascii="Arial" w:hAnsi="Arial" w:cs="Arial" w:eastAsia="Arial"/>
          <w:b/>
          <w:bCs/>
        </w:rPr>
        <w:t xml:space="preserve">—</w:t>
      </w:r>
      <w:r>
        <w:rPr>
          <w:rFonts w:ascii="Arial" w:hAnsi="Arial" w:cs="Arial" w:eastAsia="Arial"/>
        </w:rPr>
        <w:t xml:space="preserve"> </w:t>
      </w:r>
      <w:r>
        <w:rPr>
          <w:rFonts w:ascii="Arial" w:hAnsi="Arial" w:cs="Arial" w:eastAsia="Arial"/>
        </w:rPr>
        <w:t xml:space="preserve">Unit Price (RM):</w:t>
      </w:r>
      <w:r>
        <w:rPr>
          <w:rFonts w:ascii="Arial" w:hAnsi="Arial" w:cs="Arial" w:eastAsia="Arial"/>
        </w:rPr>
        <w:t xml:space="preserve"> </w:t>
      </w:r>
      <w:r>
        <w:rPr>
          <w:rFonts w:ascii="Arial" w:hAnsi="Arial" w:cs="Arial" w:eastAsia="Arial"/>
          <w:b/>
          <w:bCs/>
        </w:rPr>
        <w:t xml:space="preserve">—</w:t>
      </w:r>
      <w:r>
        <w:rPr>
          <w:rFonts w:ascii="Arial" w:hAnsi="Arial" w:cs="Arial" w:eastAsia="Arial"/>
        </w:rPr>
        <w:t xml:space="preserve"> </w:t>
      </w:r>
      <w:r>
        <w:rPr>
          <w:rFonts w:ascii="Arial" w:hAnsi="Arial" w:cs="Arial" w:eastAsia="Arial"/>
        </w:rPr>
        <w:t xml:space="preserve">Total (RM):</w:t>
      </w:r>
      <w:r>
        <w:rPr>
          <w:rFonts w:ascii="Arial" w:hAnsi="Arial" w:cs="Arial" w:eastAsia="Arial"/>
        </w:rPr>
        <w:t xml:space="preserve"> </w:t>
      </w:r>
      <w:r>
        <w:rPr>
          <w:rFonts w:ascii="Arial" w:hAnsi="Arial" w:cs="Arial" w:eastAsia="Arial"/>
          <w:b/>
          <w:bCs/>
        </w:rPr>
        <w:t xml:space="preserve">—</w:t>
      </w:r>
    </w:p>
    <w:p>
      <w:pPr>
        <w:pStyle w:val="BodyText"/>
      </w:pPr>
      <w:r>
        <w:rPr>
          <w:rFonts w:ascii="Arial" w:hAnsi="Arial" w:cs="Arial" w:eastAsia="Arial"/>
        </w:rPr>
        <w:t xml:space="preserve">Subtotal (RM):</w:t>
      </w:r>
      <w:r>
        <w:rPr>
          <w:rFonts w:ascii="Arial" w:hAnsi="Arial" w:cs="Arial" w:eastAsia="Arial"/>
        </w:rPr>
        <w:t xml:space="preserve"> </w:t>
      </w:r>
      <w:r>
        <w:rPr>
          <w:rFonts w:ascii="Arial" w:hAnsi="Arial" w:cs="Arial" w:eastAsia="Arial"/>
          <w:b/>
          <w:bCs/>
        </w:rPr>
        <w:t xml:space="preserve">81,600</w:t>
      </w:r>
      <w:r>
        <w:rPr>
          <w:rFonts w:ascii="Arial" w:hAnsi="Arial" w:cs="Arial" w:eastAsia="Arial"/>
        </w:rPr>
        <w:t xml:space="preserve"> </w:t>
      </w:r>
      <w:r>
        <w:rPr>
          <w:rFonts w:ascii="Arial" w:hAnsi="Arial" w:cs="Arial" w:eastAsia="Arial"/>
        </w:rPr>
        <w:t xml:space="preserve">   Discount (5%):</w:t>
      </w:r>
      <w:r>
        <w:rPr>
          <w:rFonts w:ascii="Arial" w:hAnsi="Arial" w:cs="Arial" w:eastAsia="Arial"/>
        </w:rPr>
        <w:t xml:space="preserve"> </w:t>
      </w:r>
      <w:r>
        <w:rPr>
          <w:rFonts w:ascii="Arial" w:hAnsi="Arial" w:cs="Arial" w:eastAsia="Arial"/>
          <w:b/>
          <w:bCs/>
        </w:rPr>
        <w:t xml:space="preserve">RM4,080</w:t>
      </w:r>
      <w:r>
        <w:rPr>
          <w:rFonts w:ascii="Arial" w:hAnsi="Arial" w:cs="Arial" w:eastAsia="Arial"/>
        </w:rPr>
        <w:t xml:space="preserve"> </w:t>
      </w:r>
      <w:r>
        <w:rPr>
          <w:rFonts w:ascii="Arial" w:hAnsi="Arial" w:cs="Arial" w:eastAsia="Arial"/>
        </w:rPr>
        <w:t xml:space="preserve">   Grand Total (RM):</w:t>
      </w:r>
      <w:r>
        <w:rPr>
          <w:rFonts w:ascii="Arial" w:hAnsi="Arial" w:cs="Arial" w:eastAsia="Arial"/>
        </w:rPr>
        <w:t xml:space="preserve"> </w:t>
      </w:r>
      <w:r>
        <w:rPr>
          <w:rFonts w:ascii="Arial" w:hAnsi="Arial" w:cs="Arial" w:eastAsia="Arial"/>
          <w:b/>
          <w:bCs/>
        </w:rPr>
        <w:t xml:space="preserve">RM77,520</w:t>
      </w:r>
    </w:p>
    <w:p>
      <w:pPr>
        <w:pStyle w:val="BodyText"/>
      </w:pPr>
      <w:r>
        <w:rPr>
          <w:rFonts w:ascii="Arial" w:hAnsi="Arial" w:cs="Arial" w:eastAsia="Arial"/>
        </w:rPr>
        <w:t xml:space="preserve">Delivery &amp; Installation Terms:</w:t>
      </w:r>
      <w:r>
        <w:rPr>
          <w:rFonts w:ascii="Arial" w:hAnsi="Arial" w:cs="Arial" w:eastAsia="Arial"/>
        </w:rPr>
        <w:t xml:space="preserve"> </w:t>
      </w:r>
      <w:r>
        <w:rPr>
          <w:rFonts w:ascii="Arial" w:hAnsi="Arial" w:cs="Arial" w:eastAsia="Arial"/>
          <w:b/>
          <w:bCs/>
        </w:rPr>
        <w:t xml:space="preserve">Delivery and installation at six outlet locations in Johor within 3 weeks of order confirmation</w:t>
      </w:r>
    </w:p>
    <w:p>
      <w:pPr>
        <w:pStyle w:val="BodyText"/>
      </w:pPr>
      <w:r>
        <w:rPr>
          <w:rFonts w:ascii="Arial" w:hAnsi="Arial" w:cs="Arial" w:eastAsia="Arial"/>
        </w:rPr>
        <w:t xml:space="preserve">Warranty:</w:t>
      </w:r>
      <w:r>
        <w:rPr>
          <w:rFonts w:ascii="Arial" w:hAnsi="Arial" w:cs="Arial" w:eastAsia="Arial"/>
        </w:rPr>
        <w:t xml:space="preserve"> </w:t>
      </w:r>
      <w:r>
        <w:rPr>
          <w:rFonts w:ascii="Arial" w:hAnsi="Arial" w:cs="Arial" w:eastAsia="Arial"/>
          <w:b/>
          <w:bCs/>
        </w:rPr>
        <w:t xml:space="preserve">2 Years Warranty with On-Site Service — all 12 units</w:t>
      </w:r>
      <w:r>
        <w:rPr>
          <w:rFonts w:ascii="Arial" w:hAnsi="Arial" w:cs="Arial" w:eastAsia="Arial"/>
        </w:rPr>
        <w:t xml:space="preserve"> </w:t>
      </w:r>
      <w:r>
        <w:rPr>
          <w:rFonts w:ascii="Arial" w:hAnsi="Arial" w:cs="Arial" w:eastAsia="Arial"/>
        </w:rPr>
        <w:t xml:space="preserve">   Payment Terms:</w:t>
      </w:r>
      <w:r>
        <w:rPr>
          <w:rFonts w:ascii="Arial" w:hAnsi="Arial" w:cs="Arial" w:eastAsia="Arial"/>
        </w:rPr>
        <w:t xml:space="preserve"> </w:t>
      </w:r>
      <w:r>
        <w:rPr>
          <w:rFonts w:ascii="Arial" w:hAnsi="Arial" w:cs="Arial" w:eastAsia="Arial"/>
          <w:b/>
          <w:bCs/>
        </w:rPr>
        <w:t xml:space="preserve">50% deposit upon confirmation; balance upon completion of installation</w:t>
      </w:r>
    </w:p>
    <w:p>
      <w:pPr>
        <w:pStyle w:val="BodyText"/>
      </w:pPr>
      <w:r>
        <w:rPr>
          <w:rFonts w:ascii="Arial" w:hAnsi="Arial" w:cs="Arial" w:eastAsia="Arial"/>
        </w:rPr>
        <w:t xml:space="preserve">Quotation Validity:</w:t>
      </w:r>
      <w:r>
        <w:rPr>
          <w:rFonts w:ascii="Arial" w:hAnsi="Arial" w:cs="Arial" w:eastAsia="Arial"/>
        </w:rPr>
        <w:t xml:space="preserve"> </w:t>
      </w:r>
      <w:r>
        <w:rPr>
          <w:rFonts w:ascii="Arial" w:hAnsi="Arial" w:cs="Arial" w:eastAsia="Arial"/>
          <w:b/>
          <w:bCs/>
        </w:rPr>
        <w:t xml:space="preserve">30 days</w:t>
      </w:r>
    </w:p>
    <w:p>
      <w:pPr>
        <w:pStyle w:val="BodyText"/>
      </w:pPr>
      <w:r>
        <w:rPr>
          <w:rFonts w:ascii="Arial" w:hAnsi="Arial" w:cs="Arial" w:eastAsia="Arial"/>
          <w:i/>
          <w:iCs/>
        </w:rPr>
        <w:t xml:space="preserve">Working: 12 × RM6,800 = RM81,600. Discount 5%: RM81,600 × 5% = RM4,080. Grand Total: RM81,600 − RM4,080 = RM77,520.</w:t>
      </w:r>
    </w:p>
    <w:p>
      <w:pPr>
        <w:pStyle w:val="BodyText"/>
      </w:pPr>
      <w:r>
        <w:rPr>
          <w:rFonts w:ascii="Arial" w:hAnsi="Arial" w:cs="Arial" w:eastAsia="Arial"/>
          <w:b/>
          <w:bCs/>
        </w:rPr>
        <w:t xml:space="preserve">C. SHORT PROPOSAL</w:t>
      </w:r>
    </w:p>
    <w:p>
      <w:pPr>
        <w:pStyle w:val="Compact"/>
        <w:numPr>
          <w:ilvl w:val="0"/>
          <w:numId w:val="1006"/>
        </w:numPr>
      </w:pPr>
      <w:r>
        <w:rPr>
          <w:rFonts w:ascii="Arial" w:hAnsi="Arial" w:cs="Arial" w:eastAsia="Arial"/>
          <w:b/>
          <w:bCs/>
        </w:rPr>
        <w:t xml:space="preserve">Price: 12 units of PrimaChef Convection Oven are offered at RM6,800 per unit. A 5% bulk discount has been applied, reducing the grand total from RM81,600 to RM77,520 — a saving of RM4,080 for the customer.</w:t>
      </w:r>
    </w:p>
    <w:p>
      <w:pPr>
        <w:pStyle w:val="Compact"/>
        <w:numPr>
          <w:ilvl w:val="0"/>
          <w:numId w:val="1006"/>
        </w:numPr>
      </w:pPr>
      <w:r>
        <w:rPr>
          <w:rFonts w:ascii="Arial" w:hAnsi="Arial" w:cs="Arial" w:eastAsia="Arial"/>
          <w:b/>
          <w:bCs/>
        </w:rPr>
        <w:t xml:space="preserve">Delivery &amp; Installation: Delivery and installation will be completed at all six Johor outlet locations within 3 weeks of order confirmation, meeting the customer’s delivery timeline and installation requirements.</w:t>
      </w:r>
    </w:p>
    <w:p>
      <w:pPr>
        <w:pStyle w:val="Compact"/>
        <w:numPr>
          <w:ilvl w:val="0"/>
          <w:numId w:val="1006"/>
        </w:numPr>
      </w:pPr>
      <w:r>
        <w:rPr>
          <w:rFonts w:ascii="Arial" w:hAnsi="Arial" w:cs="Arial" w:eastAsia="Arial"/>
          <w:b/>
          <w:bCs/>
        </w:rPr>
        <w:t xml:space="preserve">Specification: All 12 units carry a 2 Years Warranty with On-Site Service, meeting the customer’s warranty and on-site service requirements. The 4-tray digital convection oven is suitable for commercial baking across all outlet types.</w:t>
      </w:r>
    </w:p>
    <w:p>
      <w:r>
        <w:rPr>
          <w:rFonts w:ascii="Arial" w:hAnsi="Arial" w:cs="Arial" w:eastAsia="Arial"/>
        </w:rPr>
        <w:pict>
          <v:rect style="width:0;height:1.5pt" o:hralign="center" o:hrstd="t" o:hr="t"/>
        </w:pict>
      </w:r>
    </w:p>
    <w:bookmarkEnd w:id="10"/>
    <w:bookmarkStart w:id="11" w:name="X504d1c676a6cd733d827d75cca4d42ec8ad50de"/>
    <w:p>
      <w:pPr>
        <w:pStyle w:val="Heading2"/>
      </w:pPr>
      <w:r>
        <w:rPr>
          <w:rFonts w:ascii="Arial" w:hAnsi="Arial" w:cs="Arial" w:eastAsia="Arial"/>
        </w:rPr>
        <w:t xml:space="preserve">APPENDIX 5 — SALES PROJECTION &amp; PERFORMANCE EVALUATION FORM (TUGASAN 3)</w:t>
      </w:r>
    </w:p>
    <w:p>
      <w:pPr>
        <w:pStyle w:val="FirstParagraph"/>
      </w:pPr>
      <w:r>
        <w:rPr>
          <w:rFonts w:ascii="Arial" w:hAnsi="Arial" w:cs="Arial" w:eastAsia="Arial"/>
          <w:b/>
          <w:bCs/>
        </w:rPr>
        <w:t xml:space="preserve">A. SALES PROJECTION (NEXT YEAR)</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333"/>
        <w:gridCol w:w="2214"/>
        <w:gridCol w:w="1807"/>
        <w:gridCol w:w="1715"/>
      </w:tblGrid>
      <w:tr>
        <w:trPr>
          <w:tblHeader w:val="on"/>
          <w:cantSplit/>
        </w:trPr>
        <w:tc>
          <w:tcPr>
            <w:tcW w:type="dxa" w:w="333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ITEM</w:t>
            </w:r>
          </w:p>
        </w:tc>
        <w:tc>
          <w:tcPr>
            <w:tcW w:type="dxa" w:w="221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Convection Oven</w:t>
            </w:r>
          </w:p>
        </w:tc>
        <w:tc>
          <w:tcPr>
            <w:tcW w:type="dxa" w:w="180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Combi Oven</w:t>
            </w:r>
          </w:p>
        </w:tc>
        <w:tc>
          <w:tcPr>
            <w:tcW w:type="dxa" w:w="171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TOTAL</w:t>
            </w:r>
          </w:p>
        </w:tc>
      </w:tr>
      <w:tr>
        <w:trPr>
          <w:cantSplit/>
        </w:trPr>
        <w:tc>
          <w:tcPr>
            <w:tcW w:type="dxa" w:w="333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Forecast Units</w:t>
            </w:r>
          </w:p>
        </w:tc>
        <w:tc>
          <w:tcPr>
            <w:tcW w:type="dxa" w:w="221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300</w:t>
            </w:r>
          </w:p>
        </w:tc>
        <w:tc>
          <w:tcPr>
            <w:tcW w:type="dxa" w:w="180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80</w:t>
            </w:r>
          </w:p>
        </w:tc>
        <w:tc>
          <w:tcPr>
            <w:tcW w:type="dxa" w:w="171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380</w:t>
            </w:r>
          </w:p>
        </w:tc>
      </w:tr>
      <w:tr>
        <w:trPr>
          <w:cantSplit/>
        </w:trPr>
        <w:tc>
          <w:tcPr>
            <w:tcW w:type="dxa" w:w="333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Sales Income (RM)</w:t>
            </w:r>
          </w:p>
        </w:tc>
        <w:tc>
          <w:tcPr>
            <w:tcW w:type="dxa" w:w="221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2,040,000</w:t>
            </w:r>
          </w:p>
        </w:tc>
        <w:tc>
          <w:tcPr>
            <w:tcW w:type="dxa" w:w="180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1,000,000</w:t>
            </w:r>
          </w:p>
        </w:tc>
        <w:tc>
          <w:tcPr>
            <w:tcW w:type="dxa" w:w="171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3,040,000</w:t>
            </w:r>
          </w:p>
        </w:tc>
      </w:tr>
      <w:tr>
        <w:trPr>
          <w:cantSplit/>
        </w:trPr>
        <w:tc>
          <w:tcPr>
            <w:tcW w:type="dxa" w:w="333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Product Cost (RM)</w:t>
            </w:r>
          </w:p>
        </w:tc>
        <w:tc>
          <w:tcPr>
            <w:tcW w:type="dxa" w:w="221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1,428,000</w:t>
            </w:r>
          </w:p>
        </w:tc>
        <w:tc>
          <w:tcPr>
            <w:tcW w:type="dxa" w:w="180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660,000</w:t>
            </w:r>
          </w:p>
        </w:tc>
        <w:tc>
          <w:tcPr>
            <w:tcW w:type="dxa" w:w="171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2,088,000</w:t>
            </w:r>
          </w:p>
        </w:tc>
      </w:tr>
      <w:tr>
        <w:trPr>
          <w:cantSplit/>
        </w:trPr>
        <w:tc>
          <w:tcPr>
            <w:tcW w:type="dxa" w:w="333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Total Operating Expenses (RM)</w:t>
            </w:r>
          </w:p>
        </w:tc>
        <w:tc>
          <w:tcPr>
            <w:tcW w:type="dxa" w:w="22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18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171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750,000</w:t>
            </w:r>
          </w:p>
        </w:tc>
      </w:tr>
      <w:tr>
        <w:trPr>
          <w:cantSplit/>
        </w:trPr>
        <w:tc>
          <w:tcPr>
            <w:tcW w:type="dxa" w:w="333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Projected Surplus / (Deficit) (RM)</w:t>
            </w:r>
          </w:p>
        </w:tc>
        <w:tc>
          <w:tcPr>
            <w:tcW w:type="dxa" w:w="22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18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171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202,000</w:t>
            </w:r>
          </w:p>
        </w:tc>
      </w:tr>
    </w:tbl>
    <w:p>
      <w:pPr>
        <w:pStyle w:val="BodyText"/>
      </w:pPr>
      <w:r>
        <w:rPr>
          <w:rFonts w:ascii="Arial" w:hAnsi="Arial" w:cs="Arial" w:eastAsia="Arial"/>
          <w:i/>
          <w:iCs/>
        </w:rPr>
        <w:t xml:space="preserve">Working:</w:t>
      </w:r>
      <w:r>
        <w:rPr>
          <w:rFonts w:ascii="Arial" w:hAnsi="Arial" w:cs="Arial" w:eastAsia="Arial"/>
        </w:rPr>
        <w:t xml:space="preserve"> </w:t>
      </w:r>
      <w:r>
        <w:rPr>
          <w:rFonts w:ascii="Arial" w:hAnsi="Arial" w:cs="Arial" w:eastAsia="Arial"/>
        </w:rPr>
        <w:t xml:space="preserve">-</w:t>
      </w:r>
      <w:r>
        <w:rPr>
          <w:rFonts w:ascii="Arial" w:hAnsi="Arial" w:cs="Arial" w:eastAsia="Arial"/>
        </w:rPr>
        <w:t xml:space="preserve"> </w:t>
      </w:r>
      <w:r>
        <w:rPr>
          <w:rFonts w:ascii="Arial" w:hAnsi="Arial" w:cs="Arial" w:eastAsia="Arial"/>
          <w:i/>
          <w:iCs/>
        </w:rPr>
        <w:t xml:space="preserve">Convection: 300 × RM6,800 = RM2,040,000 income; 300 × RM4,760 = RM1,428,000 cost</w:t>
      </w:r>
      <w:r>
        <w:rPr>
          <w:rFonts w:ascii="Arial" w:hAnsi="Arial" w:cs="Arial" w:eastAsia="Arial"/>
        </w:rPr>
        <w:t xml:space="preserve"> </w:t>
      </w:r>
      <w:r>
        <w:rPr>
          <w:rFonts w:ascii="Arial" w:hAnsi="Arial" w:cs="Arial" w:eastAsia="Arial"/>
        </w:rPr>
        <w:t xml:space="preserve">-</w:t>
      </w:r>
      <w:r>
        <w:rPr>
          <w:rFonts w:ascii="Arial" w:hAnsi="Arial" w:cs="Arial" w:eastAsia="Arial"/>
        </w:rPr>
        <w:t xml:space="preserve"> </w:t>
      </w:r>
      <w:r>
        <w:rPr>
          <w:rFonts w:ascii="Arial" w:hAnsi="Arial" w:cs="Arial" w:eastAsia="Arial"/>
          <w:i/>
          <w:iCs/>
        </w:rPr>
        <w:t xml:space="preserve">Combi: 80 × RM12,500 = RM1,000,000 income; 80 × RM8,250 = RM660,000 cost</w:t>
      </w:r>
      <w:r>
        <w:rPr>
          <w:rFonts w:ascii="Arial" w:hAnsi="Arial" w:cs="Arial" w:eastAsia="Arial"/>
        </w:rPr>
        <w:t xml:space="preserve"> </w:t>
      </w:r>
      <w:r>
        <w:rPr>
          <w:rFonts w:ascii="Arial" w:hAnsi="Arial" w:cs="Arial" w:eastAsia="Arial"/>
        </w:rPr>
        <w:t xml:space="preserve">-</w:t>
      </w:r>
      <w:r>
        <w:rPr>
          <w:rFonts w:ascii="Arial" w:hAnsi="Arial" w:cs="Arial" w:eastAsia="Arial"/>
        </w:rPr>
        <w:t xml:space="preserve"> </w:t>
      </w:r>
      <w:r>
        <w:rPr>
          <w:rFonts w:ascii="Arial" w:hAnsi="Arial" w:cs="Arial" w:eastAsia="Arial"/>
          <w:i/>
          <w:iCs/>
        </w:rPr>
        <w:t xml:space="preserve">Operating expenses: RM420,000 + RM150,000 + RM70,000 + RM110,000 = RM750,000</w:t>
      </w:r>
      <w:r>
        <w:rPr>
          <w:rFonts w:ascii="Arial" w:hAnsi="Arial" w:cs="Arial" w:eastAsia="Arial"/>
        </w:rPr>
        <w:t xml:space="preserve"> </w:t>
      </w:r>
      <w:r>
        <w:rPr>
          <w:rFonts w:ascii="Arial" w:hAnsi="Arial" w:cs="Arial" w:eastAsia="Arial"/>
        </w:rPr>
        <w:t xml:space="preserve">-</w:t>
      </w:r>
      <w:r>
        <w:rPr>
          <w:rFonts w:ascii="Arial" w:hAnsi="Arial" w:cs="Arial" w:eastAsia="Arial"/>
        </w:rPr>
        <w:t xml:space="preserve"> </w:t>
      </w:r>
      <w:r>
        <w:rPr>
          <w:rFonts w:ascii="Arial" w:hAnsi="Arial" w:cs="Arial" w:eastAsia="Arial"/>
          <w:i/>
          <w:iCs/>
        </w:rPr>
        <w:t xml:space="preserve">Projected surplus: RM3,040,000 − RM2,088,000 − RM750,000 = RM202,000</w:t>
      </w:r>
    </w:p>
    <w:p>
      <w:pPr>
        <w:pStyle w:val="BodyText"/>
      </w:pPr>
      <w:r>
        <w:rPr>
          <w:rFonts w:ascii="Arial" w:hAnsi="Arial" w:cs="Arial" w:eastAsia="Arial"/>
          <w:b/>
          <w:bCs/>
        </w:rPr>
        <w:t xml:space="preserve">B. SALES BUDGET SUMMARY FOR APPROVAL</w:t>
      </w:r>
    </w:p>
    <w:p>
      <w:pPr>
        <w:pStyle w:val="BodyText"/>
      </w:pPr>
      <w:r>
        <w:rPr>
          <w:rFonts w:ascii="Arial" w:hAnsi="Arial" w:cs="Arial" w:eastAsia="Arial"/>
          <w:b/>
          <w:bCs/>
        </w:rPr>
        <w:t xml:space="preserve">Total projected sales income: RM3,040,000. Total product cost: RM2,088,000. Total operating expenses: RM750,000. Projected surplus: RM202,000.</w:t>
      </w:r>
    </w:p>
    <w:p>
      <w:pPr>
        <w:pStyle w:val="BodyText"/>
      </w:pPr>
      <w:r>
        <w:rPr>
          <w:rFonts w:ascii="Arial" w:hAnsi="Arial" w:cs="Arial" w:eastAsia="Arial"/>
          <w:b/>
          <w:bCs/>
        </w:rPr>
        <w:t xml:space="preserve">The next-year sales plan for 300 units of PrimaChef Convection Oven and 80 units of PrimaChef Combi Oven is projected to generate a surplus of RM202,000.</w:t>
      </w:r>
    </w:p>
    <w:p>
      <w:pPr>
        <w:pStyle w:val="BodyText"/>
      </w:pPr>
      <w:r>
        <w:rPr>
          <w:rFonts w:ascii="Arial" w:hAnsi="Arial" w:cs="Arial" w:eastAsia="Arial"/>
          <w:b/>
          <w:bCs/>
        </w:rPr>
        <w:t xml:space="preserve">C. SALES PERFORMANCE EVALUATION (JANUARY–JUNE 2026)</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472"/>
        <w:gridCol w:w="1726"/>
        <w:gridCol w:w="1726"/>
        <w:gridCol w:w="1876"/>
        <w:gridCol w:w="2268"/>
      </w:tblGrid>
      <w:tr>
        <w:trPr>
          <w:tblHeader w:val="on"/>
          <w:cantSplit/>
        </w:trPr>
        <w:tc>
          <w:tcPr>
            <w:tcW w:type="dxa" w:w="147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MONTH</w:t>
            </w:r>
          </w:p>
        </w:tc>
        <w:tc>
          <w:tcPr>
            <w:tcW w:type="dxa" w:w="172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TARGET (RM)</w:t>
            </w:r>
          </w:p>
        </w:tc>
        <w:tc>
          <w:tcPr>
            <w:tcW w:type="dxa" w:w="172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ACTUAL (RM)</w:t>
            </w:r>
          </w:p>
        </w:tc>
        <w:tc>
          <w:tcPr>
            <w:tcW w:type="dxa" w:w="187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ACHIEVEMENT %</w:t>
            </w:r>
          </w:p>
        </w:tc>
        <w:tc>
          <w:tcPr>
            <w:tcW w:type="dxa" w:w="226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ON TARGET? (YES/NO)</w:t>
            </w:r>
          </w:p>
        </w:tc>
      </w:tr>
      <w:tr>
        <w:trPr>
          <w:cantSplit/>
        </w:trPr>
        <w:tc>
          <w:tcPr>
            <w:tcW w:type="dxa" w:w="147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January</w:t>
            </w:r>
          </w:p>
        </w:tc>
        <w:tc>
          <w:tcPr>
            <w:tcW w:type="dxa" w:w="172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240,000</w:t>
            </w:r>
          </w:p>
        </w:tc>
        <w:tc>
          <w:tcPr>
            <w:tcW w:type="dxa" w:w="172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218,400</w:t>
            </w:r>
          </w:p>
        </w:tc>
        <w:tc>
          <w:tcPr>
            <w:tcW w:type="dxa" w:w="187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91.00%</w:t>
            </w:r>
          </w:p>
        </w:tc>
        <w:tc>
          <w:tcPr>
            <w:tcW w:type="dxa" w:w="226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No</w:t>
            </w:r>
          </w:p>
        </w:tc>
      </w:tr>
      <w:tr>
        <w:trPr>
          <w:cantSplit/>
        </w:trPr>
        <w:tc>
          <w:tcPr>
            <w:tcW w:type="dxa" w:w="147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February</w:t>
            </w:r>
          </w:p>
        </w:tc>
        <w:tc>
          <w:tcPr>
            <w:tcW w:type="dxa" w:w="172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240,000</w:t>
            </w:r>
          </w:p>
        </w:tc>
        <w:tc>
          <w:tcPr>
            <w:tcW w:type="dxa" w:w="172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232,800</w:t>
            </w:r>
          </w:p>
        </w:tc>
        <w:tc>
          <w:tcPr>
            <w:tcW w:type="dxa" w:w="187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97.00%</w:t>
            </w:r>
          </w:p>
        </w:tc>
        <w:tc>
          <w:tcPr>
            <w:tcW w:type="dxa" w:w="226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No</w:t>
            </w:r>
          </w:p>
        </w:tc>
      </w:tr>
      <w:tr>
        <w:trPr>
          <w:cantSplit/>
        </w:trPr>
        <w:tc>
          <w:tcPr>
            <w:tcW w:type="dxa" w:w="147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March</w:t>
            </w:r>
          </w:p>
        </w:tc>
        <w:tc>
          <w:tcPr>
            <w:tcW w:type="dxa" w:w="172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250,000</w:t>
            </w:r>
          </w:p>
        </w:tc>
        <w:tc>
          <w:tcPr>
            <w:tcW w:type="dxa" w:w="172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220,000</w:t>
            </w:r>
          </w:p>
        </w:tc>
        <w:tc>
          <w:tcPr>
            <w:tcW w:type="dxa" w:w="187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88.00%</w:t>
            </w:r>
          </w:p>
        </w:tc>
        <w:tc>
          <w:tcPr>
            <w:tcW w:type="dxa" w:w="226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No</w:t>
            </w:r>
          </w:p>
        </w:tc>
      </w:tr>
      <w:tr>
        <w:trPr>
          <w:cantSplit/>
        </w:trPr>
        <w:tc>
          <w:tcPr>
            <w:tcW w:type="dxa" w:w="147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April</w:t>
            </w:r>
          </w:p>
        </w:tc>
        <w:tc>
          <w:tcPr>
            <w:tcW w:type="dxa" w:w="172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250,000</w:t>
            </w:r>
          </w:p>
        </w:tc>
        <w:tc>
          <w:tcPr>
            <w:tcW w:type="dxa" w:w="172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260,000</w:t>
            </w:r>
          </w:p>
        </w:tc>
        <w:tc>
          <w:tcPr>
            <w:tcW w:type="dxa" w:w="187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104.00%</w:t>
            </w:r>
          </w:p>
        </w:tc>
        <w:tc>
          <w:tcPr>
            <w:tcW w:type="dxa" w:w="226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Yes</w:t>
            </w:r>
          </w:p>
        </w:tc>
      </w:tr>
      <w:tr>
        <w:trPr>
          <w:cantSplit/>
        </w:trPr>
        <w:tc>
          <w:tcPr>
            <w:tcW w:type="dxa" w:w="147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May</w:t>
            </w:r>
          </w:p>
        </w:tc>
        <w:tc>
          <w:tcPr>
            <w:tcW w:type="dxa" w:w="172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260,000</w:t>
            </w:r>
          </w:p>
        </w:tc>
        <w:tc>
          <w:tcPr>
            <w:tcW w:type="dxa" w:w="172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239,200</w:t>
            </w:r>
          </w:p>
        </w:tc>
        <w:tc>
          <w:tcPr>
            <w:tcW w:type="dxa" w:w="187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92.00%</w:t>
            </w:r>
          </w:p>
        </w:tc>
        <w:tc>
          <w:tcPr>
            <w:tcW w:type="dxa" w:w="226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No</w:t>
            </w:r>
          </w:p>
        </w:tc>
      </w:tr>
      <w:tr>
        <w:trPr>
          <w:cantSplit/>
        </w:trPr>
        <w:tc>
          <w:tcPr>
            <w:tcW w:type="dxa" w:w="147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June</w:t>
            </w:r>
          </w:p>
        </w:tc>
        <w:tc>
          <w:tcPr>
            <w:tcW w:type="dxa" w:w="172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260,000</w:t>
            </w:r>
          </w:p>
        </w:tc>
        <w:tc>
          <w:tcPr>
            <w:tcW w:type="dxa" w:w="172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249,600</w:t>
            </w:r>
          </w:p>
        </w:tc>
        <w:tc>
          <w:tcPr>
            <w:tcW w:type="dxa" w:w="187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96.00%</w:t>
            </w:r>
          </w:p>
        </w:tc>
        <w:tc>
          <w:tcPr>
            <w:tcW w:type="dxa" w:w="226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No</w:t>
            </w:r>
          </w:p>
        </w:tc>
      </w:tr>
      <w:tr>
        <w:trPr>
          <w:cantSplit/>
        </w:trPr>
        <w:tc>
          <w:tcPr>
            <w:tcW w:type="dxa" w:w="147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OVERALL</w:t>
            </w:r>
          </w:p>
        </w:tc>
        <w:tc>
          <w:tcPr>
            <w:tcW w:type="dxa" w:w="172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1,500,000</w:t>
            </w:r>
          </w:p>
        </w:tc>
        <w:tc>
          <w:tcPr>
            <w:tcW w:type="dxa" w:w="172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1,420,000</w:t>
            </w:r>
          </w:p>
        </w:tc>
        <w:tc>
          <w:tcPr>
            <w:tcW w:type="dxa" w:w="187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94.67%</w:t>
            </w:r>
          </w:p>
        </w:tc>
        <w:tc>
          <w:tcPr>
            <w:tcW w:type="dxa" w:w="226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No</w:t>
            </w:r>
          </w:p>
        </w:tc>
      </w:tr>
    </w:tbl>
    <w:p>
      <w:pPr>
        <w:pStyle w:val="BodyText"/>
      </w:pPr>
      <w:r>
        <w:rPr>
          <w:rFonts w:ascii="Arial" w:hAnsi="Arial" w:cs="Arial" w:eastAsia="Arial"/>
          <w:i/>
          <w:iCs/>
        </w:rPr>
        <w:t xml:space="preserve">Working: Achievement % = Actual ÷ Target × 100. Overall: RM1,420,000 ÷ RM1,500,000 × 100 = 94.67%.</w:t>
      </w:r>
    </w:p>
    <w:p>
      <w:pPr>
        <w:pStyle w:val="BodyText"/>
      </w:pPr>
      <w:r>
        <w:rPr>
          <w:rFonts w:ascii="Arial" w:hAnsi="Arial" w:cs="Arial" w:eastAsia="Arial"/>
          <w:b/>
          <w:bCs/>
        </w:rPr>
        <w:t xml:space="preserve">D. MAIN ISSUES IN SALES PERFORMANCE</w:t>
      </w:r>
    </w:p>
    <w:p>
      <w:pPr>
        <w:pStyle w:val="Compact"/>
        <w:numPr>
          <w:ilvl w:val="0"/>
          <w:numId w:val="1007"/>
        </w:numPr>
      </w:pPr>
      <w:r>
        <w:rPr>
          <w:rFonts w:ascii="Arial" w:hAnsi="Arial" w:cs="Arial" w:eastAsia="Arial"/>
          <w:b/>
          <w:bCs/>
        </w:rPr>
        <w:t xml:space="preserve">5 out of 6 months did not achieve 100% of the monthly sales target — overall achievement was 94.67% (RM1,420,000 of RM1,500,000 target).</w:t>
      </w:r>
    </w:p>
    <w:p>
      <w:pPr>
        <w:pStyle w:val="Compact"/>
        <w:numPr>
          <w:ilvl w:val="0"/>
          <w:numId w:val="1007"/>
        </w:numPr>
      </w:pPr>
      <w:r>
        <w:rPr>
          <w:rFonts w:ascii="Arial" w:hAnsi="Arial" w:cs="Arial" w:eastAsia="Arial"/>
          <w:b/>
          <w:bCs/>
        </w:rPr>
        <w:t xml:space="preserve">March recorded the lowest achievement at 88.00% (RM220,000 of RM250,000) — highest monthly shortfall of RM30,000.</w:t>
      </w:r>
    </w:p>
    <w:p>
      <w:pPr>
        <w:pStyle w:val="Compact"/>
        <w:numPr>
          <w:ilvl w:val="0"/>
          <w:numId w:val="1007"/>
        </w:numPr>
      </w:pPr>
      <w:r>
        <w:rPr>
          <w:rFonts w:ascii="Arial" w:hAnsi="Arial" w:cs="Arial" w:eastAsia="Arial"/>
          <w:b/>
          <w:bCs/>
        </w:rPr>
        <w:t xml:space="preserve">January also underperformed at 91.00% (RM218,400 of RM240,000) — the first month of the period fell below target.</w:t>
      </w:r>
    </w:p>
    <w:p>
      <w:pPr>
        <w:pStyle w:val="FirstParagraph"/>
      </w:pPr>
      <w:r>
        <w:rPr>
          <w:rFonts w:ascii="Arial" w:hAnsi="Arial" w:cs="Arial" w:eastAsia="Arial"/>
          <w:i/>
          <w:iCs/>
        </w:rPr>
        <w:t xml:space="preserve">(Additional acceptable issue: Only April on target; consistent pattern of below-target performance in Q1 and May–June.)</w:t>
      </w:r>
    </w:p>
    <w:p>
      <w:pPr>
        <w:pStyle w:val="BodyText"/>
      </w:pPr>
      <w:r>
        <w:rPr>
          <w:rFonts w:ascii="Arial" w:hAnsi="Arial" w:cs="Arial" w:eastAsia="Arial"/>
          <w:b/>
          <w:bCs/>
        </w:rPr>
        <w:t xml:space="preserve">E. SALES ACTION PLAN</w:t>
      </w:r>
    </w:p>
    <w:p>
      <w:pPr>
        <w:pStyle w:val="Compact"/>
        <w:numPr>
          <w:ilvl w:val="0"/>
          <w:numId w:val="1008"/>
        </w:numPr>
      </w:pPr>
      <w:r>
        <w:rPr>
          <w:rFonts w:ascii="Arial" w:hAnsi="Arial" w:cs="Arial" w:eastAsia="Arial"/>
          <w:b/>
          <w:bCs/>
        </w:rPr>
        <w:t xml:space="preserve">Strengthen corporate account acquisition activities, particularly in March and January — increase the number of F&amp;B operator sales calls and demonstrations to close more orders early in each month.</w:t>
      </w:r>
    </w:p>
    <w:p>
      <w:pPr>
        <w:pStyle w:val="Compact"/>
        <w:numPr>
          <w:ilvl w:val="0"/>
          <w:numId w:val="1008"/>
        </w:numPr>
      </w:pPr>
      <w:r>
        <w:rPr>
          <w:rFonts w:ascii="Arial" w:hAnsi="Arial" w:cs="Arial" w:eastAsia="Arial"/>
          <w:b/>
          <w:bCs/>
        </w:rPr>
        <w:t xml:space="preserve">Review the sales pipeline and implement a weekly performance tracking meeting to identify at-risk deals earlier and enable timely corrective action.</w:t>
      </w:r>
    </w:p>
    <w:p>
      <w:pPr>
        <w:pStyle w:val="Compact"/>
        <w:numPr>
          <w:ilvl w:val="0"/>
          <w:numId w:val="1008"/>
        </w:numPr>
      </w:pPr>
      <w:r>
        <w:rPr>
          <w:rFonts w:ascii="Arial" w:hAnsi="Arial" w:cs="Arial" w:eastAsia="Arial"/>
          <w:b/>
          <w:bCs/>
        </w:rPr>
        <w:t xml:space="preserve">Set individual monthly sub-targets for each sales staff and review performance bi-weekly to address shortfalls before month-end.</w:t>
      </w:r>
    </w:p>
    <w:p>
      <w:r>
        <w:rPr>
          <w:rFonts w:ascii="Arial" w:hAnsi="Arial" w:cs="Arial" w:eastAsia="Arial"/>
        </w:rPr>
        <w:pict>
          <v:rect style="width:0;height:1.5pt" o:hralign="center" o:hrstd="t" o:hr="t"/>
        </w:pict>
      </w:r>
    </w:p>
    <w:bookmarkEnd w:id="11"/>
    <w:bookmarkStart w:id="12" w:name="Xeb8d3d1f0a5ffa7732139b7da5174b70cb9a1dd"/>
    <w:p>
      <w:pPr>
        <w:pStyle w:val="Heading2"/>
      </w:pPr>
      <w:r>
        <w:rPr>
          <w:rFonts w:ascii="Arial" w:hAnsi="Arial" w:cs="Arial" w:eastAsia="Arial"/>
        </w:rPr>
        <w:t xml:space="preserve">APPENDIX 6 — TEAM OBJECTIVE &amp; DEPARTMENTAL REPORT FORM (TUGASAN 4)</w:t>
      </w:r>
    </w:p>
    <w:p>
      <w:pPr>
        <w:pStyle w:val="FirstParagraph"/>
      </w:pPr>
      <w:r>
        <w:rPr>
          <w:rFonts w:ascii="Arial" w:hAnsi="Arial" w:cs="Arial" w:eastAsia="Arial"/>
          <w:b/>
          <w:bCs/>
        </w:rPr>
        <w:t xml:space="preserve">A. SALES TARGET &amp; KPI ALLOCATION (JULY–DECEMBER 2026)</w:t>
      </w:r>
    </w:p>
    <w:p>
      <w:pPr>
        <w:pStyle w:val="BodyText"/>
      </w:pPr>
      <w:r>
        <w:rPr>
          <w:rFonts w:ascii="Arial" w:hAnsi="Arial" w:cs="Arial" w:eastAsia="Arial"/>
        </w:rPr>
        <w:t xml:space="preserve">Allocation basis: Team total target RM1,575,000 allocated in proportion to January–June individual targets (Syafiq and Hui Min: RM400,000 each; Kavitha and Daniel: RM350,000 each; total RM1,500,000).</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083"/>
        <w:gridCol w:w="2590"/>
        <w:gridCol w:w="4397"/>
      </w:tblGrid>
      <w:tr>
        <w:trPr>
          <w:tblHeader w:val="on"/>
          <w:cantSplit/>
        </w:trPr>
        <w:tc>
          <w:tcPr>
            <w:tcW w:type="dxa" w:w="208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SALES STAFF</w:t>
            </w:r>
          </w:p>
        </w:tc>
        <w:tc>
          <w:tcPr>
            <w:tcW w:type="dxa" w:w="259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SALES TARGET (RM)</w:t>
            </w:r>
          </w:p>
        </w:tc>
        <w:tc>
          <w:tcPr>
            <w:tcW w:type="dxa" w:w="439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INDIVIDUAL KPI</w:t>
            </w:r>
          </w:p>
        </w:tc>
      </w:tr>
      <w:tr>
        <w:trPr>
          <w:cantSplit/>
        </w:trPr>
        <w:tc>
          <w:tcPr>
            <w:tcW w:type="dxa" w:w="208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Syafiq</w:t>
            </w:r>
          </w:p>
        </w:tc>
        <w:tc>
          <w:tcPr>
            <w:tcW w:type="dxa" w:w="259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420,000</w:t>
            </w:r>
          </w:p>
        </w:tc>
        <w:tc>
          <w:tcPr>
            <w:tcW w:type="dxa" w:w="439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Achieve RM420,000 in sales for July–December 2026</w:t>
            </w:r>
          </w:p>
        </w:tc>
      </w:tr>
      <w:tr>
        <w:trPr>
          <w:cantSplit/>
        </w:trPr>
        <w:tc>
          <w:tcPr>
            <w:tcW w:type="dxa" w:w="208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Hui Min</w:t>
            </w:r>
          </w:p>
        </w:tc>
        <w:tc>
          <w:tcPr>
            <w:tcW w:type="dxa" w:w="259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420,000</w:t>
            </w:r>
          </w:p>
        </w:tc>
        <w:tc>
          <w:tcPr>
            <w:tcW w:type="dxa" w:w="439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Achieve RM420,000 in sales for July–December 2026</w:t>
            </w:r>
          </w:p>
        </w:tc>
      </w:tr>
      <w:tr>
        <w:trPr>
          <w:cantSplit/>
        </w:trPr>
        <w:tc>
          <w:tcPr>
            <w:tcW w:type="dxa" w:w="208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Kavitha</w:t>
            </w:r>
          </w:p>
        </w:tc>
        <w:tc>
          <w:tcPr>
            <w:tcW w:type="dxa" w:w="259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367,500</w:t>
            </w:r>
          </w:p>
        </w:tc>
        <w:tc>
          <w:tcPr>
            <w:tcW w:type="dxa" w:w="439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Achieve RM367,500 in sales for July–December 2026</w:t>
            </w:r>
          </w:p>
        </w:tc>
      </w:tr>
      <w:tr>
        <w:trPr>
          <w:cantSplit/>
        </w:trPr>
        <w:tc>
          <w:tcPr>
            <w:tcW w:type="dxa" w:w="208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Daniel</w:t>
            </w:r>
          </w:p>
        </w:tc>
        <w:tc>
          <w:tcPr>
            <w:tcW w:type="dxa" w:w="259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367,500</w:t>
            </w:r>
          </w:p>
        </w:tc>
        <w:tc>
          <w:tcPr>
            <w:tcW w:type="dxa" w:w="439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Achieve RM367,500 in sales for July–December 2026</w:t>
            </w:r>
          </w:p>
        </w:tc>
      </w:tr>
      <w:tr>
        <w:trPr>
          <w:cantSplit/>
        </w:trPr>
        <w:tc>
          <w:tcPr>
            <w:tcW w:type="dxa" w:w="208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TEAM TOTAL</w:t>
            </w:r>
          </w:p>
        </w:tc>
        <w:tc>
          <w:tcPr>
            <w:tcW w:type="dxa" w:w="259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1,575,000</w:t>
            </w:r>
          </w:p>
        </w:tc>
        <w:tc>
          <w:tcPr>
            <w:tcW w:type="dxa" w:w="4397"/>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i/>
          <w:iCs/>
        </w:rPr>
        <w:t xml:space="preserve">Working: Syafiq + Hui Min: RM400,000 ÷ RM1,500,000 × RM1,575,000 = RM420,000 each. Kavitha + Daniel: RM350,000 ÷ RM1,500,000 × RM1,575,000 = RM367,500 each. Total: (2 × 420,000) + (2 × 367,500) = RM1,575,000. ✓</w:t>
      </w:r>
    </w:p>
    <w:p>
      <w:pPr>
        <w:pStyle w:val="BodyText"/>
      </w:pPr>
      <w:r>
        <w:rPr>
          <w:rFonts w:ascii="Arial" w:hAnsi="Arial" w:cs="Arial" w:eastAsia="Arial"/>
          <w:i/>
          <w:iCs/>
        </w:rPr>
        <w:t xml:space="preserve">(Equal allocation of RM393,750 each also acceptable if well justified.)</w:t>
      </w:r>
    </w:p>
    <w:p>
      <w:pPr>
        <w:pStyle w:val="BodyText"/>
      </w:pPr>
      <w:r>
        <w:rPr>
          <w:rFonts w:ascii="Arial" w:hAnsi="Arial" w:cs="Arial" w:eastAsia="Arial"/>
          <w:b/>
          <w:bCs/>
        </w:rPr>
        <w:t xml:space="preserve">B. PERFORMANCE ASSESSMENT &amp; REWARD PROPOSAL</w:t>
      </w:r>
    </w:p>
    <w:p>
      <w:pPr>
        <w:pStyle w:val="BodyText"/>
      </w:pPr>
      <w:r>
        <w:rPr>
          <w:rFonts w:ascii="Arial" w:hAnsi="Arial" w:cs="Arial" w:eastAsia="Arial"/>
        </w:rPr>
        <w:t xml:space="preserve">Staff performance assessment:</w:t>
      </w:r>
      <w:r>
        <w:rPr>
          <w:rFonts w:ascii="Arial" w:hAnsi="Arial" w:cs="Arial" w:eastAsia="Arial"/>
        </w:rPr>
        <w:t xml:space="preserve"> </w:t>
      </w:r>
      <w:r>
        <w:rPr>
          <w:rFonts w:ascii="Arial" w:hAnsi="Arial" w:cs="Arial" w:eastAsia="Arial"/>
          <w:b/>
          <w:bCs/>
        </w:rPr>
        <w:t xml:space="preserve">Syafiq exceeded his January–June target — RM428,000 actual vs RM400,000 target (107.00%). Hui Min underperformed — RM356,000 actual vs RM400,000 target (89.00%). Kavitha underperformed — RM332,500 actual vs RM350,000 target (95.00%). Daniel underperformed — RM303,500 actual vs RM350,000 target (86.71%).</w:t>
      </w:r>
    </w:p>
    <w:p>
      <w:pPr>
        <w:pStyle w:val="BodyText"/>
      </w:pPr>
      <w:r>
        <w:rPr>
          <w:rFonts w:ascii="Arial" w:hAnsi="Arial" w:cs="Arial" w:eastAsia="Arial"/>
        </w:rPr>
        <w:t xml:space="preserve">Reward proposal:</w:t>
      </w:r>
      <w:r>
        <w:rPr>
          <w:rFonts w:ascii="Arial" w:hAnsi="Arial" w:cs="Arial" w:eastAsia="Arial"/>
        </w:rPr>
        <w:t xml:space="preserve"> </w:t>
      </w:r>
      <w:r>
        <w:rPr>
          <w:rFonts w:ascii="Arial" w:hAnsi="Arial" w:cs="Arial" w:eastAsia="Arial"/>
          <w:b/>
          <w:bCs/>
        </w:rPr>
        <w:t xml:space="preserve">Propose Syafiq for a performance reward, subject to superior’s approval.</w:t>
      </w:r>
    </w:p>
    <w:p>
      <w:pPr>
        <w:pStyle w:val="BodyText"/>
      </w:pPr>
      <w:r>
        <w:rPr>
          <w:rFonts w:ascii="Arial" w:hAnsi="Arial" w:cs="Arial" w:eastAsia="Arial"/>
        </w:rPr>
        <w:t xml:space="preserve">Justification:</w:t>
      </w:r>
      <w:r>
        <w:rPr>
          <w:rFonts w:ascii="Arial" w:hAnsi="Arial" w:cs="Arial" w:eastAsia="Arial"/>
        </w:rPr>
        <w:t xml:space="preserve"> </w:t>
      </w:r>
      <w:r>
        <w:rPr>
          <w:rFonts w:ascii="Arial" w:hAnsi="Arial" w:cs="Arial" w:eastAsia="Arial"/>
          <w:b/>
          <w:bCs/>
        </w:rPr>
        <w:t xml:space="preserve">Syafiq is the only sales staff member who exceeded his half-year sales target (107.00%). Under the company reward procedure, staff who exceed the half-year sales target may be proposed for a performance reward, subject to superior’s approval.</w:t>
      </w:r>
    </w:p>
    <w:p>
      <w:pPr>
        <w:pStyle w:val="BodyText"/>
      </w:pPr>
      <w:r>
        <w:rPr>
          <w:rFonts w:ascii="Arial" w:hAnsi="Arial" w:cs="Arial" w:eastAsia="Arial"/>
          <w:b/>
          <w:bCs/>
        </w:rPr>
        <w:t xml:space="preserve">C. DEPARTMENTAL ADMINISTRATION REPORT (JANUARY–JUNE 2026)</w:t>
      </w:r>
    </w:p>
    <w:p>
      <w:pPr>
        <w:pStyle w:val="BodyText"/>
      </w:pPr>
      <w:r>
        <w:rPr>
          <w:rFonts w:ascii="Arial" w:hAnsi="Arial" w:cs="Arial" w:eastAsia="Arial"/>
        </w:rPr>
        <w:t xml:space="preserve">Departmental KPI achievement:</w:t>
      </w:r>
    </w:p>
    <w:p>
      <w:pPr>
        <w:pStyle w:val="BodyText"/>
      </w:pPr>
      <w:r>
        <w:rPr>
          <w:rFonts w:ascii="Arial" w:hAnsi="Arial" w:cs="Arial" w:eastAsia="Arial"/>
          <w:b/>
          <w:bCs/>
        </w:rPr>
        <w:t xml:space="preserve">KPI (i) Monthly sales target achievement: 1 out of 6 months on target (April only). Overall achievement 94.67% — below 100% KPI.</w:t>
      </w:r>
    </w:p>
    <w:p>
      <w:pPr>
        <w:pStyle w:val="BodyText"/>
      </w:pPr>
      <w:r>
        <w:rPr>
          <w:rFonts w:ascii="Arial" w:hAnsi="Arial" w:cs="Arial" w:eastAsia="Arial"/>
          <w:b/>
          <w:bCs/>
        </w:rPr>
        <w:t xml:space="preserve">KPI (ii) New F&amp;B corporate accounts: 24 out of 30 target — not achieved.</w:t>
      </w:r>
    </w:p>
    <w:p>
      <w:pPr>
        <w:pStyle w:val="BodyText"/>
      </w:pPr>
      <w:r>
        <w:rPr>
          <w:rFonts w:ascii="Arial" w:hAnsi="Arial" w:cs="Arial" w:eastAsia="Arial"/>
          <w:b/>
          <w:bCs/>
        </w:rPr>
        <w:t xml:space="preserve">KPI (iii) Service calls attended within 48 hours: 93% actual vs 90% target — achieved.</w:t>
      </w:r>
    </w:p>
    <w:p>
      <w:pPr>
        <w:pStyle w:val="BodyText"/>
      </w:pPr>
      <w:r>
        <w:rPr>
          <w:rFonts w:ascii="Arial" w:hAnsi="Arial" w:cs="Arial" w:eastAsia="Arial"/>
        </w:rPr>
        <w:t xml:space="preserve">Budget vs actual spending finding:</w:t>
      </w:r>
      <w:r>
        <w:rPr>
          <w:rFonts w:ascii="Arial" w:hAnsi="Arial" w:cs="Arial" w:eastAsia="Arial"/>
        </w:rPr>
        <w:t xml:space="preserve"> </w:t>
      </w:r>
      <w:r>
        <w:rPr>
          <w:rFonts w:ascii="Arial" w:hAnsi="Arial" w:cs="Arial" w:eastAsia="Arial"/>
          <w:b/>
          <w:bCs/>
        </w:rPr>
        <w:t xml:space="preserve">Actual spending of RM374,000 exceeded the departmental budget of RM360,000 by RM14,000. Staff cost overspent by RM7,000 (RM232,000 actual vs RM225,000 budget). Marketing overspent by RM9,000 (RM94,000 actual vs RM85,000 budget). Administration underspent by RM2,000 (RM48,000 actual vs RM50,000 budget).</w:t>
      </w:r>
    </w:p>
    <w:p>
      <w:pPr>
        <w:pStyle w:val="BodyText"/>
      </w:pPr>
      <w:r>
        <w:rPr>
          <w:rFonts w:ascii="Arial" w:hAnsi="Arial" w:cs="Arial" w:eastAsia="Arial"/>
        </w:rPr>
        <w:t xml:space="preserve">Improvement actions:</w:t>
      </w:r>
    </w:p>
    <w:p>
      <w:pPr>
        <w:pStyle w:val="Compact"/>
        <w:numPr>
          <w:ilvl w:val="0"/>
          <w:numId w:val="1009"/>
        </w:numPr>
      </w:pPr>
      <w:r>
        <w:rPr>
          <w:rFonts w:ascii="Arial" w:hAnsi="Arial" w:cs="Arial" w:eastAsia="Arial"/>
          <w:b/>
          <w:bCs/>
        </w:rPr>
        <w:t xml:space="preserve">Increase F&amp;B corporate account prospecting activities to close the shortfall of 6 new accounts (target 30, actual 24) — assign each sales staff a monthly new account target for July–December 2026.</w:t>
      </w:r>
    </w:p>
    <w:p>
      <w:pPr>
        <w:pStyle w:val="Compact"/>
        <w:numPr>
          <w:ilvl w:val="0"/>
          <w:numId w:val="1009"/>
        </w:numPr>
      </w:pPr>
      <w:r>
        <w:rPr>
          <w:rFonts w:ascii="Arial" w:hAnsi="Arial" w:cs="Arial" w:eastAsia="Arial"/>
          <w:b/>
          <w:bCs/>
        </w:rPr>
        <w:t xml:space="preserve">Implement monthly budget review and approval control for staff cost and marketing expenditure to prevent overspending — require pre-approval for expenditure exceeding the monthly allocation.</w:t>
      </w:r>
    </w:p>
    <w:p>
      <w:pPr>
        <w:pStyle w:val="FirstParagraph"/>
      </w:pPr>
      <w:r>
        <w:rPr>
          <w:rFonts w:ascii="Arial" w:hAnsi="Arial" w:cs="Arial" w:eastAsia="Arial"/>
        </w:rPr>
        <w:t xml:space="preserve">Conclusion:</w:t>
      </w:r>
      <w:r>
        <w:rPr>
          <w:rFonts w:ascii="Arial" w:hAnsi="Arial" w:cs="Arial" w:eastAsia="Arial"/>
        </w:rPr>
        <w:t xml:space="preserve"> </w:t>
      </w:r>
      <w:r>
        <w:rPr>
          <w:rFonts w:ascii="Arial" w:hAnsi="Arial" w:cs="Arial" w:eastAsia="Arial"/>
          <w:b/>
          <w:bCs/>
        </w:rPr>
        <w:t xml:space="preserve">The department achieved the service response KPI (93% vs 90% target) but fell short on monthly sales target (94.67%) and new corporate accounts (24 of 30). Departmental spending exceeded budget by RM14,000. Corrective action is required on sales activity, new account acquisition and budget control for the second half of 2026.</w:t>
      </w:r>
    </w:p>
    <w:p>
      <w:pPr>
        <w:pStyle w:val="BodyText"/>
      </w:pPr>
      <w:r>
        <w:rPr>
          <w:rFonts w:ascii="Arial" w:hAnsi="Arial" w:cs="Arial" w:eastAsia="Arial"/>
        </w:rPr>
        <w:t xml:space="preserve">Prepared by:</w:t>
      </w:r>
      <w:r>
        <w:rPr>
          <w:rFonts w:ascii="Arial" w:hAnsi="Arial" w:cs="Arial" w:eastAsia="Arial"/>
        </w:rPr>
        <w:t xml:space="preserve"> </w:t>
      </w:r>
      <w:r>
        <w:rPr>
          <w:rFonts w:ascii="Arial" w:hAnsi="Arial" w:cs="Arial" w:eastAsia="Arial"/>
          <w:b/>
          <w:bCs/>
        </w:rPr>
        <w:t xml:space="preserve">[Candidate Name]</w:t>
      </w:r>
      <w:r>
        <w:rPr>
          <w:rFonts w:ascii="Arial" w:hAnsi="Arial" w:cs="Arial" w:eastAsia="Arial"/>
        </w:rPr>
        <w:t xml:space="preserve"> </w:t>
      </w:r>
      <w:r>
        <w:rPr>
          <w:rFonts w:ascii="Arial" w:hAnsi="Arial" w:cs="Arial" w:eastAsia="Arial"/>
        </w:rPr>
        <w:t xml:space="preserve">   Date:</w:t>
      </w:r>
      <w:r>
        <w:rPr>
          <w:rFonts w:ascii="Arial" w:hAnsi="Arial" w:cs="Arial" w:eastAsia="Arial"/>
        </w:rPr>
        <w:t xml:space="preserve"> </w:t>
      </w:r>
      <w:r>
        <w:rPr>
          <w:rFonts w:ascii="Arial" w:hAnsi="Arial" w:cs="Arial" w:eastAsia="Arial"/>
          <w:b/>
          <w:bCs/>
        </w:rPr>
        <w:t xml:space="preserve">[Assessment date]</w:t>
      </w:r>
    </w:p>
    <w:p>
      <w:r>
        <w:rPr>
          <w:rFonts w:ascii="Arial" w:hAnsi="Arial" w:cs="Arial" w:eastAsia="Arial"/>
        </w:rPr>
        <w:pict>
          <v:rect style="width:0;height:1.5pt" o:hralign="center" o:hrstd="t" o:hr="t"/>
        </w:pict>
      </w:r>
    </w:p>
    <w:bookmarkEnd w:id="12"/>
    <w:bookmarkStart w:id="13" w:name="X81a5255be458f42a5f02db027cef6fc96e7d26b"/>
    <w:p>
      <w:pPr>
        <w:pStyle w:val="Heading2"/>
      </w:pPr>
      <w:r>
        <w:rPr>
          <w:rFonts w:ascii="Arial" w:hAnsi="Arial" w:cs="Arial" w:eastAsia="Arial"/>
        </w:rPr>
        <w:t xml:space="preserve">APPENDIX 7 — MARKETING COLLATERAL &amp; DISTRIBUTION RECORD FORM (TUGASAN 5)</w:t>
      </w:r>
    </w:p>
    <w:p>
      <w:pPr>
        <w:pStyle w:val="FirstParagraph"/>
      </w:pPr>
      <w:r>
        <w:rPr>
          <w:rFonts w:ascii="Arial" w:hAnsi="Arial" w:cs="Arial" w:eastAsia="Arial"/>
          <w:b/>
          <w:bCs/>
        </w:rPr>
        <w:t xml:space="preserve">A. COLLATERAL PLANNING</w:t>
      </w:r>
    </w:p>
    <w:p>
      <w:pPr>
        <w:pStyle w:val="BodyText"/>
      </w:pPr>
      <w:r>
        <w:rPr>
          <w:rFonts w:ascii="Arial" w:hAnsi="Arial" w:cs="Arial" w:eastAsia="Arial"/>
        </w:rPr>
        <w:t xml:space="preserve">Type of collateral selected:</w:t>
      </w:r>
      <w:r>
        <w:rPr>
          <w:rFonts w:ascii="Arial" w:hAnsi="Arial" w:cs="Arial" w:eastAsia="Arial"/>
        </w:rPr>
        <w:t xml:space="preserve"> </w:t>
      </w:r>
      <w:r>
        <w:rPr>
          <w:rFonts w:ascii="Arial" w:hAnsi="Arial" w:cs="Arial" w:eastAsia="Arial"/>
          <w:b/>
          <w:bCs/>
        </w:rPr>
        <w:t xml:space="preserve">A4 flyer</w:t>
      </w:r>
    </w:p>
    <w:p>
      <w:pPr>
        <w:pStyle w:val="BodyText"/>
      </w:pPr>
      <w:r>
        <w:rPr>
          <w:rFonts w:ascii="Arial" w:hAnsi="Arial" w:cs="Arial" w:eastAsia="Arial"/>
        </w:rPr>
        <w:t xml:space="preserve">Target audience:</w:t>
      </w:r>
      <w:r>
        <w:rPr>
          <w:rFonts w:ascii="Arial" w:hAnsi="Arial" w:cs="Arial" w:eastAsia="Arial"/>
        </w:rPr>
        <w:t xml:space="preserve"> </w:t>
      </w:r>
      <w:r>
        <w:rPr>
          <w:rFonts w:ascii="Arial" w:hAnsi="Arial" w:cs="Arial" w:eastAsia="Arial"/>
          <w:b/>
          <w:bCs/>
        </w:rPr>
        <w:t xml:space="preserve">Café chains, restaurant groups and hotel kitchens in Johor</w:t>
      </w:r>
    </w:p>
    <w:p>
      <w:pPr>
        <w:pStyle w:val="BodyText"/>
      </w:pPr>
      <w:r>
        <w:rPr>
          <w:rFonts w:ascii="Arial" w:hAnsi="Arial" w:cs="Arial" w:eastAsia="Arial"/>
        </w:rPr>
        <w:t xml:space="preserve">Key product information to be included:</w:t>
      </w:r>
      <w:r>
        <w:rPr>
          <w:rFonts w:ascii="Arial" w:hAnsi="Arial" w:cs="Arial" w:eastAsia="Arial"/>
        </w:rPr>
        <w:t xml:space="preserve"> </w:t>
      </w:r>
      <w:r>
        <w:rPr>
          <w:rFonts w:ascii="Arial" w:hAnsi="Arial" w:cs="Arial" w:eastAsia="Arial"/>
          <w:b/>
          <w:bCs/>
        </w:rPr>
        <w:t xml:space="preserve">PrimaChef Combi Oven — RM12,500 per unit; 10-tray capacity; combination steam &amp; convection cooking modes; programmable cooking menus; automatic self-cleaning; 2 Years Warranty with On-Site Service</w:t>
      </w:r>
    </w:p>
    <w:p>
      <w:pPr>
        <w:pStyle w:val="BodyText"/>
      </w:pPr>
      <w:r>
        <w:rPr>
          <w:rFonts w:ascii="Arial" w:hAnsi="Arial" w:cs="Arial" w:eastAsia="Arial"/>
        </w:rPr>
        <w:t xml:space="preserve">Method of promotion / distribution and reason:</w:t>
      </w:r>
      <w:r>
        <w:rPr>
          <w:rFonts w:ascii="Arial" w:hAnsi="Arial" w:cs="Arial" w:eastAsia="Arial"/>
        </w:rPr>
        <w:t xml:space="preserve"> </w:t>
      </w:r>
      <w:r>
        <w:rPr>
          <w:rFonts w:ascii="Arial" w:hAnsi="Arial" w:cs="Arial" w:eastAsia="Arial"/>
          <w:b/>
          <w:bCs/>
        </w:rPr>
        <w:t xml:space="preserve">Email to F&amp;B corporate prospect list and physical distribution at food service trade events in Johor — to reach kitchen decision-makers and operators in the target F&amp;B corporate segment.</w:t>
      </w:r>
    </w:p>
    <w:p>
      <w:pPr>
        <w:pStyle w:val="BodyText"/>
      </w:pPr>
      <w:r>
        <w:rPr>
          <w:rFonts w:ascii="Arial" w:hAnsi="Arial" w:cs="Arial" w:eastAsia="Arial"/>
          <w:b/>
          <w:bCs/>
        </w:rPr>
        <w:t xml:space="preserve">B. MARKETING COLLATERAL</w:t>
      </w:r>
    </w:p>
    <w:p>
      <w:pPr>
        <w:pStyle w:val="BodyText"/>
      </w:pPr>
      <w:r>
        <w:rPr>
          <w:rFonts w:ascii="Arial" w:hAnsi="Arial" w:cs="Arial" w:eastAsia="Arial"/>
          <w:i/>
          <w:iCs/>
        </w:rPr>
        <w:t xml:space="preserve">(Model collateral — examiner reference; any collateral with accurate product information, correct selling price, at least three selling points and a valid enquiry method is acceptable.)</w:t>
      </w:r>
    </w:p>
    <w:p>
      <w:r>
        <w:rPr>
          <w:rFonts w:ascii="Arial" w:hAnsi="Arial" w:cs="Arial" w:eastAsia="Arial"/>
        </w:rPr>
        <w:pict>
          <v:rect style="width:0;height:1.5pt" o:hralign="center" o:hrstd="t" o:hr="t"/>
        </w:pict>
      </w:r>
    </w:p>
    <w:p>
      <w:pPr>
        <w:pStyle w:val="BlockText"/>
      </w:pPr>
      <w:r>
        <w:rPr>
          <w:rFonts w:ascii="Arial" w:hAnsi="Arial" w:cs="Arial" w:eastAsia="Arial"/>
          <w:b/>
          <w:bCs/>
        </w:rPr>
        <w:t xml:space="preserve">PRIMA DAPUR COMMERCIAL SDN. BHD.</w:t>
      </w:r>
      <w:r>
        <w:rPr>
          <w:rFonts w:ascii="Arial" w:hAnsi="Arial" w:cs="Arial" w:eastAsia="Arial"/>
        </w:rPr>
        <w:t xml:space="preserve"> </w:t>
      </w:r>
      <w:r>
        <w:rPr>
          <w:rFonts w:ascii="Arial" w:hAnsi="Arial" w:cs="Arial" w:eastAsia="Arial"/>
        </w:rPr>
        <w:t xml:space="preserve">Johor Bahru, Johor</w:t>
      </w:r>
    </w:p>
    <w:p>
      <w:pPr>
        <w:pStyle w:val="BlockText"/>
      </w:pPr>
      <w:r>
        <w:rPr>
          <w:rFonts w:ascii="Arial" w:hAnsi="Arial" w:cs="Arial" w:eastAsia="Arial"/>
          <w:b/>
          <w:bCs/>
        </w:rPr>
        <w:t xml:space="preserve">PrimaChef Combi Oven — Current Promotion</w:t>
      </w:r>
    </w:p>
    <w:p>
      <w:pPr>
        <w:pStyle w:val="BlockText"/>
      </w:pPr>
      <w:r>
        <w:rPr>
          <w:rFonts w:ascii="Arial" w:hAnsi="Arial" w:cs="Arial" w:eastAsia="Arial"/>
          <w:b/>
          <w:bCs/>
        </w:rPr>
        <w:t xml:space="preserve">Price: RM12,500 per unit</w:t>
      </w:r>
    </w:p>
    <w:p>
      <w:pPr>
        <w:pStyle w:val="BlockText"/>
      </w:pPr>
      <w:r>
        <w:rPr>
          <w:rFonts w:ascii="Arial" w:hAnsi="Arial" w:cs="Arial" w:eastAsia="Arial"/>
        </w:rPr>
        <w:t xml:space="preserve">✓ 10-tray capacity — high-volume commercial kitchen use</w:t>
      </w:r>
      <w:r>
        <w:rPr>
          <w:rFonts w:ascii="Arial" w:hAnsi="Arial" w:cs="Arial" w:eastAsia="Arial"/>
        </w:rPr>
        <w:t xml:space="preserve"> </w:t>
      </w:r>
      <w:r>
        <w:rPr>
          <w:rFonts w:ascii="Arial" w:hAnsi="Arial" w:cs="Arial" w:eastAsia="Arial"/>
        </w:rPr>
        <w:t xml:space="preserve">✓ Combination steam &amp; convection cooking modes</w:t>
      </w:r>
      <w:r>
        <w:rPr>
          <w:rFonts w:ascii="Arial" w:hAnsi="Arial" w:cs="Arial" w:eastAsia="Arial"/>
        </w:rPr>
        <w:t xml:space="preserve"> </w:t>
      </w:r>
      <w:r>
        <w:rPr>
          <w:rFonts w:ascii="Arial" w:hAnsi="Arial" w:cs="Arial" w:eastAsia="Arial"/>
        </w:rPr>
        <w:t xml:space="preserve">✓ Programmable cooking menus + automatic self-cleaning</w:t>
      </w:r>
      <w:r>
        <w:rPr>
          <w:rFonts w:ascii="Arial" w:hAnsi="Arial" w:cs="Arial" w:eastAsia="Arial"/>
        </w:rPr>
        <w:t xml:space="preserve"> </w:t>
      </w:r>
      <w:r>
        <w:rPr>
          <w:rFonts w:ascii="Arial" w:hAnsi="Arial" w:cs="Arial" w:eastAsia="Arial"/>
        </w:rPr>
        <w:t xml:space="preserve">✓ 2 Years Warranty with On-Site Service</w:t>
      </w:r>
      <w:r>
        <w:rPr>
          <w:rFonts w:ascii="Arial" w:hAnsi="Arial" w:cs="Arial" w:eastAsia="Arial"/>
        </w:rPr>
        <w:t xml:space="preserve"> </w:t>
      </w:r>
      <w:r>
        <w:rPr>
          <w:rFonts w:ascii="Arial" w:hAnsi="Arial" w:cs="Arial" w:eastAsia="Arial"/>
        </w:rPr>
        <w:t xml:space="preserve">✓ Delivery and installation within 3 weeks (West Malaysia)</w:t>
      </w:r>
    </w:p>
    <w:p>
      <w:pPr>
        <w:pStyle w:val="BlockText"/>
      </w:pPr>
      <w:r>
        <w:rPr>
          <w:rFonts w:ascii="Arial" w:hAnsi="Arial" w:cs="Arial" w:eastAsia="Arial"/>
          <w:b/>
          <w:bCs/>
        </w:rPr>
        <w:t xml:space="preserve">Enquiries: Company Website | Corporate Sales Email | Showroom Visit by Appointment</w:t>
      </w:r>
    </w:p>
    <w:p>
      <w:pPr>
        <w:pStyle w:val="BlockText"/>
      </w:pPr>
      <w:r>
        <w:rPr>
          <w:rFonts w:ascii="Arial" w:hAnsi="Arial" w:cs="Arial" w:eastAsia="Arial"/>
          <w:i/>
          <w:iCs/>
        </w:rPr>
        <w:t xml:space="preserve">Promotion — Now Available for F&amp;B Corporate Orders</w: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C. DISTRIBUTION RECORD</w:t>
      </w:r>
    </w:p>
    <w:p>
      <w:pPr>
        <w:pStyle w:val="BodyText"/>
      </w:pPr>
      <w:r>
        <w:rPr>
          <w:rFonts w:ascii="Arial" w:hAnsi="Arial" w:cs="Arial" w:eastAsia="Arial"/>
        </w:rPr>
        <w:t xml:space="preserve">Date:</w:t>
      </w:r>
      <w:r>
        <w:rPr>
          <w:rFonts w:ascii="Arial" w:hAnsi="Arial" w:cs="Arial" w:eastAsia="Arial"/>
        </w:rPr>
        <w:t xml:space="preserve"> </w:t>
      </w:r>
      <w:r>
        <w:rPr>
          <w:rFonts w:ascii="Arial" w:hAnsi="Arial" w:cs="Arial" w:eastAsia="Arial"/>
          <w:b/>
          <w:bCs/>
        </w:rPr>
        <w:t xml:space="preserve">[Assessment date]</w:t>
      </w:r>
    </w:p>
    <w:p>
      <w:pPr>
        <w:pStyle w:val="BodyText"/>
      </w:pPr>
      <w:r>
        <w:rPr>
          <w:rFonts w:ascii="Arial" w:hAnsi="Arial" w:cs="Arial" w:eastAsia="Arial"/>
        </w:rPr>
        <w:t xml:space="preserve">Type of collateral:</w:t>
      </w:r>
      <w:r>
        <w:rPr>
          <w:rFonts w:ascii="Arial" w:hAnsi="Arial" w:cs="Arial" w:eastAsia="Arial"/>
        </w:rPr>
        <w:t xml:space="preserve"> </w:t>
      </w:r>
      <w:r>
        <w:rPr>
          <w:rFonts w:ascii="Arial" w:hAnsi="Arial" w:cs="Arial" w:eastAsia="Arial"/>
          <w:b/>
          <w:bCs/>
        </w:rPr>
        <w:t xml:space="preserve">A4 flyer — PrimaChef Combi Oven promotion</w:t>
      </w:r>
    </w:p>
    <w:p>
      <w:pPr>
        <w:pStyle w:val="BodyText"/>
      </w:pPr>
      <w:r>
        <w:rPr>
          <w:rFonts w:ascii="Arial" w:hAnsi="Arial" w:cs="Arial" w:eastAsia="Arial"/>
        </w:rPr>
        <w:t xml:space="preserve">Quantity distributed:</w:t>
      </w:r>
      <w:r>
        <w:rPr>
          <w:rFonts w:ascii="Arial" w:hAnsi="Arial" w:cs="Arial" w:eastAsia="Arial"/>
        </w:rPr>
        <w:t xml:space="preserve"> </w:t>
      </w:r>
      <w:r>
        <w:rPr>
          <w:rFonts w:ascii="Arial" w:hAnsi="Arial" w:cs="Arial" w:eastAsia="Arial"/>
          <w:b/>
          <w:bCs/>
        </w:rPr>
        <w:t xml:space="preserve">[As stated by candidate]</w:t>
      </w:r>
    </w:p>
    <w:p>
      <w:pPr>
        <w:pStyle w:val="BodyText"/>
      </w:pPr>
      <w:r>
        <w:rPr>
          <w:rFonts w:ascii="Arial" w:hAnsi="Arial" w:cs="Arial" w:eastAsia="Arial"/>
        </w:rPr>
        <w:t xml:space="preserve">Distribution channel / recipient:</w:t>
      </w:r>
      <w:r>
        <w:rPr>
          <w:rFonts w:ascii="Arial" w:hAnsi="Arial" w:cs="Arial" w:eastAsia="Arial"/>
        </w:rPr>
        <w:t xml:space="preserve"> </w:t>
      </w:r>
      <w:r>
        <w:rPr>
          <w:rFonts w:ascii="Arial" w:hAnsi="Arial" w:cs="Arial" w:eastAsia="Arial"/>
          <w:b/>
          <w:bCs/>
        </w:rPr>
        <w:t xml:space="preserve">F&amp;B corporate prospect email list and food service trade event participants in Johor</w:t>
      </w:r>
    </w:p>
    <w:p>
      <w:pPr>
        <w:pStyle w:val="BodyText"/>
      </w:pPr>
      <w:r>
        <w:rPr>
          <w:rFonts w:ascii="Arial" w:hAnsi="Arial" w:cs="Arial" w:eastAsia="Arial"/>
        </w:rPr>
        <w:t xml:space="preserve">Recorded by:</w:t>
      </w:r>
      <w:r>
        <w:rPr>
          <w:rFonts w:ascii="Arial" w:hAnsi="Arial" w:cs="Arial" w:eastAsia="Arial"/>
        </w:rPr>
        <w:t xml:space="preserve"> </w:t>
      </w:r>
      <w:r>
        <w:rPr>
          <w:rFonts w:ascii="Arial" w:hAnsi="Arial" w:cs="Arial" w:eastAsia="Arial"/>
          <w:b/>
          <w:bCs/>
        </w:rPr>
        <w:t xml:space="preserve">[Candidate Name]</w: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FB-018-45:2012/2026/B/01 — TAMAT</w:t>
      </w:r>
    </w:p>
    <w:bookmarkEnd w:id="13"/>
    <w:bookmarkEnd w:id="14"/>
    <w:sectPr w:rsidR="00FC693F" w:rsidRPr="0006063C" w:rsidSect="00034616">
      <w:headerReference w:type="default" r:id="rId9"/>
      <w:footerReference w:type="default" r:id="rId10"/>
      <w:pgSz w:h="16838" w:w="11906"/>
      <w:pgMar w:bottom="1417" w:footer="720" w:gutter="0" w:header="720"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cs="Arial" w:eastAsia="Arial"/>
        <w:b/>
        <w:sz w:val="18"/>
      </w:rPr>
      <w:t>FB-018-45:2012/2026/B/01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jc w:val="left"/>
    </w:pPr>
    <w:rPr>
      <w:rFonts w:ascii="Arial" w:cs="Arial" w:eastAsia="Arial" w:hAnsi="Arial"/>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jc w:val="left"/>
      <w:outlineLvl w:val="0"/>
    </w:pPr>
    <w:rPr>
      <w:rFonts w:ascii="Arial" w:asciiTheme="majorHAnsi" w:cs="Arial" w:cstheme="majorBidi" w:eastAsia="Arial" w:eastAsiaTheme="majorEastAsia" w:hAnsi="Arial"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240"/>
      <w:jc w:val="left"/>
      <w:outlineLvl w:val="1"/>
    </w:pPr>
    <w:rPr>
      <w:rFonts w:ascii="Arial" w:asciiTheme="majorHAnsi" w:cs="Arial" w:cstheme="majorBidi" w:eastAsia="Arial" w:eastAsiaTheme="majorEastAsia" w:hAnsi="Arial"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120" w:before="240"/>
      <w:jc w:val="left"/>
      <w:outlineLvl w:val="2"/>
    </w:pPr>
    <w:rPr>
      <w:rFonts w:ascii="Arial" w:asciiTheme="majorHAnsi" w:cs="Arial" w:cstheme="majorBidi" w:eastAsia="Arial" w:eastAsiaTheme="majorEastAsia" w:hAnsi="Arial"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120" w:before="240"/>
      <w:jc w:val="left"/>
      <w:outlineLvl w:val="3"/>
    </w:pPr>
    <w:rPr>
      <w:rFonts w:ascii="Arial" w:asciiTheme="majorHAnsi" w:cs="Arial" w:cstheme="majorBidi" w:eastAsia="Arial" w:eastAsiaTheme="majorEastAsia" w:hAnsi="Arial" w:hAnsiTheme="majorHAnsi"/>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2026-08-25T10:09:43Z</dcterms:created>
  <dcterms:modified xsi:type="dcterms:W3CDTF">2026-08-25T10:09:43Z</dcterms:modified>
</cp:coreProperties>
</file>

<file path=docProps/custom.xml><?xml version="1.0" encoding="utf-8"?>
<Properties xmlns="http://schemas.openxmlformats.org/officeDocument/2006/custom-properties" xmlns:vt="http://schemas.openxmlformats.org/officeDocument/2006/docPropsVTypes"/>
</file>