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5 to 8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11" w:name="Xa3ce6d90cf420d6a7ef73606590a306f3adeb7a"/>
    <w:p>
      <w:pPr>
        <w:pStyle w:val="Heading2"/>
      </w:pPr>
      <w:r>
        <w:rPr>
          <w:rFonts w:ascii="Arial" w:hAnsi="Arial" w:cs="Arial" w:eastAsia="Arial"/>
        </w:rPr>
        <w:t xml:space="preserve">APPENDIX 5 — MARKETING STRATEGIC PLAN &amp; MARKET DEVELOPMENT FORM</w:t>
      </w:r>
    </w:p>
    <w:bookmarkStart w:id="9" w:name="part-a-marketing-strategic-planning-t1"/>
    <w:p>
      <w:pPr>
        <w:pStyle w:val="Heading3"/>
      </w:pPr>
      <w:r>
        <w:rPr>
          <w:rFonts w:ascii="Arial" w:hAnsi="Arial" w:cs="Arial" w:eastAsia="Arial"/>
        </w:rPr>
        <w:t xml:space="preserve">PART A — MARKETING STRATEGIC PLANNING (T1)</w:t>
      </w:r>
    </w:p>
    <w:p>
      <w:pPr>
        <w:pStyle w:val="FirstParagraph"/>
      </w:pPr>
      <w:r>
        <w:rPr>
          <w:rFonts w:ascii="Arial" w:hAnsi="Arial" w:cs="Arial" w:eastAsia="Arial"/>
          <w:b/>
          <w:bCs/>
        </w:rPr>
        <w:t xml:space="preserve">A1. MARKET TRENDS</w:t>
      </w:r>
    </w:p>
    <w:p>
      <w:pPr>
        <w:pStyle w:val="Compact"/>
        <w:numPr>
          <w:ilvl w:val="0"/>
          <w:numId w:val="1001"/>
        </w:numPr>
      </w:pPr>
      <w:r>
        <w:rPr>
          <w:rFonts w:ascii="Arial" w:hAnsi="Arial" w:cs="Arial" w:eastAsia="Arial"/>
          <w:b/>
          <w:bCs/>
        </w:rPr>
        <w:t xml:space="preserve">Growing demand for health-conscious ready-to-drink (RTD) beverages — 64% of survey respondents drink RTD tea at least weekly and 71% expressed interest in botanical RTD tea, indicating a strong and expanding market trend toward healthier drink options.</w:t>
      </w:r>
    </w:p>
    <w:p>
      <w:pPr>
        <w:pStyle w:val="Compact"/>
        <w:numPr>
          <w:ilvl w:val="0"/>
          <w:numId w:val="1001"/>
        </w:numPr>
      </w:pPr>
      <w:r>
        <w:rPr>
          <w:rFonts w:ascii="Arial" w:hAnsi="Arial" w:cs="Arial" w:eastAsia="Arial"/>
          <w:b/>
          <w:bCs/>
        </w:rPr>
        <w:t xml:space="preserve">Premium and functional beverage positioning is increasing — Competitor C (imported brand, RM4.50) is positioned as a premium health lifestyle product, signalling that consumers are willing to pay more for functional or botanical RTD tea options.</w:t>
      </w:r>
    </w:p>
    <w:p>
      <w:pPr>
        <w:pStyle w:val="FirstParagraph"/>
      </w:pPr>
      <w:r>
        <w:rPr>
          <w:rFonts w:ascii="Arial" w:hAnsi="Arial" w:cs="Arial" w:eastAsia="Arial"/>
          <w:i/>
          <w:iCs/>
        </w:rPr>
        <w:t xml:space="preserve">(Any two trends derived from Appendix 2 market survey and competitor matrix data are acceptable.)</w:t>
      </w:r>
    </w:p>
    <w:p>
      <w:pPr>
        <w:pStyle w:val="BodyText"/>
      </w:pPr>
      <w:r>
        <w:rPr>
          <w:rFonts w:ascii="Arial" w:hAnsi="Arial" w:cs="Arial" w:eastAsia="Arial"/>
          <w:b/>
          <w:bCs/>
        </w:rPr>
        <w:t xml:space="preserve">A2. ISSUES IN MARKET</w:t>
      </w:r>
    </w:p>
    <w:p>
      <w:pPr>
        <w:pStyle w:val="Compact"/>
        <w:numPr>
          <w:ilvl w:val="0"/>
          <w:numId w:val="1002"/>
        </w:numPr>
      </w:pPr>
      <w:r>
        <w:rPr>
          <w:rFonts w:ascii="Arial" w:hAnsi="Arial" w:cs="Arial" w:eastAsia="Arial"/>
          <w:b/>
          <w:bCs/>
        </w:rPr>
        <w:t xml:space="preserve">Competitive pricing pressure from low-price national brands — Competitor A (RTD black tea at RM3.50) targets the mass market at a lower price point, which may make price-sensitive consumers reluctant to adopt SegarTea Botanical at a higher price.</w:t>
      </w:r>
    </w:p>
    <w:p>
      <w:pPr>
        <w:pStyle w:val="Compact"/>
        <w:numPr>
          <w:ilvl w:val="0"/>
          <w:numId w:val="1002"/>
        </w:numPr>
      </w:pPr>
      <w:r>
        <w:rPr>
          <w:rFonts w:ascii="Arial" w:hAnsi="Arial" w:cs="Arial" w:eastAsia="Arial"/>
          <w:b/>
          <w:bCs/>
        </w:rPr>
        <w:t xml:space="preserve">Limited awareness of botanical RTD tea in the mass market — most existing RTD tea competitors are positioned as traditional or black tea; botanical RTD tea is a relatively new segment that requires consumer education and targeted promotion.</w:t>
      </w:r>
    </w:p>
    <w:p>
      <w:pPr>
        <w:pStyle w:val="FirstParagraph"/>
      </w:pPr>
      <w:r>
        <w:rPr>
          <w:rFonts w:ascii="Arial" w:hAnsi="Arial" w:cs="Arial" w:eastAsia="Arial"/>
          <w:i/>
          <w:iCs/>
        </w:rPr>
        <w:t xml:space="preserve">(Any two issues derived from the data in Appendix 2 are acceptable.)</w:t>
      </w:r>
    </w:p>
    <w:p>
      <w:pPr>
        <w:pStyle w:val="BodyText"/>
      </w:pPr>
      <w:r>
        <w:rPr>
          <w:rFonts w:ascii="Arial" w:hAnsi="Arial" w:cs="Arial" w:eastAsia="Arial"/>
          <w:b/>
          <w:bCs/>
        </w:rPr>
        <w:t xml:space="preserve">A3. TARGET MARKET ASSESSMENT</w:t>
      </w:r>
    </w:p>
    <w:p>
      <w:pPr>
        <w:pStyle w:val="BodyText"/>
      </w:pPr>
      <w:r>
        <w:rPr>
          <w:rFonts w:ascii="Arial" w:hAnsi="Arial" w:cs="Arial" w:eastAsia="Arial"/>
        </w:rPr>
        <w:t xml:space="preserve">Buying factors:</w:t>
      </w:r>
      <w:r>
        <w:rPr>
          <w:rFonts w:ascii="Arial" w:hAnsi="Arial" w:cs="Arial" w:eastAsia="Arial"/>
        </w:rPr>
        <w:t xml:space="preserve"> </w:t>
      </w:r>
      <w:r>
        <w:rPr>
          <w:rFonts w:ascii="Arial" w:hAnsi="Arial" w:cs="Arial" w:eastAsia="Arial"/>
          <w:b/>
          <w:bCs/>
        </w:rPr>
        <w:t xml:space="preserve">Health benefit / less sugar (46% of respondents, the main buying factor) and Price (30% of respondents, the second buying factor). Targeted at the 25–39 age group (58%) who drink RTD tea at least weekly.</w:t>
      </w:r>
    </w:p>
    <w:p>
      <w:pPr>
        <w:pStyle w:val="BodyText"/>
      </w:pPr>
      <w:r>
        <w:rPr>
          <w:rFonts w:ascii="Arial" w:hAnsi="Arial" w:cs="Arial" w:eastAsia="Arial"/>
        </w:rPr>
        <w:t xml:space="preserve">Recommended price point:</w:t>
      </w:r>
      <w:r>
        <w:rPr>
          <w:rFonts w:ascii="Arial" w:hAnsi="Arial" w:cs="Arial" w:eastAsia="Arial"/>
        </w:rPr>
        <w:t xml:space="preserve"> </w:t>
      </w:r>
      <w:r>
        <w:rPr>
          <w:rFonts w:ascii="Arial" w:hAnsi="Arial" w:cs="Arial" w:eastAsia="Arial"/>
          <w:b/>
          <w:bCs/>
        </w:rPr>
        <w:t xml:space="preserve">RM4.20 for SegarTea Botanical Original and RM4.50 for SegarTea Botanical Zero Sugar (as stated in Appendix 3). Supported by: 55% of respondents are willing to pay RM4.00–RM4.50 for a 330ml RTD tea (Appendix 2), and the suggested retail price aligns with this willingness-to-pay range.</w:t>
      </w:r>
    </w:p>
    <w:p>
      <w:pPr>
        <w:pStyle w:val="BodyText"/>
      </w:pPr>
      <w:r>
        <w:rPr>
          <w:rFonts w:ascii="Arial" w:hAnsi="Arial" w:cs="Arial" w:eastAsia="Arial"/>
          <w:b/>
          <w:bCs/>
        </w:rPr>
        <w:t xml:space="preserve">A4. MARKETING PLAN SUMMARY</w:t>
      </w:r>
    </w:p>
    <w:p>
      <w:pPr>
        <w:pStyle w:val="BodyText"/>
      </w:pPr>
      <w:r>
        <w:rPr>
          <w:rFonts w:ascii="Arial" w:hAnsi="Arial" w:cs="Arial" w:eastAsia="Arial"/>
        </w:rPr>
        <w:t xml:space="preserve">Key feature to promote:</w:t>
      </w:r>
      <w:r>
        <w:rPr>
          <w:rFonts w:ascii="Arial" w:hAnsi="Arial" w:cs="Arial" w:eastAsia="Arial"/>
        </w:rPr>
        <w:t xml:space="preserve"> </w:t>
      </w:r>
      <w:r>
        <w:rPr>
          <w:rFonts w:ascii="Arial" w:hAnsi="Arial" w:cs="Arial" w:eastAsia="Arial"/>
          <w:b/>
          <w:bCs/>
        </w:rPr>
        <w:t xml:space="preserve">Health benefit — reduced sugar / botanical ingredients — as the differentiating product attribute of SegarTea Botanical.</w:t>
      </w:r>
    </w:p>
    <w:p>
      <w:pPr>
        <w:pStyle w:val="BodyText"/>
      </w:pPr>
      <w:r>
        <w:rPr>
          <w:rFonts w:ascii="Arial" w:hAnsi="Arial" w:cs="Arial" w:eastAsia="Arial"/>
        </w:rPr>
        <w:t xml:space="preserve">Benefits to buyers/users:</w:t>
      </w:r>
      <w:r>
        <w:rPr>
          <w:rFonts w:ascii="Arial" w:hAnsi="Arial" w:cs="Arial" w:eastAsia="Arial"/>
        </w:rPr>
        <w:t xml:space="preserve"> </w:t>
      </w:r>
      <w:r>
        <w:rPr>
          <w:rFonts w:ascii="Arial" w:hAnsi="Arial" w:cs="Arial" w:eastAsia="Arial"/>
          <w:b/>
          <w:bCs/>
        </w:rPr>
        <w:t xml:space="preserve">(1) Healthier beverage option — less sugar, botanical ingredients for health-conscious consumers. (2) Convenient ready-to-drink format — available at convenience stores and mini markets, the preferred purchase channel for 52% of respondents.</w:t>
      </w:r>
    </w:p>
    <w:p>
      <w:pPr>
        <w:pStyle w:val="BodyText"/>
      </w:pPr>
      <w:r>
        <w:rPr>
          <w:rFonts w:ascii="Arial" w:hAnsi="Arial" w:cs="Arial" w:eastAsia="Arial"/>
        </w:rPr>
        <w:t xml:space="preserve">Facts supporting the benefits:</w:t>
      </w:r>
      <w:r>
        <w:rPr>
          <w:rFonts w:ascii="Arial" w:hAnsi="Arial" w:cs="Arial" w:eastAsia="Arial"/>
        </w:rPr>
        <w:t xml:space="preserve"> </w:t>
      </w:r>
      <w:r>
        <w:rPr>
          <w:rFonts w:ascii="Arial" w:hAnsi="Arial" w:cs="Arial" w:eastAsia="Arial"/>
          <w:b/>
          <w:bCs/>
        </w:rPr>
        <w:t xml:space="preserve">46% of respondents cited health benefit / less sugar as the main buying factor (Appendix 2). SKU B (Zero Sugar) meets the zero-sugar demand directly; SKU A (Original) uses reduced sugar positioning.</w:t>
      </w:r>
    </w:p>
    <w:p>
      <w:pPr>
        <w:pStyle w:val="BodyText"/>
      </w:pPr>
      <w:r>
        <w:rPr>
          <w:rFonts w:ascii="Arial" w:hAnsi="Arial" w:cs="Arial" w:eastAsia="Arial"/>
        </w:rPr>
        <w:t xml:space="preserve">Plan for promoting benefits (channel &amp; approach):</w:t>
      </w:r>
      <w:r>
        <w:rPr>
          <w:rFonts w:ascii="Arial" w:hAnsi="Arial" w:cs="Arial" w:eastAsia="Arial"/>
        </w:rPr>
        <w:t xml:space="preserve"> </w:t>
      </w:r>
      <w:r>
        <w:rPr>
          <w:rFonts w:ascii="Arial" w:hAnsi="Arial" w:cs="Arial" w:eastAsia="Arial"/>
          <w:b/>
          <w:bCs/>
        </w:rPr>
        <w:t xml:space="preserve">Launch through convenience stores and mini markets (preferred by 52% of respondents) as primary distribution channel. Support with social media and in-store visibility activities to drive trial and brand awareness among the 25–39 urban Klang Valley segment.</w:t>
      </w:r>
    </w:p>
    <w:p>
      <w:pPr>
        <w:pStyle w:val="BodyText"/>
      </w:pPr>
      <w:r>
        <w:rPr>
          <w:rFonts w:ascii="Arial" w:hAnsi="Arial" w:cs="Arial" w:eastAsia="Arial"/>
        </w:rPr>
        <w:t xml:space="preserve">Performance measurement:</w:t>
      </w:r>
      <w:r>
        <w:rPr>
          <w:rFonts w:ascii="Arial" w:hAnsi="Arial" w:cs="Arial" w:eastAsia="Arial"/>
        </w:rPr>
        <w:t xml:space="preserve"> </w:t>
      </w:r>
      <w:r>
        <w:rPr>
          <w:rFonts w:ascii="Arial" w:hAnsi="Arial" w:cs="Arial" w:eastAsia="Arial"/>
          <w:b/>
          <w:bCs/>
        </w:rPr>
        <w:t xml:space="preserve">Measure sell-through rate at distributor outlets, repeat order rate within 8 weeks of launch, and sales volume against the 3-month sales budget forecast (Appendix 6).</w:t>
      </w:r>
    </w:p>
    <w:p>
      <w:r>
        <w:rPr>
          <w:rFonts w:ascii="Arial" w:hAnsi="Arial" w:cs="Arial" w:eastAsia="Arial"/>
        </w:rPr>
        <w:pict>
          <v:rect style="width:0;height:1.5pt" o:hralign="center" o:hrstd="t" o:hr="t"/>
        </w:pict>
      </w:r>
    </w:p>
    <w:bookmarkEnd w:id="9"/>
    <w:bookmarkStart w:id="10" w:name="part-b-market-development-t6"/>
    <w:p>
      <w:pPr>
        <w:pStyle w:val="Heading3"/>
      </w:pPr>
      <w:r>
        <w:rPr>
          <w:rFonts w:ascii="Arial" w:hAnsi="Arial" w:cs="Arial" w:eastAsia="Arial"/>
        </w:rPr>
        <w:t xml:space="preserve">PART B — MARKET DEVELOPMENT (T6)</w:t>
      </w:r>
    </w:p>
    <w:p>
      <w:pPr>
        <w:pStyle w:val="FirstParagraph"/>
      </w:pPr>
      <w:r>
        <w:rPr>
          <w:rFonts w:ascii="Arial" w:hAnsi="Arial" w:cs="Arial" w:eastAsia="Arial"/>
          <w:b/>
          <w:bCs/>
        </w:rPr>
        <w:t xml:space="preserve">B1. TARGET MARKET PROFILE</w:t>
      </w:r>
    </w:p>
    <w:p>
      <w:pPr>
        <w:pStyle w:val="BodyText"/>
      </w:pPr>
      <w:r>
        <w:rPr>
          <w:rFonts w:ascii="Arial" w:hAnsi="Arial" w:cs="Arial" w:eastAsia="Arial"/>
        </w:rPr>
        <w:t xml:space="preserve">Profile of target customer:</w:t>
      </w:r>
      <w:r>
        <w:rPr>
          <w:rFonts w:ascii="Arial" w:hAnsi="Arial" w:cs="Arial" w:eastAsia="Arial"/>
        </w:rPr>
        <w:t xml:space="preserve"> </w:t>
      </w:r>
      <w:r>
        <w:rPr>
          <w:rFonts w:ascii="Arial" w:hAnsi="Arial" w:cs="Arial" w:eastAsia="Arial"/>
          <w:b/>
          <w:bCs/>
        </w:rPr>
        <w:t xml:space="preserve">Health-conscious adults, primarily aged 25–39, who consume RTD tea regularly and are interested in botanical or reduced-sugar beverage options.</w:t>
      </w:r>
    </w:p>
    <w:p>
      <w:pPr>
        <w:pStyle w:val="BodyText"/>
      </w:pPr>
      <w:r>
        <w:rPr>
          <w:rFonts w:ascii="Arial" w:hAnsi="Arial" w:cs="Arial" w:eastAsia="Arial"/>
        </w:rPr>
        <w:t xml:space="preserve">Customer area:</w:t>
      </w:r>
      <w:r>
        <w:rPr>
          <w:rFonts w:ascii="Arial" w:hAnsi="Arial" w:cs="Arial" w:eastAsia="Arial"/>
        </w:rPr>
        <w:t xml:space="preserve"> </w:t>
      </w:r>
      <w:r>
        <w:rPr>
          <w:rFonts w:ascii="Arial" w:hAnsi="Arial" w:cs="Arial" w:eastAsia="Arial"/>
          <w:b/>
          <w:bCs/>
        </w:rPr>
        <w:t xml:space="preserve">Urban Klang Valley (primary market) based on current company direction and market survey (Appendix 1 &amp; 2).</w:t>
      </w:r>
    </w:p>
    <w:p>
      <w:pPr>
        <w:pStyle w:val="BodyText"/>
      </w:pPr>
      <w:r>
        <w:rPr>
          <w:rFonts w:ascii="Arial" w:hAnsi="Arial" w:cs="Arial" w:eastAsia="Arial"/>
        </w:rPr>
        <w:t xml:space="preserve">Customer trend / lifestyle:</w:t>
      </w:r>
      <w:r>
        <w:rPr>
          <w:rFonts w:ascii="Arial" w:hAnsi="Arial" w:cs="Arial" w:eastAsia="Arial"/>
        </w:rPr>
        <w:t xml:space="preserve"> </w:t>
      </w:r>
      <w:r>
        <w:rPr>
          <w:rFonts w:ascii="Arial" w:hAnsi="Arial" w:cs="Arial" w:eastAsia="Arial"/>
          <w:b/>
          <w:bCs/>
        </w:rPr>
        <w:t xml:space="preserve">Health-conscious and convenience-driven — 64% drink RTD tea at least weekly and 71% are interested in botanical RTD tea. Prefer convenient purchase channels such as convenience stores and mini markets.</w:t>
      </w:r>
    </w:p>
    <w:p>
      <w:pPr>
        <w:pStyle w:val="BodyText"/>
      </w:pPr>
      <w:r>
        <w:rPr>
          <w:rFonts w:ascii="Arial" w:hAnsi="Arial" w:cs="Arial" w:eastAsia="Arial"/>
        </w:rPr>
        <w:t xml:space="preserve">Customer buying pattern:</w:t>
      </w:r>
      <w:r>
        <w:rPr>
          <w:rFonts w:ascii="Arial" w:hAnsi="Arial" w:cs="Arial" w:eastAsia="Arial"/>
        </w:rPr>
        <w:t xml:space="preserve"> </w:t>
      </w:r>
      <w:r>
        <w:rPr>
          <w:rFonts w:ascii="Arial" w:hAnsi="Arial" w:cs="Arial" w:eastAsia="Arial"/>
          <w:b/>
          <w:bCs/>
        </w:rPr>
        <w:t xml:space="preserve">Purchase RTD beverages at convenience stores and mini markets (52%) on a regular weekly basis. Main buying consideration is health benefit / less sugar (46%), followed by price (30%). Willing to pay RM4.00–RM4.50 for a 330ml RTD tea.</w:t>
      </w:r>
    </w:p>
    <w:p>
      <w:pPr>
        <w:pStyle w:val="BodyText"/>
      </w:pPr>
      <w:r>
        <w:rPr>
          <w:rFonts w:ascii="Arial" w:hAnsi="Arial" w:cs="Arial" w:eastAsia="Arial"/>
          <w:b/>
          <w:bCs/>
        </w:rPr>
        <w:t xml:space="preserve">B2. MARKET DEVELOPMENT PILOT RESULT ANALYSIS</w:t>
      </w:r>
    </w:p>
    <w:p>
      <w:pPr>
        <w:pStyle w:val="BodyText"/>
      </w:pPr>
      <w:r>
        <w:rPr>
          <w:rFonts w:ascii="Arial" w:hAnsi="Arial" w:cs="Arial" w:eastAsia="Arial"/>
        </w:rPr>
        <w:t xml:space="preserve">Area 1 (Klang Valley, 25 outlets) performance vs company requirement: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Sell-through: 78% — MEETS the 70%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Repeat orders: 16 of 25 outlets = 64% — MEETS the 50%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Overall: Area 1 PASSES both company requirements.</w:t>
      </w:r>
    </w:p>
    <w:p>
      <w:pPr>
        <w:pStyle w:val="BodyText"/>
      </w:pPr>
      <w:r>
        <w:rPr>
          <w:rFonts w:ascii="Arial" w:hAnsi="Arial" w:cs="Arial" w:eastAsia="Arial"/>
        </w:rPr>
        <w:t xml:space="preserve">Area 2 (Johor Bahru, 15 outlets) performance vs company requirement: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Sell-through: 52% — DOES NOT MEET the 70%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Repeat orders: 5 of 15 outlets = 33% — DOES NOT MEET the 50%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Overall: Area 2 FAILS both company requirements.</w:t>
      </w:r>
    </w:p>
    <w:p>
      <w:pPr>
        <w:pStyle w:val="BodyText"/>
      </w:pPr>
      <w:r>
        <w:rPr>
          <w:rFonts w:ascii="Arial" w:hAnsi="Arial" w:cs="Arial" w:eastAsia="Arial"/>
        </w:rPr>
        <w:t xml:space="preserve">Overall assessment &amp; recommendation:</w:t>
      </w:r>
      <w:r>
        <w:rPr>
          <w:rFonts w:ascii="Arial" w:hAnsi="Arial" w:cs="Arial" w:eastAsia="Arial"/>
        </w:rPr>
        <w:t xml:space="preserve"> </w:t>
      </w:r>
      <w:r>
        <w:rPr>
          <w:rFonts w:ascii="Arial" w:hAnsi="Arial" w:cs="Arial" w:eastAsia="Arial"/>
          <w:b/>
          <w:bCs/>
        </w:rPr>
        <w:t xml:space="preserve">Area 1 (Klang Valley) is ready for full commercial rollout — both sell-through (78%) and repeat order rate (64%) exceed the company requirements. Area 2 (Johor Bahru) is not yet ready — both KPIs are below requirements. Recommendation: proceed with full launch in Klang Valley. Delay expansion to Johor Bahru until root causes of low sell-through and repeat order rate are investigated and addressed.</w:t>
      </w:r>
    </w:p>
    <w:p>
      <w:r>
        <w:rPr>
          <w:rFonts w:ascii="Arial" w:hAnsi="Arial" w:cs="Arial" w:eastAsia="Arial"/>
        </w:rPr>
        <w:pict>
          <v:rect style="width:0;height:1.5pt" o:hralign="center" o:hrstd="t" o:hr="t"/>
        </w:pict>
      </w:r>
    </w:p>
    <w:bookmarkEnd w:id="10"/>
    <w:bookmarkEnd w:id="11"/>
    <w:bookmarkStart w:id="14" w:name="Xce19210dc7ddf30a80444f8cb063fccbb7a73ff"/>
    <w:p>
      <w:pPr>
        <w:pStyle w:val="Heading2"/>
      </w:pPr>
      <w:r>
        <w:rPr>
          <w:rFonts w:ascii="Arial" w:hAnsi="Arial" w:cs="Arial" w:eastAsia="Arial"/>
        </w:rPr>
        <w:t xml:space="preserve">APPENDIX 6 — SALES BUDGET &amp; BUSINESS ANALYSIS FORM</w:t>
      </w:r>
    </w:p>
    <w:bookmarkStart w:id="12" w:name="part-a-sales-budget-t2"/>
    <w:p>
      <w:pPr>
        <w:pStyle w:val="Heading3"/>
      </w:pPr>
      <w:r>
        <w:rPr>
          <w:rFonts w:ascii="Arial" w:hAnsi="Arial" w:cs="Arial" w:eastAsia="Arial"/>
        </w:rPr>
        <w:t xml:space="preserve">PART A — SALES BUDGET (T2)</w:t>
      </w:r>
    </w:p>
    <w:p>
      <w:pPr>
        <w:pStyle w:val="FirstParagraph"/>
      </w:pPr>
      <w:r>
        <w:rPr>
          <w:rFonts w:ascii="Arial" w:hAnsi="Arial" w:cs="Arial" w:eastAsia="Arial"/>
          <w:b/>
          <w:bCs/>
        </w:rPr>
        <w:t xml:space="preserve">A1. MARGIN PER PRODUCT</w:t>
      </w:r>
    </w:p>
    <w:p>
      <w:pPr>
        <w:pStyle w:val="BodyText"/>
      </w:pPr>
      <w:r>
        <w:rPr>
          <w:rFonts w:ascii="Arial" w:hAnsi="Arial" w:cs="Arial" w:eastAsia="Arial"/>
        </w:rPr>
        <w:t xml:space="preserve">SKU A margin: (RM3.00 − RM1.80) ÷ RM3.00 × 100 =</w:t>
      </w:r>
      <w:r>
        <w:rPr>
          <w:rFonts w:ascii="Arial" w:hAnsi="Arial" w:cs="Arial" w:eastAsia="Arial"/>
        </w:rPr>
        <w:t xml:space="preserve"> </w:t>
      </w:r>
      <w:r>
        <w:rPr>
          <w:rFonts w:ascii="Arial" w:hAnsi="Arial" w:cs="Arial" w:eastAsia="Arial"/>
          <w:b/>
          <w:bCs/>
        </w:rPr>
        <w:t xml:space="preserve">40.00 %</w:t>
      </w:r>
    </w:p>
    <w:p>
      <w:pPr>
        <w:pStyle w:val="BodyText"/>
      </w:pPr>
      <w:r>
        <w:rPr>
          <w:rFonts w:ascii="Arial" w:hAnsi="Arial" w:cs="Arial" w:eastAsia="Arial"/>
        </w:rPr>
        <w:t xml:space="preserve">SKU B margin: (RM3.40 − RM2.00) ÷ RM3.40 × 100 =</w:t>
      </w:r>
      <w:r>
        <w:rPr>
          <w:rFonts w:ascii="Arial" w:hAnsi="Arial" w:cs="Arial" w:eastAsia="Arial"/>
        </w:rPr>
        <w:t xml:space="preserve"> </w:t>
      </w:r>
      <w:r>
        <w:rPr>
          <w:rFonts w:ascii="Arial" w:hAnsi="Arial" w:cs="Arial" w:eastAsia="Arial"/>
          <w:b/>
          <w:bCs/>
        </w:rPr>
        <w:t xml:space="preserve">41.18 %</w:t>
      </w:r>
    </w:p>
    <w:p>
      <w:pPr>
        <w:pStyle w:val="BodyText"/>
      </w:pPr>
      <w:r>
        <w:rPr>
          <w:rFonts w:ascii="Arial" w:hAnsi="Arial" w:cs="Arial" w:eastAsia="Arial"/>
        </w:rPr>
        <w:t xml:space="preserve">Conclusion:</w:t>
      </w:r>
      <w:r>
        <w:rPr>
          <w:rFonts w:ascii="Arial" w:hAnsi="Arial" w:cs="Arial" w:eastAsia="Arial"/>
        </w:rPr>
        <w:t xml:space="preserve"> </w:t>
      </w:r>
      <w:r>
        <w:rPr>
          <w:rFonts w:ascii="Arial" w:hAnsi="Arial" w:cs="Arial" w:eastAsia="Arial"/>
          <w:b/>
          <w:bCs/>
        </w:rPr>
        <w:t xml:space="preserve">Both SKU A (40.00%) and SKU B (41.18%) meet the company’s required gross margin of a minimum 40% of selling price. Both products are approved for sale.</w:t>
      </w:r>
    </w:p>
    <w:p>
      <w:pPr>
        <w:pStyle w:val="BodyText"/>
      </w:pPr>
      <w:r>
        <w:rPr>
          <w:rFonts w:ascii="Arial" w:hAnsi="Arial" w:cs="Arial" w:eastAsia="Arial"/>
          <w:b/>
          <w:bCs/>
        </w:rPr>
        <w:t xml:space="preserve">A2. THREE (3) MONTH SALES BUDGET FORECAST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78"/>
        <w:gridCol w:w="1603"/>
        <w:gridCol w:w="1528"/>
        <w:gridCol w:w="1603"/>
        <w:gridCol w:w="1528"/>
        <w:gridCol w:w="1528"/>
      </w:tblGrid>
      <w:tr>
        <w:trPr>
          <w:tblHeader w:val="on"/>
          <w:cantSplit/>
        </w:trPr>
        <w:tc>
          <w:tcPr>
            <w:tcW w:type="dxa" w:w="127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6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A UNITS</w:t>
            </w:r>
          </w:p>
        </w:tc>
        <w:tc>
          <w:tcPr>
            <w:tcW w:type="dxa" w:w="15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A (RM)</w:t>
            </w:r>
          </w:p>
        </w:tc>
        <w:tc>
          <w:tcPr>
            <w:tcW w:type="dxa" w:w="16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B UNITS</w:t>
            </w:r>
          </w:p>
        </w:tc>
        <w:tc>
          <w:tcPr>
            <w:tcW w:type="dxa" w:w="15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 B (RM)</w:t>
            </w:r>
          </w:p>
        </w:tc>
        <w:tc>
          <w:tcPr>
            <w:tcW w:type="dxa" w:w="152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 (RM)</w:t>
            </w:r>
          </w:p>
        </w:tc>
      </w:tr>
      <w:tr>
        <w:trPr>
          <w:cantSplit/>
        </w:trPr>
        <w:tc>
          <w:tcPr>
            <w:tcW w:type="dxa" w:w="12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1</w:t>
            </w:r>
          </w:p>
        </w:tc>
        <w:tc>
          <w:tcPr>
            <w:tcW w:type="dxa" w:w="16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60,000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180,000</w:t>
            </w:r>
          </w:p>
        </w:tc>
        <w:tc>
          <w:tcPr>
            <w:tcW w:type="dxa" w:w="16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30,000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102,000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282,000</w:t>
            </w:r>
          </w:p>
        </w:tc>
      </w:tr>
      <w:tr>
        <w:trPr>
          <w:cantSplit/>
        </w:trPr>
        <w:tc>
          <w:tcPr>
            <w:tcW w:type="dxa" w:w="12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2</w:t>
            </w:r>
          </w:p>
        </w:tc>
        <w:tc>
          <w:tcPr>
            <w:tcW w:type="dxa" w:w="16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72,000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216,000</w:t>
            </w:r>
          </w:p>
        </w:tc>
        <w:tc>
          <w:tcPr>
            <w:tcW w:type="dxa" w:w="16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36,000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122,400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338,400</w:t>
            </w:r>
          </w:p>
        </w:tc>
      </w:tr>
      <w:tr>
        <w:trPr>
          <w:cantSplit/>
        </w:trPr>
        <w:tc>
          <w:tcPr>
            <w:tcW w:type="dxa" w:w="1279"/>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3</w:t>
            </w:r>
          </w:p>
        </w:tc>
        <w:tc>
          <w:tcPr>
            <w:tcW w:type="dxa" w:w="16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79,200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237,600</w:t>
            </w:r>
          </w:p>
        </w:tc>
        <w:tc>
          <w:tcPr>
            <w:tcW w:type="dxa" w:w="160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39,600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134,640</w:t>
            </w:r>
          </w:p>
        </w:tc>
        <w:tc>
          <w:tcPr>
            <w:tcW w:type="dxa" w:w="152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372,240</w:t>
            </w:r>
          </w:p>
        </w:tc>
      </w:tr>
    </w:tbl>
    <w:p>
      <w:pPr>
        <w:pStyle w:val="BodyText"/>
      </w:pPr>
      <w:r>
        <w:rPr>
          <w:rFonts w:ascii="Arial" w:hAnsi="Arial" w:cs="Arial" w:eastAsia="Arial"/>
          <w:i/>
          <w:iCs/>
        </w:rPr>
        <w:t xml:space="preserve">Working:</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Month 1: SKU A 60,000 × RM3.00 = RM180,000; SKU B 30,000 × RM3.40 = RM102,000; Total = RM282,000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Month 2: SKU A 60,000 × 1.20 = 72,000 × RM3.00 = RM216,000; SKU B 30,000 × 1.20 = 36,000 × RM3.40 = RM122,400; Total = RM338,400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Month 3: SKU A 72,000 × 1.10 = 79,200 × RM3.00 = RM237,600; SKU B 36,000 × 1.10 = 39,600 × RM3.40 = RM134,640; Total = RM372,240</w:t>
      </w:r>
    </w:p>
    <w:p>
      <w:pPr>
        <w:pStyle w:val="BodyText"/>
      </w:pPr>
      <w:r>
        <w:rPr>
          <w:rFonts w:ascii="Arial" w:hAnsi="Arial" w:cs="Arial" w:eastAsia="Arial"/>
        </w:rPr>
        <w:t xml:space="preserve">Confirmation within capacity:</w:t>
      </w:r>
      <w:r>
        <w:rPr>
          <w:rFonts w:ascii="Arial" w:hAnsi="Arial" w:cs="Arial" w:eastAsia="Arial"/>
        </w:rPr>
        <w:t xml:space="preserve"> </w:t>
      </w:r>
      <w:r>
        <w:rPr>
          <w:rFonts w:ascii="Arial" w:hAnsi="Arial" w:cs="Arial" w:eastAsia="Arial"/>
          <w:b/>
          <w:bCs/>
        </w:rPr>
        <w:t xml:space="preserve">Month 1 total: 90,000 units (60,000 + 30,000). Month 2 total: 108,000 units. Month 3 total: 118,800 units. All three months are within monthly production capacity (200,000 units) and monthly distributor fulfilment capacity (150,000 units). ✓</w:t>
      </w:r>
    </w:p>
    <w:p>
      <w:r>
        <w:rPr>
          <w:rFonts w:ascii="Arial" w:hAnsi="Arial" w:cs="Arial" w:eastAsia="Arial"/>
        </w:rPr>
        <w:pict>
          <v:rect style="width:0;height:1.5pt" o:hralign="center" o:hrstd="t" o:hr="t"/>
        </w:pict>
      </w:r>
    </w:p>
    <w:bookmarkEnd w:id="12"/>
    <w:bookmarkStart w:id="13" w:name="part-b-business-analysis-t4"/>
    <w:p>
      <w:pPr>
        <w:pStyle w:val="Heading3"/>
      </w:pPr>
      <w:r>
        <w:rPr>
          <w:rFonts w:ascii="Arial" w:hAnsi="Arial" w:cs="Arial" w:eastAsia="Arial"/>
        </w:rPr>
        <w:t xml:space="preserve">PART B — BUSINESS ANALYSIS (T4)</w:t>
      </w:r>
    </w:p>
    <w:p>
      <w:pPr>
        <w:pStyle w:val="FirstParagraph"/>
      </w:pPr>
      <w:r>
        <w:rPr>
          <w:rFonts w:ascii="Arial" w:hAnsi="Arial" w:cs="Arial" w:eastAsia="Arial"/>
        </w:rPr>
        <w:t xml:space="preserve">Estimated selling price:</w:t>
      </w:r>
      <w:r>
        <w:rPr>
          <w:rFonts w:ascii="Arial" w:hAnsi="Arial" w:cs="Arial" w:eastAsia="Arial"/>
        </w:rPr>
        <w:t xml:space="preserve"> </w:t>
      </w:r>
      <w:r>
        <w:rPr>
          <w:rFonts w:ascii="Arial" w:hAnsi="Arial" w:cs="Arial" w:eastAsia="Arial"/>
          <w:b/>
          <w:bCs/>
        </w:rPr>
        <w:t xml:space="preserve">SKU A (SegarTea Botanical Original): RM4.20 suggested retail price; SKU B (SegarTea Botanical Zero Sugar): RM4.50 suggested retail price (Appendix 3). Price is supported by the willingness-to-pay data — 55% of respondents are willing to pay RM4.00–RM4.50 for a 330ml RTD tea (Appendix 2) and is competitive against Competitor C (RM4.50, premium positioning).</w:t>
      </w:r>
    </w:p>
    <w:p>
      <w:pPr>
        <w:pStyle w:val="BodyText"/>
      </w:pPr>
      <w:r>
        <w:rPr>
          <w:rFonts w:ascii="Arial" w:hAnsi="Arial" w:cs="Arial" w:eastAsia="Arial"/>
        </w:rPr>
        <w:t xml:space="preserve">Estimated sales volume:</w:t>
      </w:r>
      <w:r>
        <w:rPr>
          <w:rFonts w:ascii="Arial" w:hAnsi="Arial" w:cs="Arial" w:eastAsia="Arial"/>
        </w:rPr>
        <w:t xml:space="preserve"> </w:t>
      </w:r>
      <w:r>
        <w:rPr>
          <w:rFonts w:ascii="Arial" w:hAnsi="Arial" w:cs="Arial" w:eastAsia="Arial"/>
          <w:b/>
          <w:bCs/>
        </w:rPr>
        <w:t xml:space="preserve">Based on Month 1 projection from Appendix 3: SKU A 60,000 units and SKU B 30,000 units per month (total 90,000 units per month). This is within both production and distributor fulfilment capacity. Volume is supported by the 71% purchase interest rate from the market survey (Appendix 2).</w:t>
      </w:r>
    </w:p>
    <w:p>
      <w:pPr>
        <w:pStyle w:val="BodyText"/>
      </w:pPr>
      <w:r>
        <w:rPr>
          <w:rFonts w:ascii="Arial" w:hAnsi="Arial" w:cs="Arial" w:eastAsia="Arial"/>
        </w:rPr>
        <w:t xml:space="preserve">Break-even point estimate:</w:t>
      </w:r>
    </w:p>
    <w:p>
      <w:pPr>
        <w:pStyle w:val="BodyText"/>
      </w:pPr>
      <w:r>
        <w:rPr>
          <w:rFonts w:ascii="Arial" w:hAnsi="Arial" w:cs="Arial" w:eastAsia="Arial"/>
          <w:i/>
          <w:iCs/>
        </w:rPr>
        <w:t xml:space="preserve">Contribution per unit: SKU A = RM3.00 − RM1.80 = RM1.20; SKU B = RM3.40 − RM2.00 = RM1.40</w:t>
      </w:r>
    </w:p>
    <w:p>
      <w:pPr>
        <w:pStyle w:val="BodyText"/>
      </w:pPr>
      <w:r>
        <w:rPr>
          <w:rFonts w:ascii="Arial" w:hAnsi="Arial" w:cs="Arial" w:eastAsia="Arial"/>
          <w:i/>
          <w:iCs/>
        </w:rPr>
        <w:t xml:space="preserve">Weighted average contribution (Month 1 mix: 60,000 SKU A : 30,000 SKU B = 2:1 ratio):</w:t>
      </w:r>
      <w:r>
        <w:rPr>
          <w:rFonts w:ascii="Arial" w:hAnsi="Arial" w:cs="Arial" w:eastAsia="Arial"/>
        </w:rPr>
        <w:t xml:space="preserve"> </w:t>
      </w:r>
      <w:r>
        <w:rPr>
          <w:rFonts w:ascii="Arial" w:hAnsi="Arial" w:cs="Arial" w:eastAsia="Arial"/>
          <w:i/>
          <w:iCs/>
        </w:rPr>
        <w:t xml:space="preserve">(60,000 × RM1.20 + 30,000 × RM1.40) ÷ 90,000 = (RM72,000 + RM42,000) ÷ 90,000 = RM114,000 ÷ 90,000 =</w:t>
      </w:r>
      <w:r>
        <w:rPr>
          <w:rFonts w:ascii="Arial" w:hAnsi="Arial" w:cs="Arial" w:eastAsia="Arial"/>
          <w:i/>
          <w:iCs/>
        </w:rPr>
        <w:t xml:space="preserve"> </w:t>
      </w:r>
      <w:r>
        <w:rPr>
          <w:rFonts w:ascii="Arial" w:hAnsi="Arial" w:cs="Arial" w:eastAsia="Arial"/>
          <w:b/>
          <w:bCs/>
          <w:i/>
          <w:iCs/>
        </w:rPr>
        <w:t xml:space="preserve">RM1.267 per unit</w:t>
      </w:r>
    </w:p>
    <w:p>
      <w:pPr>
        <w:pStyle w:val="BodyText"/>
      </w:pPr>
      <w:r>
        <w:rPr>
          <w:rFonts w:ascii="Arial" w:hAnsi="Arial" w:cs="Arial" w:eastAsia="Arial"/>
          <w:i/>
          <w:iCs/>
        </w:rPr>
        <w:t xml:space="preserve">Fixed operating expenses per month: RM120,000 (Appendix 3)</w:t>
      </w:r>
    </w:p>
    <w:p>
      <w:pPr>
        <w:pStyle w:val="BodyText"/>
      </w:pPr>
      <w:r>
        <w:rPr>
          <w:rFonts w:ascii="Arial" w:hAnsi="Arial" w:cs="Arial" w:eastAsia="Arial"/>
          <w:b/>
          <w:bCs/>
        </w:rPr>
        <w:t xml:space="preserve">Break-even point = RM120,000 ÷ RM1.267 = approximately 94,714 units per month</w:t>
      </w:r>
    </w:p>
    <w:p>
      <w:pPr>
        <w:pStyle w:val="BodyText"/>
      </w:pPr>
      <w:r>
        <w:rPr>
          <w:rFonts w:ascii="Arial" w:hAnsi="Arial" w:cs="Arial" w:eastAsia="Arial"/>
          <w:i/>
          <w:iCs/>
        </w:rPr>
        <w:t xml:space="preserve">(SKU-by-SKU or blended weighted average method both accepted provided the working is shown and consistent with the data.)</w:t>
      </w:r>
    </w:p>
    <w:p>
      <w:pPr>
        <w:pStyle w:val="BodyText"/>
      </w:pPr>
      <w:r>
        <w:rPr>
          <w:rFonts w:ascii="Arial" w:hAnsi="Arial" w:cs="Arial" w:eastAsia="Arial"/>
        </w:rPr>
        <w:t xml:space="preserve">Profitability conclusion:</w:t>
      </w:r>
      <w:r>
        <w:rPr>
          <w:rFonts w:ascii="Arial" w:hAnsi="Arial" w:cs="Arial" w:eastAsia="Arial"/>
        </w:rPr>
        <w:t xml:space="preserve"> </w:t>
      </w:r>
      <w:r>
        <w:rPr>
          <w:rFonts w:ascii="Arial" w:hAnsi="Arial" w:cs="Arial" w:eastAsia="Arial"/>
          <w:b/>
          <w:bCs/>
        </w:rPr>
        <w:t xml:space="preserve">At Month 1 projected volume of 90,000 units, the business is below break-even (approximately 94,714 units required). From Month 2 onward (108,000 units), the projected volume exceeds break-even. The product line is projected to be profitable from Month 2. Both SKUs meet the required gross margin. The business is viable if Month 2 and Month 3 volumes are achieved.</w:t>
      </w:r>
    </w:p>
    <w:p>
      <w:r>
        <w:rPr>
          <w:rFonts w:ascii="Arial" w:hAnsi="Arial" w:cs="Arial" w:eastAsia="Arial"/>
        </w:rPr>
        <w:pict>
          <v:rect style="width:0;height:1.5pt" o:hralign="center" o:hrstd="t" o:hr="t"/>
        </w:pict>
      </w:r>
    </w:p>
    <w:bookmarkEnd w:id="13"/>
    <w:bookmarkEnd w:id="14"/>
    <w:bookmarkStart w:id="17" w:name="Xc583531524fc0ba1c8896db2f66b4c4d911ee2f"/>
    <w:p>
      <w:pPr>
        <w:pStyle w:val="Heading2"/>
      </w:pPr>
      <w:r>
        <w:rPr>
          <w:rFonts w:ascii="Arial" w:hAnsi="Arial" w:cs="Arial" w:eastAsia="Arial"/>
        </w:rPr>
        <w:t xml:space="preserve">APPENDIX 7 — OPERATION KPI &amp; STAFF/TRAINING FORM</w:t>
      </w:r>
    </w:p>
    <w:bookmarkStart w:id="15" w:name="Xe366c2df7c765b07202a36fc1faa532e8cc1973"/>
    <w:p>
      <w:pPr>
        <w:pStyle w:val="Heading3"/>
      </w:pPr>
      <w:r>
        <w:rPr>
          <w:rFonts w:ascii="Arial" w:hAnsi="Arial" w:cs="Arial" w:eastAsia="Arial"/>
        </w:rPr>
        <w:t xml:space="preserve">PART A — INDIVIDUAL KPI &amp; TEAM PERFORMANCE (T3)</w:t>
      </w:r>
    </w:p>
    <w:p>
      <w:pPr>
        <w:pStyle w:val="FirstParagraph"/>
      </w:pPr>
      <w:r>
        <w:rPr>
          <w:rFonts w:ascii="Arial" w:hAnsi="Arial" w:cs="Arial" w:eastAsia="Arial"/>
          <w:b/>
          <w:bCs/>
        </w:rPr>
        <w:t xml:space="preserve">A1. INDIVIDUAL MONTHLY SALES KPI</w:t>
      </w:r>
      <w:r>
        <w:rPr>
          <w:rFonts w:ascii="Arial" w:hAnsi="Arial" w:cs="Arial" w:eastAsia="Arial"/>
        </w:rPr>
        <w:t xml:space="preserve"> </w:t>
      </w:r>
      <w:r>
        <w:rPr>
          <w:rFonts w:ascii="Arial" w:hAnsi="Arial" w:cs="Arial" w:eastAsia="Arial"/>
        </w:rPr>
        <w:t xml:space="preserve">(based on Month 1 sales budget of RM282,000)</w:t>
      </w:r>
    </w:p>
    <w:p>
      <w:pPr>
        <w:pStyle w:val="BodyText"/>
      </w:pPr>
      <w:r>
        <w:rPr>
          <w:rFonts w:ascii="Arial" w:hAnsi="Arial" w:cs="Arial" w:eastAsia="Arial"/>
        </w:rPr>
        <w:t xml:space="preserve">Allocation basis: Proportional to current monthly sales targets (SE-1: RM60,000; SE-2: RM60,000; SE-3: RM50,000; SE-4: RM50,000; SE-5: RM40,000; total RM260,000).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04"/>
        <w:gridCol w:w="2824"/>
        <w:gridCol w:w="4342"/>
      </w:tblGrid>
      <w:tr>
        <w:trPr>
          <w:tblHeader w:val="on"/>
          <w:cantSplit/>
        </w:trPr>
        <w:tc>
          <w:tcPr>
            <w:tcW w:type="dxa" w:w="19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CODE</w:t>
            </w:r>
          </w:p>
        </w:tc>
        <w:tc>
          <w:tcPr>
            <w:tcW w:type="dxa" w:w="28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SALES KPI (RM)</w:t>
            </w:r>
          </w:p>
        </w:tc>
        <w:tc>
          <w:tcPr>
            <w:tcW w:type="dxa" w:w="434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JUSTIFICATION</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SE-1</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65,077</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RM60,000 ÷ RM260,000 × RM282,000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SE-2</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65,077</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RM60,000 ÷ RM260,000 × RM282,000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SE-3</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54,231</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RM50,000 ÷ RM260,000 × RM282,000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SE-4</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54,231</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RM50,000 ÷ RM260,000 × RM282,000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SE-5</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43,385</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RM40,000 ÷ RM260,000 × RM282,000</w:t>
            </w:r>
          </w:p>
        </w:tc>
      </w:tr>
    </w:tbl>
    <w:p>
      <w:pPr>
        <w:pStyle w:val="BodyText"/>
      </w:pPr>
      <w:r>
        <w:rPr>
          <w:rFonts w:ascii="Arial" w:hAnsi="Arial" w:cs="Arial" w:eastAsia="Arial"/>
        </w:rPr>
        <w:t xml:space="preserve">Total of individual KPI: RM</w:t>
      </w:r>
      <w:r>
        <w:rPr>
          <w:rFonts w:ascii="Arial" w:hAnsi="Arial" w:cs="Arial" w:eastAsia="Arial"/>
        </w:rPr>
        <w:t xml:space="preserve"> </w:t>
      </w:r>
      <w:r>
        <w:rPr>
          <w:rFonts w:ascii="Arial" w:hAnsi="Arial" w:cs="Arial" w:eastAsia="Arial"/>
          <w:b/>
          <w:bCs/>
        </w:rPr>
        <w:t xml:space="preserve">282,001</w:t>
      </w:r>
      <w:r>
        <w:rPr>
          <w:rFonts w:ascii="Arial" w:hAnsi="Arial" w:cs="Arial" w:eastAsia="Arial"/>
        </w:rPr>
        <w:t xml:space="preserve"> </w:t>
      </w:r>
      <w:r>
        <w:rPr>
          <w:rFonts w:ascii="Arial" w:hAnsi="Arial" w:cs="Arial" w:eastAsia="Arial"/>
          <w:i/>
          <w:iCs/>
        </w:rPr>
        <w:t xml:space="preserve">(rounding variance of RM1; acceptable)</w:t>
      </w:r>
    </w:p>
    <w:p>
      <w:pPr>
        <w:pStyle w:val="BodyText"/>
      </w:pPr>
      <w:r>
        <w:rPr>
          <w:rFonts w:ascii="Arial" w:hAnsi="Arial" w:cs="Arial" w:eastAsia="Arial"/>
          <w:i/>
          <w:iCs/>
        </w:rPr>
        <w:t xml:space="preserve">(Equal allocation of RM56,400 each also acceptable if well justified. Any consistent allocation method that totals RM282,000 is accepted.)</w:t>
      </w:r>
    </w:p>
    <w:p>
      <w:pPr>
        <w:pStyle w:val="BodyText"/>
      </w:pPr>
      <w:r>
        <w:rPr>
          <w:rFonts w:ascii="Arial" w:hAnsi="Arial" w:cs="Arial" w:eastAsia="Arial"/>
          <w:b/>
          <w:bCs/>
        </w:rPr>
        <w:t xml:space="preserve">A2. TEAM PERFORMANCE EVALUATION</w:t>
      </w:r>
    </w:p>
    <w:p>
      <w:pPr>
        <w:pStyle w:val="BodyText"/>
      </w:pPr>
      <w:r>
        <w:rPr>
          <w:rFonts w:ascii="Arial" w:hAnsi="Arial" w:cs="Arial" w:eastAsia="Arial"/>
        </w:rPr>
        <w:t xml:space="preserve">Staff performing above target:</w:t>
      </w:r>
      <w:r>
        <w:rPr>
          <w:rFonts w:ascii="Arial" w:hAnsi="Arial" w:cs="Arial" w:eastAsia="Arial"/>
        </w:rPr>
        <w:t xml:space="preserve"> </w:t>
      </w:r>
      <w:r>
        <w:rPr>
          <w:rFonts w:ascii="Arial" w:hAnsi="Arial" w:cs="Arial" w:eastAsia="Arial"/>
          <w:b/>
          <w:bCs/>
        </w:rPr>
        <w:t xml:space="preserve">SE-1 (110% achievement, RM66,000 actual vs RM60,000 target) and SE-4 (105% achievement, RM52,500 actual vs RM50,000 target).</w:t>
      </w:r>
    </w:p>
    <w:p>
      <w:pPr>
        <w:pStyle w:val="BodyText"/>
      </w:pPr>
      <w:r>
        <w:rPr>
          <w:rFonts w:ascii="Arial" w:hAnsi="Arial" w:cs="Arial" w:eastAsia="Arial"/>
        </w:rPr>
        <w:t xml:space="preserve">Staff performing below target:</w:t>
      </w:r>
      <w:r>
        <w:rPr>
          <w:rFonts w:ascii="Arial" w:hAnsi="Arial" w:cs="Arial" w:eastAsia="Arial"/>
        </w:rPr>
        <w:t xml:space="preserve"> </w:t>
      </w:r>
      <w:r>
        <w:rPr>
          <w:rFonts w:ascii="Arial" w:hAnsi="Arial" w:cs="Arial" w:eastAsia="Arial"/>
          <w:b/>
          <w:bCs/>
        </w:rPr>
        <w:t xml:space="preserve">SE-2 (75%, RM45,000 vs RM60,000), SE-3 (60%, RM30,000 vs RM50,000) and SE-5 (70%, RM28,000 vs RM40,000).</w:t>
      </w:r>
    </w:p>
    <w:p>
      <w:pPr>
        <w:pStyle w:val="BodyText"/>
      </w:pPr>
      <w:r>
        <w:rPr>
          <w:rFonts w:ascii="Arial" w:hAnsi="Arial" w:cs="Arial" w:eastAsia="Arial"/>
        </w:rPr>
        <w:t xml:space="preserve">Team performance evaluation summary:</w:t>
      </w:r>
      <w:r>
        <w:rPr>
          <w:rFonts w:ascii="Arial" w:hAnsi="Arial" w:cs="Arial" w:eastAsia="Arial"/>
        </w:rPr>
        <w:t xml:space="preserve"> </w:t>
      </w:r>
      <w:r>
        <w:rPr>
          <w:rFonts w:ascii="Arial" w:hAnsi="Arial" w:cs="Arial" w:eastAsia="Arial"/>
          <w:b/>
          <w:bCs/>
        </w:rPr>
        <w:t xml:space="preserve">SE-1 and SE-4 are performing above target and are the stronger performers. SE-3 and SE-5 are significantly below target — SE-3 at 60% is the most critical underperformer. SE-2 at 75% requires improvement. Three out of five staff are below target, indicating a team-wide performance gap that requires structured training and close supervision.</w:t>
      </w:r>
    </w:p>
    <w:p>
      <w:r>
        <w:rPr>
          <w:rFonts w:ascii="Arial" w:hAnsi="Arial" w:cs="Arial" w:eastAsia="Arial"/>
        </w:rPr>
        <w:pict>
          <v:rect style="width:0;height:1.5pt" o:hralign="center" o:hrstd="t" o:hr="t"/>
        </w:pict>
      </w:r>
    </w:p>
    <w:bookmarkEnd w:id="15"/>
    <w:bookmarkStart w:id="16" w:name="part-b-manpower-plan-training-needs-t5"/>
    <w:p>
      <w:pPr>
        <w:pStyle w:val="Heading3"/>
      </w:pPr>
      <w:r>
        <w:rPr>
          <w:rFonts w:ascii="Arial" w:hAnsi="Arial" w:cs="Arial" w:eastAsia="Arial"/>
        </w:rPr>
        <w:t xml:space="preserve">PART B — MANPOWER PLAN &amp; TRAINING NEEDS (T5)</w:t>
      </w:r>
    </w:p>
    <w:p>
      <w:pPr>
        <w:pStyle w:val="FirstParagraph"/>
      </w:pPr>
      <w:r>
        <w:rPr>
          <w:rFonts w:ascii="Arial" w:hAnsi="Arial" w:cs="Arial" w:eastAsia="Arial"/>
          <w:b/>
          <w:bCs/>
        </w:rPr>
        <w:t xml:space="preserve">B1. MANPOWER REQUIREMENT PLAN</w:t>
      </w:r>
    </w:p>
    <w:p>
      <w:pPr>
        <w:pStyle w:val="BodyText"/>
      </w:pPr>
      <w:r>
        <w:rPr>
          <w:rFonts w:ascii="Arial" w:hAnsi="Arial" w:cs="Arial" w:eastAsia="Arial"/>
        </w:rPr>
        <w:t xml:space="preserve">Current workforce:</w:t>
      </w:r>
      <w:r>
        <w:rPr>
          <w:rFonts w:ascii="Arial" w:hAnsi="Arial" w:cs="Arial" w:eastAsia="Arial"/>
        </w:rPr>
        <w:t xml:space="preserve"> </w:t>
      </w:r>
      <w:r>
        <w:rPr>
          <w:rFonts w:ascii="Arial" w:hAnsi="Arial" w:cs="Arial" w:eastAsia="Arial"/>
          <w:b/>
          <w:bCs/>
        </w:rPr>
        <w:t xml:space="preserve">5 sales staff (1 Senior Sales Executive, 3 Sales Executives, 1 Junior Sales Executive).</w:t>
      </w:r>
    </w:p>
    <w:p>
      <w:pPr>
        <w:pStyle w:val="BodyText"/>
      </w:pPr>
      <w:r>
        <w:rPr>
          <w:rFonts w:ascii="Arial" w:hAnsi="Arial" w:cs="Arial" w:eastAsia="Arial"/>
        </w:rPr>
        <w:t xml:space="preserve">Manpower requirement for the launch plan:</w:t>
      </w:r>
      <w:r>
        <w:rPr>
          <w:rFonts w:ascii="Arial" w:hAnsi="Arial" w:cs="Arial" w:eastAsia="Arial"/>
        </w:rPr>
        <w:t xml:space="preserve"> </w:t>
      </w:r>
      <w:r>
        <w:rPr>
          <w:rFonts w:ascii="Arial" w:hAnsi="Arial" w:cs="Arial" w:eastAsia="Arial"/>
          <w:b/>
          <w:bCs/>
        </w:rPr>
        <w:t xml:space="preserve">The current team of 5 sales staff is required to support the SegarTea Botanical launch in addition to existing products. Based on the 3-month sales budget, Month 1 target is RM282,000 rising to RM372,240 by Month 3. The current team structure is adequate for Month 1. However, if the expansion to southern regions proceeds (per company direction in Appendix 1), additional sales staff will be required. Recommendation: monitor team performance in Month 1 and Month 2; propose recruitment of 1 additional Sales Executive if expansion to southern region is activated.</w:t>
      </w:r>
    </w:p>
    <w:p>
      <w:pPr>
        <w:pStyle w:val="BodyText"/>
      </w:pPr>
      <w:r>
        <w:rPr>
          <w:rFonts w:ascii="Arial" w:hAnsi="Arial" w:cs="Arial" w:eastAsia="Arial"/>
          <w:i/>
          <w:iCs/>
        </w:rPr>
        <w:t xml:space="preserve">(Any data-linked manpower assessment is acceptable.)</w:t>
      </w:r>
    </w:p>
    <w:p>
      <w:pPr>
        <w:pStyle w:val="BodyText"/>
      </w:pPr>
      <w:r>
        <w:rPr>
          <w:rFonts w:ascii="Arial" w:hAnsi="Arial" w:cs="Arial" w:eastAsia="Arial"/>
          <w:b/>
          <w:bCs/>
        </w:rPr>
        <w:t xml:space="preserve">B2. TRAINING NEED ANALYSIS</w:t>
      </w:r>
    </w:p>
    <w:p>
      <w:pPr>
        <w:pStyle w:val="BodyText"/>
      </w:pPr>
      <w:r>
        <w:rPr>
          <w:rFonts w:ascii="Arial" w:hAnsi="Arial" w:cs="Arial" w:eastAsia="Arial"/>
        </w:rPr>
        <w:t xml:space="preserve">Staff performance problems identified:</w:t>
      </w:r>
    </w:p>
    <w:p>
      <w:pPr>
        <w:pStyle w:val="Compact"/>
        <w:numPr>
          <w:ilvl w:val="0"/>
          <w:numId w:val="1003"/>
        </w:numPr>
      </w:pPr>
      <w:r>
        <w:rPr>
          <w:rFonts w:ascii="Arial" w:hAnsi="Arial" w:cs="Arial" w:eastAsia="Arial"/>
          <w:b/>
          <w:bCs/>
        </w:rPr>
        <w:t xml:space="preserve">SE-3: poor product knowledge (botanical ingredients) and weak closing technique — at 60% achievement, the most critical underperformer.</w:t>
      </w:r>
    </w:p>
    <w:p>
      <w:pPr>
        <w:pStyle w:val="Compact"/>
        <w:numPr>
          <w:ilvl w:val="0"/>
          <w:numId w:val="1003"/>
        </w:numPr>
      </w:pPr>
      <w:r>
        <w:rPr>
          <w:rFonts w:ascii="Arial" w:hAnsi="Arial" w:cs="Arial" w:eastAsia="Arial"/>
          <w:b/>
          <w:bCs/>
        </w:rPr>
        <w:t xml:space="preserve">SE-5: poor prospecting activity and follow-up — at 70% achievement, inadequate lead generation is limiting sales.</w:t>
      </w:r>
    </w:p>
    <w:p>
      <w:pPr>
        <w:pStyle w:val="FirstParagraph"/>
      </w:pPr>
      <w:r>
        <w:rPr>
          <w:rFonts w:ascii="Arial" w:hAnsi="Arial" w:cs="Arial" w:eastAsia="Arial"/>
          <w:i/>
          <w:iCs/>
        </w:rPr>
        <w:t xml:space="preserve">(Additional acceptable problem: SE-2 at 75% — product knowledge in botanical ingredients needs improvement.)</w:t>
      </w:r>
    </w:p>
    <w:p>
      <w:pPr>
        <w:pStyle w:val="BodyText"/>
      </w:pPr>
      <w:r>
        <w:rPr>
          <w:rFonts w:ascii="Arial" w:hAnsi="Arial" w:cs="Arial" w:eastAsia="Arial"/>
        </w:rPr>
        <w:t xml:space="preserve">Staff development / training requirements:</w:t>
      </w:r>
      <w:r>
        <w:rPr>
          <w:rFonts w:ascii="Arial" w:hAnsi="Arial" w:cs="Arial" w:eastAsia="Arial"/>
        </w:rPr>
        <w:t xml:space="preserve"> </w:t>
      </w:r>
      <w:r>
        <w:rPr>
          <w:rFonts w:ascii="Arial" w:hAnsi="Arial" w:cs="Arial" w:eastAsia="Arial"/>
          <w:b/>
          <w:bCs/>
        </w:rPr>
        <w:t xml:space="preserve">Product knowledge training (botanical ingredients and health benefits of SegarTea Botanical) and sales skills training (prospecting, follow-up and closing techniques).</w:t>
      </w:r>
    </w:p>
    <w:p>
      <w:pPr>
        <w:pStyle w:val="BodyText"/>
      </w:pPr>
      <w:r>
        <w:rPr>
          <w:rFonts w:ascii="Arial" w:hAnsi="Arial" w:cs="Arial" w:eastAsia="Arial"/>
        </w:rPr>
        <w:t xml:space="preserve">Proposed training program:</w:t>
      </w:r>
      <w:r>
        <w:rPr>
          <w:rFonts w:ascii="Arial" w:hAnsi="Arial" w:cs="Arial" w:eastAsia="Arial"/>
        </w:rPr>
        <w:t xml:space="preserve"> </w:t>
      </w:r>
      <w:r>
        <w:rPr>
          <w:rFonts w:ascii="Arial" w:hAnsi="Arial" w:cs="Arial" w:eastAsia="Arial"/>
          <w:b/>
          <w:bCs/>
        </w:rPr>
        <w:t xml:space="preserve">Topic: SegarTea Botanical Product Knowledge &amp; Sales Technique. Target staff: SE-3 (primary), SE-2 and SE-5 (secondary). Objective: Equip staff with in-depth knowledge of SegarTea Botanical ingredients and health benefits, and strengthen prospecting, follow-up and closing skills to improve sales achievement to at least 90% of target within 2 months.</w:t>
      </w:r>
    </w:p>
    <w:p>
      <w:r>
        <w:rPr>
          <w:rFonts w:ascii="Arial" w:hAnsi="Arial" w:cs="Arial" w:eastAsia="Arial"/>
        </w:rPr>
        <w:pict>
          <v:rect style="width:0;height:1.5pt" o:hralign="center" o:hrstd="t" o:hr="t"/>
        </w:pict>
      </w:r>
    </w:p>
    <w:bookmarkEnd w:id="16"/>
    <w:bookmarkEnd w:id="17"/>
    <w:bookmarkStart w:id="20" w:name="X0aaf65d51c03cda08f643ddaf692edf4d3b2a01"/>
    <w:p>
      <w:pPr>
        <w:pStyle w:val="Heading2"/>
      </w:pPr>
      <w:r>
        <w:rPr>
          <w:rFonts w:ascii="Arial" w:hAnsi="Arial" w:cs="Arial" w:eastAsia="Arial"/>
        </w:rPr>
        <w:t xml:space="preserve">APPENDIX 8 — LOGISTIC &amp; INVENTORY + TECHNOLOGY REVIEW FORM</w:t>
      </w:r>
    </w:p>
    <w:bookmarkStart w:id="18" w:name="part-a-logistic-management-t7"/>
    <w:p>
      <w:pPr>
        <w:pStyle w:val="Heading3"/>
      </w:pPr>
      <w:r>
        <w:rPr>
          <w:rFonts w:ascii="Arial" w:hAnsi="Arial" w:cs="Arial" w:eastAsia="Arial"/>
        </w:rPr>
        <w:t xml:space="preserve">PART A — LOGISTIC MANAGEMENT (T7)</w:t>
      </w:r>
    </w:p>
    <w:p>
      <w:pPr>
        <w:pStyle w:val="FirstParagraph"/>
      </w:pPr>
      <w:r>
        <w:rPr>
          <w:rFonts w:ascii="Arial" w:hAnsi="Arial" w:cs="Arial" w:eastAsia="Arial"/>
          <w:b/>
          <w:bCs/>
        </w:rPr>
        <w:t xml:space="preserve">A1. ONE-WEEK DELIVERY OPERATIONAL SCHEDULE</w:t>
      </w:r>
    </w:p>
    <w:p>
      <w:pPr>
        <w:pStyle w:val="BodyText"/>
      </w:pPr>
      <w:r>
        <w:rPr>
          <w:rFonts w:ascii="Arial" w:hAnsi="Arial" w:cs="Arial" w:eastAsia="Arial"/>
          <w:i/>
          <w:iCs/>
        </w:rPr>
        <w:t xml:space="preserve">(Each lorry serves a maximum of 6 drop points per day; requires 1 driver + 1 assistant. Zone A: 12 drop points; Zone B: 10 drop points; Zone C: 8 drop points. Total drop points: 30. Delivery days: Monday–Saturday.)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1"/>
        <w:gridCol w:w="2472"/>
        <w:gridCol w:w="2472"/>
        <w:gridCol w:w="2724"/>
      </w:tblGrid>
      <w:tr>
        <w:trPr>
          <w:tblHeader w:val="on"/>
          <w:cantSplit/>
        </w:trPr>
        <w:tc>
          <w:tcPr>
            <w:tcW w:type="dxa" w:w="14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DAY</w:t>
            </w:r>
          </w:p>
        </w:tc>
        <w:tc>
          <w:tcPr>
            <w:tcW w:type="dxa" w:w="2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1 (ZONE / DROP POINTS)</w:t>
            </w:r>
          </w:p>
        </w:tc>
        <w:tc>
          <w:tcPr>
            <w:tcW w:type="dxa" w:w="2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2 (ZONE / DROP POINTS)</w:t>
            </w:r>
          </w:p>
        </w:tc>
        <w:tc>
          <w:tcPr>
            <w:tcW w:type="dxa" w:w="27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ASSIGNED</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A — 6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B — 6 drop points</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Tuesday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A — 6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B — 4 drop points</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Wednesday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C — 6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B — 0 (rest day)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Thursday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C — 2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 (rest day)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Friday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Saturday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bl>
    <w:p>
      <w:pPr>
        <w:pStyle w:val="BodyText"/>
      </w:pPr>
      <w:r>
        <w:rPr>
          <w:rFonts w:ascii="Arial" w:hAnsi="Arial" w:cs="Arial" w:eastAsia="Arial"/>
          <w:i/>
          <w:iCs/>
        </w:rPr>
        <w:t xml:space="preserve">(Any delivery schedule that covers all 30 drop points within the week, respects the 6 drop-point limit per lorry per day, and assigns 1 driver + 1 assistant per lorry is acceptable. Equivalent or more efficient schedules are accepted.)</w:t>
      </w:r>
    </w:p>
    <w:p>
      <w:pPr>
        <w:pStyle w:val="BodyText"/>
      </w:pPr>
      <w:r>
        <w:rPr>
          <w:rFonts w:ascii="Arial" w:hAnsi="Arial" w:cs="Arial" w:eastAsia="Arial"/>
        </w:rPr>
        <w:t xml:space="preserve">Action to address Zone C late-delivery complaints:</w:t>
      </w:r>
      <w:r>
        <w:rPr>
          <w:rFonts w:ascii="Arial" w:hAnsi="Arial" w:cs="Arial" w:eastAsia="Arial"/>
        </w:rPr>
        <w:t xml:space="preserve"> </w:t>
      </w:r>
      <w:r>
        <w:rPr>
          <w:rFonts w:ascii="Arial" w:hAnsi="Arial" w:cs="Arial" w:eastAsia="Arial"/>
          <w:b/>
          <w:bCs/>
        </w:rPr>
        <w:t xml:space="preserve">Assign dedicated Zone C delivery days (e.g. Wednesday–Thursday) to prioritise Zone C drop points and reduce late deliveries. Review and update the Zone C delivery route to minimise transit time. Follow up with Zone C distributors to confirm delivery windows.</w:t>
      </w:r>
    </w:p>
    <w:p>
      <w:pPr>
        <w:pStyle w:val="BodyText"/>
      </w:pPr>
      <w:r>
        <w:rPr>
          <w:rFonts w:ascii="Arial" w:hAnsi="Arial" w:cs="Arial" w:eastAsia="Arial"/>
          <w:b/>
          <w:bCs/>
        </w:rPr>
        <w:t xml:space="preserve">A2. STOCK LEVEL ASSESSMENT &amp; PURCHASE PROPOSAL</w:t>
      </w:r>
    </w:p>
    <w:p>
      <w:pPr>
        <w:pStyle w:val="BodyText"/>
      </w:pPr>
      <w:r>
        <w:rPr>
          <w:rFonts w:ascii="Arial" w:hAnsi="Arial" w:cs="Arial" w:eastAsia="Arial"/>
        </w:rPr>
        <w:t xml:space="preserve">Items BELOW minimum stock level:</w:t>
      </w:r>
    </w:p>
    <w:p>
      <w:pPr>
        <w:pStyle w:val="Compact"/>
        <w:numPr>
          <w:ilvl w:val="0"/>
          <w:numId w:val="1004"/>
        </w:numPr>
      </w:pPr>
      <w:r>
        <w:rPr>
          <w:rFonts w:ascii="Arial" w:hAnsi="Arial" w:cs="Arial" w:eastAsia="Arial"/>
          <w:b/>
          <w:bCs/>
        </w:rPr>
        <w:t xml:space="preserve">Tea extract concentrate: current stock 900 L vs minimum stock level 1,200 L — below minimum by 300 L.</w:t>
      </w:r>
    </w:p>
    <w:p>
      <w:pPr>
        <w:pStyle w:val="Compact"/>
        <w:numPr>
          <w:ilvl w:val="0"/>
          <w:numId w:val="1004"/>
        </w:numPr>
      </w:pPr>
      <w:r>
        <w:rPr>
          <w:rFonts w:ascii="Arial" w:hAnsi="Arial" w:cs="Arial" w:eastAsia="Arial"/>
          <w:b/>
          <w:bCs/>
        </w:rPr>
        <w:t xml:space="preserve">Carton boxes (24 bottles): current stock 7,000 units vs minimum stock level 9,000 units — below minimum by 2,000 units.</w:t>
      </w:r>
    </w:p>
    <w:p>
      <w:pPr>
        <w:pStyle w:val="FirstParagraph"/>
      </w:pPr>
      <w:r>
        <w:rPr>
          <w:rFonts w:ascii="Arial" w:hAnsi="Arial" w:cs="Arial" w:eastAsia="Arial"/>
          <w:i/>
          <w:iCs/>
        </w:rPr>
        <w:t xml:space="preserve">(PET bottles 160,000 units &gt; minimum 100,000 units ✓; Label rolls 40 rolls &gt; minimum 25 rolls ✓ — these are above minimum.)</w:t>
      </w:r>
    </w:p>
    <w:p>
      <w:pPr>
        <w:pStyle w:val="BodyText"/>
      </w:pPr>
      <w:r>
        <w:rPr>
          <w:rFonts w:ascii="Arial" w:hAnsi="Arial" w:cs="Arial" w:eastAsia="Arial"/>
        </w:rPr>
        <w:t xml:space="preserve">Purchase proposal:</w:t>
      </w:r>
    </w:p>
    <w:p>
      <w:pPr>
        <w:pStyle w:val="Compact"/>
        <w:numPr>
          <w:ilvl w:val="0"/>
          <w:numId w:val="1005"/>
        </w:numPr>
      </w:pPr>
      <w:r>
        <w:rPr>
          <w:rFonts w:ascii="Arial" w:hAnsi="Arial" w:cs="Arial" w:eastAsia="Arial"/>
          <w:b/>
          <w:bCs/>
        </w:rPr>
        <w:t xml:space="preserve">Tea extract concentrate: propose purchase of at least 2,300 L (300 L to restore to minimum + 2,000 L monthly usage) to meet one month of production needs and restore stock above minimum level.</w:t>
      </w:r>
    </w:p>
    <w:p>
      <w:pPr>
        <w:pStyle w:val="Compact"/>
        <w:numPr>
          <w:ilvl w:val="0"/>
          <w:numId w:val="1005"/>
        </w:numPr>
      </w:pPr>
      <w:r>
        <w:rPr>
          <w:rFonts w:ascii="Arial" w:hAnsi="Arial" w:cs="Arial" w:eastAsia="Arial"/>
          <w:b/>
          <w:bCs/>
        </w:rPr>
        <w:t xml:space="preserve">Carton boxes: propose purchase of at least 12,000 units (2,000 units to restore to minimum + 10,000 units monthly usage) to meet one month of production needs and restore stock above minimum level.</w:t>
      </w:r>
    </w:p>
    <w:p>
      <w:pPr>
        <w:pStyle w:val="FirstParagraph"/>
      </w:pPr>
      <w:r>
        <w:rPr>
          <w:rFonts w:ascii="Arial" w:hAnsi="Arial" w:cs="Arial" w:eastAsia="Arial"/>
          <w:i/>
          <w:iCs/>
        </w:rPr>
        <w:t xml:space="preserve">(Quantities that restore stock to at least minimum + one month of usage are accepted; other well-justified quantities are acceptable.)</w:t>
      </w:r>
    </w:p>
    <w:p>
      <w:r>
        <w:rPr>
          <w:rFonts w:ascii="Arial" w:hAnsi="Arial" w:cs="Arial" w:eastAsia="Arial"/>
        </w:rPr>
        <w:pict>
          <v:rect style="width:0;height:1.5pt" o:hralign="center" o:hrstd="t" o:hr="t"/>
        </w:pict>
      </w:r>
    </w:p>
    <w:bookmarkEnd w:id="18"/>
    <w:bookmarkStart w:id="19" w:name="part-b-business-technology-review-t8"/>
    <w:p>
      <w:pPr>
        <w:pStyle w:val="Heading3"/>
      </w:pPr>
      <w:r>
        <w:rPr>
          <w:rFonts w:ascii="Arial" w:hAnsi="Arial" w:cs="Arial" w:eastAsia="Arial"/>
        </w:rPr>
        <w:t xml:space="preserve">PART B — BUSINESS TECHNOLOGY REVIEW (T8)</w:t>
      </w:r>
    </w:p>
    <w:p>
      <w:pPr>
        <w:pStyle w:val="FirstParagraph"/>
      </w:pPr>
      <w:r>
        <w:rPr>
          <w:rFonts w:ascii="Arial" w:hAnsi="Arial" w:cs="Arial" w:eastAsia="Arial"/>
          <w:b/>
          <w:bCs/>
        </w:rPr>
        <w:t xml:space="preserve">B1. CURRENT TECHNOLOGY USAGE REVIEW</w:t>
      </w:r>
    </w:p>
    <w:p>
      <w:pPr>
        <w:pStyle w:val="Compact"/>
        <w:numPr>
          <w:ilvl w:val="0"/>
          <w:numId w:val="1006"/>
        </w:numPr>
      </w:pPr>
      <w:r>
        <w:rPr>
          <w:rFonts w:ascii="Arial" w:hAnsi="Arial" w:cs="Arial" w:eastAsia="Arial"/>
          <w:b/>
          <w:bCs/>
        </w:rPr>
        <w:t xml:space="preserve">Distributor orders are received by phone and re-keyed manually into a spreadsheet — approximately 5 keying errors per month. This creates data accuracy risk and increases order processing time.</w:t>
      </w:r>
    </w:p>
    <w:p>
      <w:pPr>
        <w:pStyle w:val="Compact"/>
        <w:numPr>
          <w:ilvl w:val="0"/>
          <w:numId w:val="1006"/>
        </w:numPr>
      </w:pPr>
      <w:r>
        <w:rPr>
          <w:rFonts w:ascii="Arial" w:hAnsi="Arial" w:cs="Arial" w:eastAsia="Arial"/>
          <w:b/>
          <w:bCs/>
        </w:rPr>
        <w:t xml:space="preserve">The accounting software is standalone and not linked to inventory records — the two systems cannot share data, creating duplication of work and potential discrepancies between sales and stock records.</w:t>
      </w:r>
    </w:p>
    <w:p>
      <w:pPr>
        <w:pStyle w:val="Compact"/>
        <w:numPr>
          <w:ilvl w:val="0"/>
          <w:numId w:val="1006"/>
        </w:numPr>
      </w:pPr>
      <w:r>
        <w:rPr>
          <w:rFonts w:ascii="Arial" w:hAnsi="Arial" w:cs="Arial" w:eastAsia="Arial"/>
          <w:b/>
          <w:bCs/>
        </w:rPr>
        <w:t xml:space="preserve">Inventory is recorded in a manual log book; the monthly stock count takes 2 working days — manual stock management is time-consuming and prone to errors, particularly as product volume grows.</w:t>
      </w:r>
    </w:p>
    <w:p>
      <w:pPr>
        <w:pStyle w:val="FirstParagraph"/>
      </w:pPr>
      <w:r>
        <w:rPr>
          <w:rFonts w:ascii="Arial" w:hAnsi="Arial" w:cs="Arial" w:eastAsia="Arial"/>
          <w:i/>
          <w:iCs/>
        </w:rPr>
        <w:t xml:space="preserve">(Fourth acceptable issue from the brief: delivery schedule on a whiteboard with no shared visibility for the sales team, causing coordination gaps.)</w:t>
      </w:r>
    </w:p>
    <w:p>
      <w:pPr>
        <w:pStyle w:val="BodyText"/>
      </w:pPr>
      <w:r>
        <w:rPr>
          <w:rFonts w:ascii="Arial" w:hAnsi="Arial" w:cs="Arial" w:eastAsia="Arial"/>
        </w:rPr>
        <w:t xml:space="preserve">Sustainability assessment:</w:t>
      </w:r>
      <w:r>
        <w:rPr>
          <w:rFonts w:ascii="Arial" w:hAnsi="Arial" w:cs="Arial" w:eastAsia="Arial"/>
        </w:rPr>
        <w:t xml:space="preserve"> </w:t>
      </w:r>
      <w:r>
        <w:rPr>
          <w:rFonts w:ascii="Arial" w:hAnsi="Arial" w:cs="Arial" w:eastAsia="Arial"/>
          <w:b/>
          <w:bCs/>
        </w:rPr>
        <w:t xml:space="preserve">The existing technology is NOT sustainable to support the SegarTea Botanical launch and future expansion to the southern region. Phone ordering and manual data entry will generate more errors as order volume increases. The lack of system integration between accounting and inventory will make real-time stock tracking impossible. The manual log book stock count process will become a significant bottleneck at higher volumes.</w:t>
      </w:r>
    </w:p>
    <w:p>
      <w:pPr>
        <w:pStyle w:val="BodyText"/>
      </w:pPr>
      <w:r>
        <w:rPr>
          <w:rFonts w:ascii="Arial" w:hAnsi="Arial" w:cs="Arial" w:eastAsia="Arial"/>
          <w:b/>
          <w:bCs/>
        </w:rPr>
        <w:t xml:space="preserve">B2. BUSINESS PROCESS IMPROVEMENT PROPOSAL</w:t>
      </w:r>
    </w:p>
    <w:p>
      <w:pPr>
        <w:pStyle w:val="BodyText"/>
      </w:pPr>
      <w:r>
        <w:rPr>
          <w:rFonts w:ascii="Arial" w:hAnsi="Arial" w:cs="Arial" w:eastAsia="Arial"/>
        </w:rPr>
        <w:t xml:space="preserve">Proposed improvement:</w:t>
      </w:r>
      <w:r>
        <w:rPr>
          <w:rFonts w:ascii="Arial" w:hAnsi="Arial" w:cs="Arial" w:eastAsia="Arial"/>
        </w:rPr>
        <w:t xml:space="preserve"> </w:t>
      </w:r>
      <w:r>
        <w:rPr>
          <w:rFonts w:ascii="Arial" w:hAnsi="Arial" w:cs="Arial" w:eastAsia="Arial"/>
          <w:b/>
          <w:bCs/>
        </w:rPr>
        <w:t xml:space="preserve">Replace the phone + manual spreadsheet order entry process with a simple online distributor ordering portal or order management system.</w:t>
      </w:r>
    </w:p>
    <w:p>
      <w:pPr>
        <w:pStyle w:val="BodyText"/>
      </w:pPr>
      <w:r>
        <w:rPr>
          <w:rFonts w:ascii="Arial" w:hAnsi="Arial" w:cs="Arial" w:eastAsia="Arial"/>
        </w:rPr>
        <w:t xml:space="preserve">Proposed change:</w:t>
      </w:r>
      <w:r>
        <w:rPr>
          <w:rFonts w:ascii="Arial" w:hAnsi="Arial" w:cs="Arial" w:eastAsia="Arial"/>
        </w:rPr>
        <w:t xml:space="preserve"> </w:t>
      </w:r>
      <w:r>
        <w:rPr>
          <w:rFonts w:ascii="Arial" w:hAnsi="Arial" w:cs="Arial" w:eastAsia="Arial"/>
          <w:b/>
          <w:bCs/>
        </w:rPr>
        <w:t xml:space="preserve">Implement an online order form or order management system that allows distributors to place orders directly, automatically recording the order in the system without manual re-keying.</w:t>
      </w:r>
    </w:p>
    <w:p>
      <w:pPr>
        <w:pStyle w:val="BodyText"/>
      </w:pPr>
      <w:r>
        <w:rPr>
          <w:rFonts w:ascii="Arial" w:hAnsi="Arial" w:cs="Arial" w:eastAsia="Arial"/>
        </w:rPr>
        <w:t xml:space="preserve">Expected benefit:</w:t>
      </w:r>
      <w:r>
        <w:rPr>
          <w:rFonts w:ascii="Arial" w:hAnsi="Arial" w:cs="Arial" w:eastAsia="Arial"/>
        </w:rPr>
        <w:t xml:space="preserve"> </w:t>
      </w:r>
      <w:r>
        <w:rPr>
          <w:rFonts w:ascii="Arial" w:hAnsi="Arial" w:cs="Arial" w:eastAsia="Arial"/>
          <w:b/>
          <w:bCs/>
        </w:rPr>
        <w:t xml:space="preserve">Eliminates the approximately 5 keying errors per month, reduces order processing time, provides a real-time order record that can be linked to inventory and accounting, and improves visibility of distributor demand. This will support the increased order volume expected from the SegarTea Botanical launch and future expansion.</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FB-018-45:2012/2026/A/01 — TAMAT</w:t>
      </w:r>
    </w:p>
    <w:bookmarkEnd w:id="19"/>
    <w:bookmarkEnd w:id="20"/>
    <w:bookmarkEnd w:id="21"/>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2026-08-25T10:09:45Z</dcterms:created>
  <dcterms:modified xsi:type="dcterms:W3CDTF">2026-08-25T10:09:45Z</dcterms:modified>
</cp:coreProperties>
</file>

<file path=docProps/custom.xml><?xml version="1.0" encoding="utf-8"?>
<Properties xmlns="http://schemas.openxmlformats.org/officeDocument/2006/custom-properties" xmlns:vt="http://schemas.openxmlformats.org/officeDocument/2006/docPropsVTypes"/>
</file>