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88"/>
        <w:gridCol w:w="6582"/>
      </w:tblGrid>
      <w:tr>
        <w:trPr>
          <w:tblHeader w:val="on"/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1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A)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FB-018-45:2012 SALES &amp; MARKETING MANAGEMENT (TAHAP 5)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MARKETING STRATEGIC PLANNING</w:t>
              <w:br/>
              <w:t xml:space="preserve">C02 SALES BUDGET MANAGEMENT</w:t>
              <w:br/>
              <w:t xml:space="preserve">C03 SALES &amp; MARKETING OPERATION MANAGEMENT</w:t>
              <w:br/>
              <w:t xml:space="preserve">C04 PRODUCT DEVELOPMENT</w:t>
              <w:br/>
              <w:t xml:space="preserve">C05 SALES &amp; MARKETING STAFF MANAGEMENT</w:t>
              <w:br/>
              <w:t xml:space="preserve">C06 MARKET DEVELOPMENT</w:t>
              <w:br/>
              <w:t xml:space="preserve">C07 SALES &amp; MARKETING LOGISTIC MANAGEMENT</w:t>
              <w:br/>
              <w:t xml:space="preserve">E01 BUSINESS TECHNOLOGY MANAGEMENT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⟪TBD: adakah M08 TECHNOLOGY MANAGEMENT dinilai?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15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pPr>
        <w:pStyle w:val="BodyText"/>
      </w:pPr>
      <w:r>
        <w:rPr>
          <w:rFonts w:ascii="Arial" w:hAnsi="Arial" w:cs="Arial" w:eastAsia="Arial"/>
          <w:i/>
          <w:iCs/>
        </w:rPr>
        <w:t xml:space="preserve">Nota penilai: kriteria skema ini berdasarkan Performance Criteria Competency Profile (CP) NOSS FB-018-45:2012, dirujuk sebagai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Style w:val="VerbatimChar"/>
          <w:rFonts w:ascii="Arial" w:hAnsi="Arial" w:cs="Arial" w:eastAsia="Arial"/>
          <w:i/>
          <w:iCs/>
        </w:rPr>
        <w:t xml:space="preserve">C0x PC n.n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Fonts w:ascii="Arial" w:hAnsi="Arial" w:cs="Arial" w:eastAsia="Arial"/>
          <w:i/>
          <w:iCs/>
        </w:rPr>
        <w:t xml:space="preserve">/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Style w:val="VerbatimChar"/>
          <w:rFonts w:ascii="Arial" w:hAnsi="Arial" w:cs="Arial" w:eastAsia="Arial"/>
          <w:i/>
          <w:iCs/>
        </w:rPr>
        <w:t xml:space="preserve">C0x WAn</w:t>
      </w:r>
      <w:r>
        <w:rPr>
          <w:rFonts w:ascii="Arial" w:hAnsi="Arial" w:cs="Arial" w:eastAsia="Arial"/>
          <w:i/>
          <w:iCs/>
        </w:rPr>
        <w:t xml:space="preserve">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51"/>
        <w:gridCol w:w="5754"/>
        <w:gridCol w:w="1062"/>
        <w:gridCol w:w="1502"/>
      </w:tblGrid>
      <w:tr>
        <w:trPr>
          <w:tblHeader w:val="on"/>
          <w:cantSplit/>
        </w:trPr>
        <w:tc>
          <w:tcPr>
            <w:tcW w:type="dxa" w:w="7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0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5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company, market, financial, staff, logistic and technology information provided without falsifying or materially altering the source information or data.</w:t>
            </w:r>
          </w:p>
        </w:tc>
        <w:tc>
          <w:tcPr>
            <w:tcW w:type="dxa" w:w="10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5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34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4a1ed84a0700862f932089ef5da84c73748e550"/>
    <w:p>
      <w:pPr>
        <w:pStyle w:val="Heading3"/>
      </w:pPr>
      <w:r>
        <w:rPr>
          <w:rFonts w:ascii="Arial" w:hAnsi="Arial" w:cs="Arial" w:eastAsia="Arial"/>
        </w:rPr>
        <w:t xml:space="preserve">2.1 Market trends and issues in market are determined (C01 PC 2.2, PC 2.3)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Trends consistent with the data, e.g. health benefit or less sugar as main buying factor (46%), high interest in botanical RTD tea (71%), convenience store as preferred channel (52%).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Issues consistent with the data, e.g. lower-priced competition (Competitor A at RM3.50), price sensitivity (30%), weak pilot performance in Johor Bahru.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8"/>
        <w:gridCol w:w="5952"/>
        <w:gridCol w:w="1630"/>
      </w:tblGrid>
      <w:tr>
        <w:trPr>
          <w:tblHeader w:val="on"/>
          <w:cantSplit/>
        </w:trPr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trends and two issues stated, all supported by the survey / competitor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Trends and issues mostly relevant, with one weakly supported item.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trend or issue is supported by the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Trends / issues not determined or unrelated to the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Xdb0bcd9a9f8dcd2b8932b9b91b88d2ac2080a30"/>
    <w:p>
      <w:pPr>
        <w:pStyle w:val="Heading3"/>
      </w:pPr>
      <w:r>
        <w:rPr>
          <w:rFonts w:ascii="Arial" w:hAnsi="Arial" w:cs="Arial" w:eastAsia="Arial"/>
        </w:rPr>
        <w:t xml:space="preserve">2.2 Buying factors and price point of target market are determined (C01 PC 4.2, PC 4.3)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Buying factors from the survey, e.g. health benefit / less sugar (46%) and price (30%).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Price point supported by the data: willing-to-pay RM4.00–RM4.50 (55%) and competitor prices RM3.50–RM4.50; recommended retail within this range (suggested retail RM4.20 / RM4.50 acceptable).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8"/>
        <w:gridCol w:w="5952"/>
        <w:gridCol w:w="1630"/>
      </w:tblGrid>
      <w:tr>
        <w:trPr>
          <w:tblHeader w:val="on"/>
          <w:cantSplit/>
        </w:trPr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two buying factors and a price point stated, each with supporting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Buying factors and price point stated but one lacks clear supporting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buying factors OR price point adequately supported.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determined or contradicts the data provided.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13" w:name="Xbdf7ee3f86dab55a69b07a88ee62a31ff317edd"/>
    <w:p>
      <w:pPr>
        <w:pStyle w:val="Heading3"/>
      </w:pPr>
      <w:r>
        <w:rPr>
          <w:rFonts w:ascii="Arial" w:hAnsi="Arial" w:cs="Arial" w:eastAsia="Arial"/>
        </w:rPr>
        <w:t xml:space="preserve">2.3 Marketing plan summary is designed (C01 PC 5.1–5.4, PC 5.5)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Key feature to promote decided according to product specification (e.g. botanical / zero sugar).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Benefits to buyers and supporting facts drawn from the data provided.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Promotion plan states channel &amp; approach consistent with survey findings; performance measurement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12"/>
        <w:gridCol w:w="6320"/>
        <w:gridCol w:w="1437"/>
      </w:tblGrid>
      <w:tr>
        <w:trPr>
          <w:tblHeader w:val="on"/>
          <w:cantSplit/>
        </w:trPr>
        <w:tc>
          <w:tcPr>
            <w:tcW w:type="dxa" w:w="13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Key feature, benefits, facts, promotion plan and performance measurement all completed and consistent with the data.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of the five elements completed and consistent.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two to three elements completed or weakly linked to the data.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Marketing plan summary not prepared.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X1818789e69a7088b8f49a0c1b97415a7e3d3fe6"/>
    <w:p>
      <w:pPr>
        <w:pStyle w:val="Heading3"/>
      </w:pPr>
      <w:r>
        <w:rPr>
          <w:rFonts w:ascii="Arial" w:hAnsi="Arial" w:cs="Arial" w:eastAsia="Arial"/>
        </w:rPr>
        <w:t xml:space="preserve">2.4 Margin for each product is calculated and confirmed against required gross margin (C02 PC 4.3, PC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SKU A: (RM3.00 − RM1.80) ÷ RM3.00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meets the 40% requirement (exactly).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SKU B: (RM3.40 − RM2.00) ÷ RM3.40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41.18%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meets the 40% requirement.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58"/>
        <w:gridCol w:w="6224"/>
        <w:gridCol w:w="1487"/>
      </w:tblGrid>
      <w:tr>
        <w:trPr>
          <w:tblHeader w:val="on"/>
          <w:cantSplit/>
        </w:trPr>
        <w:tc>
          <w:tcPr>
            <w:tcW w:type="dxa" w:w="13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margins correctly calculated with working shown and correctly concluded against the 40% requirement.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margin correct, or both correct but conclusion missing / minor rounding issue.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Method correct but calculations wrong, or only one margin attempted.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Margin not calculated or method wrong.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X27f75ae4c228df904ce97e2b81e3ee7f64b1caa"/>
    <w:p>
      <w:pPr>
        <w:pStyle w:val="Heading3"/>
      </w:pPr>
      <w:r>
        <w:rPr>
          <w:rFonts w:ascii="Arial" w:hAnsi="Arial" w:cs="Arial" w:eastAsia="Arial"/>
        </w:rPr>
        <w:t xml:space="preserve">2.5 Three-month sales budget is forecast (C02 PC 6.2, WA6)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Month 1: SKU A 60,000 × RM3.00 = RM180,000; SKU B 30,000 × RM3.40 = RM102,000;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RM282,000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Month 2 (+20%): SKU A 72,000 = RM216,000; SKU B 36,000 = RM122,400;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RM338,400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Month 3 (+10%): SKU A 79,200 = RM237,600; SKU B 39,600 = RM134,640;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RM372,240</w:t>
      </w:r>
      <w:r>
        <w:rPr>
          <w:rFonts w:ascii="Arial" w:hAnsi="Arial" w:cs="Arial" w:eastAsia="Arial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9"/>
        <w:gridCol w:w="5843"/>
        <w:gridCol w:w="1686"/>
      </w:tblGrid>
      <w:tr>
        <w:trPr>
          <w:tblHeader w:val="on"/>
          <w:cantSplit/>
        </w:trPr>
        <w:tc>
          <w:tcPr>
            <w:tcW w:type="dxa" w:w="1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three months’ units and RM values correct (minor rounding accepted).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months correct, or all months correct in units with minor RM errors.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month correct.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not prepared or substantially wrong.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Xff524d55fe478b8bf0200bd30f6206cf3c14206"/>
    <w:p>
      <w:pPr>
        <w:pStyle w:val="Heading3"/>
      </w:pPr>
      <w:r>
        <w:rPr>
          <w:rFonts w:ascii="Arial" w:hAnsi="Arial" w:cs="Arial" w:eastAsia="Arial"/>
        </w:rPr>
        <w:t xml:space="preserve">2.6 Forecast confirmed within capacity and financial requirement (C02 PC 6.2, PC 2.1, PC 3.3)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Highest month = Month 3 = 118,800 units — within production capacity (200,000) and fulfilment capacity (150,000). Margins meet the required gross margin (see 2.4).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5"/>
        <w:gridCol w:w="6146"/>
        <w:gridCol w:w="1528"/>
      </w:tblGrid>
      <w:tr>
        <w:trPr>
          <w:tblHeader w:val="on"/>
          <w:cantSplit/>
        </w:trPr>
        <w:tc>
          <w:tcPr>
            <w:tcW w:type="dxa" w:w="13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explicitly checked against both production and fulfilment capacity with correct figures.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Checked against one capacity constraint correctly.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Confirmation stated without supporting figures.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capacity / financial confirmation made.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X63f4767b3674e5583da7e93792c70b93073c420"/>
    <w:p>
      <w:pPr>
        <w:pStyle w:val="Heading3"/>
      </w:pPr>
      <w:r>
        <w:rPr>
          <w:rFonts w:ascii="Arial" w:hAnsi="Arial" w:cs="Arial" w:eastAsia="Arial"/>
        </w:rPr>
        <w:t xml:space="preserve">2.7 Individual KPI is determined according to sales budget (C03 PC 2.3, PC 2.1)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Individual monthly sales KPI set for all 5 staff.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KPI total is consistent with the sales budget (e.g. Month 1 = RM282,000, or budget plus existing-product targets, stated by the candidate).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Allocation reflects staff capability from the appraisal data, with justification.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53"/>
        <w:gridCol w:w="6026"/>
        <w:gridCol w:w="1591"/>
      </w:tblGrid>
      <w:tr>
        <w:trPr>
          <w:tblHeader w:val="on"/>
          <w:cantSplit/>
        </w:trPr>
        <w:tc>
          <w:tcPr>
            <w:tcW w:type="dxa" w:w="14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set for all 5 staff, total consistent with the sales budget, allocation justified.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set for all staff and total consistent, but justification is general.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set for some staff only or total inconsistent with the budget.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Individual KPI not determined.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1d6f01d880e04684ec9a16a72a2fe124a1d49bd"/>
    <w:p>
      <w:pPr>
        <w:pStyle w:val="Heading3"/>
      </w:pPr>
      <w:r>
        <w:rPr>
          <w:rFonts w:ascii="Arial" w:hAnsi="Arial" w:cs="Arial" w:eastAsia="Arial"/>
        </w:rPr>
        <w:t xml:space="preserve">2.8 Job performance is assessed based on sales performance and appraisal criteria (C03 PC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Above target: SE-1 (110%), SE-4 (105%). Below target: SE-2 (75%), SE-3 (60%), SE-5 (70%).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3"/>
        <w:gridCol w:w="5899"/>
        <w:gridCol w:w="1657"/>
      </w:tblGrid>
      <w:tr>
        <w:trPr>
          <w:tblHeader w:val="on"/>
          <w:cantSplit/>
        </w:trPr>
        <w:tc>
          <w:tcPr>
            <w:tcW w:type="dxa" w:w="15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staff correctly classified against target using the appraisal data.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staff correctly classified.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two to three staff correctly classified.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Performance not assessed or substantially wrong.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3857f17bde183bcbecb1bda4a455117f7ca99b5"/>
    <w:p>
      <w:pPr>
        <w:pStyle w:val="Heading3"/>
      </w:pPr>
      <w:r>
        <w:rPr>
          <w:rFonts w:ascii="Arial" w:hAnsi="Arial" w:cs="Arial" w:eastAsia="Arial"/>
        </w:rPr>
        <w:t xml:space="preserve">2.9 KPI of individual/team is assessed according to sales performance (C03 PC 4.2)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Team evaluation summary uses the achievement data (team actual RM221,500 vs target RM260,000 ≈ 85%, or equivalent interpretation).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Weaker performers and overall team gap identified.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64"/>
        <w:gridCol w:w="6002"/>
        <w:gridCol w:w="1604"/>
      </w:tblGrid>
      <w:tr>
        <w:trPr>
          <w:tblHeader w:val="on"/>
          <w:cantSplit/>
        </w:trPr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Team-level evaluation is data-supported and identifies stronger / weaker performers.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is generally correct but uses limited data.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vague or repeats numbers without interpretation.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Team performance not evaluated.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1d178666a13b4716f3481ec883e95c90dd26f54"/>
    <w:p>
      <w:pPr>
        <w:pStyle w:val="Heading3"/>
      </w:pPr>
      <w:r>
        <w:rPr>
          <w:rFonts w:ascii="Arial" w:hAnsi="Arial" w:cs="Arial" w:eastAsia="Arial"/>
        </w:rPr>
        <w:t xml:space="preserve">2.10 Selling price is estimated based on competition and customer feedback (C04 PC 3.1)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retail estimate within RM4.00–RM4.50 (willing-to-pay 55%; competitors RM3.50–RM4.50), or distributor price consistent with App 3, with basis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1"/>
        <w:gridCol w:w="6049"/>
        <w:gridCol w:w="1579"/>
      </w:tblGrid>
      <w:tr>
        <w:trPr>
          <w:tblHeader w:val="on"/>
          <w:cantSplit/>
        </w:trPr>
        <w:tc>
          <w:tcPr>
            <w:tcW w:type="dxa" w:w="1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estimate within the supported range with both competition and customer data cited.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estimate within range with one data source cited.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stated without basis.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Selling price not estimated or contradicts the data.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Start w:id="21" w:name="X8b05a372037845ad08de71791464f947cb7dea3"/>
    <w:p>
      <w:pPr>
        <w:pStyle w:val="Heading3"/>
      </w:pPr>
      <w:r>
        <w:rPr>
          <w:rFonts w:ascii="Arial" w:hAnsi="Arial" w:cs="Arial" w:eastAsia="Arial"/>
        </w:rPr>
        <w:t xml:space="preserve">2.11 Sales volume is estimated based on market analysis (C04 PC 3.2)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volume consistent with App 3 projection (e.g. Month 1 = 90,000 units total) or a reasoned estimate from the survey interest data (71% interested), with basis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3"/>
        <w:gridCol w:w="5858"/>
        <w:gridCol w:w="1679"/>
      </w:tblGrid>
      <w:tr>
        <w:trPr>
          <w:tblHeader w:val="on"/>
          <w:cantSplit/>
        </w:trPr>
        <w:tc>
          <w:tcPr>
            <w:tcW w:type="dxa" w:w="15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Volume estimate consistent with the data and the basis clearly stated.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Volume estimate consistent with the data but basis only generally stated.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Volume stated without basis.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volume not estimated.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Start w:id="22" w:name="Xc342673890d3a46539034b5ad44f1b6680dd266"/>
    <w:p>
      <w:pPr>
        <w:pStyle w:val="Heading3"/>
      </w:pPr>
      <w:r>
        <w:rPr>
          <w:rFonts w:ascii="Arial" w:hAnsi="Arial" w:cs="Arial" w:eastAsia="Arial"/>
        </w:rPr>
        <w:t xml:space="preserve">2.12 Profitability and break-even point are estimated (C04 PC 3.3)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Contribution: SKU A RM1.20/unit; SKU B RM1.40/unit. Break-even on fixed expenses RM120,000/month: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SKU A alone: 120,000 ÷ 1.20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100,000 units</w:t>
      </w:r>
      <w:r>
        <w:rPr>
          <w:rFonts w:ascii="Arial" w:hAnsi="Arial" w:cs="Arial" w:eastAsia="Arial"/>
        </w:rPr>
        <w:t xml:space="preserve">; SKU B alone: 120,000 ÷ 1.40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85,715 units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(85,714.3); 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Mix 2:1 (per projection): weighted contribution RM1.2667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≈94,737 units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Any one method, correctly computed, is accepted. Profitability conclusion: Month 1 contribution = 60,000×1.20 + 30,000×1.40 = RM114,000 &lt; RM120,000 (below break-even); Month 2 onwards above break-even.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53"/>
        <w:gridCol w:w="6233"/>
        <w:gridCol w:w="1483"/>
      </w:tblGrid>
      <w:tr>
        <w:trPr>
          <w:tblHeader w:val="on"/>
          <w:cantSplit/>
        </w:trPr>
        <w:tc>
          <w:tcPr>
            <w:tcW w:type="dxa" w:w="13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Break-even correctly calculated by an accepted method with working, and profitability correctly concluded.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Break-even correct but profitability conclusion missing or has a minor error.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Method correct but calculation wrong.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Break-even not estimated or method wrong.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X613dd337c3922ddfa34177e44b14d77bee4af45"/>
    <w:p>
      <w:pPr>
        <w:pStyle w:val="Heading3"/>
      </w:pPr>
      <w:r>
        <w:rPr>
          <w:rFonts w:ascii="Arial" w:hAnsi="Arial" w:cs="Arial" w:eastAsia="Arial"/>
        </w:rPr>
        <w:t xml:space="preserve">2.13 Manpower requirement plan is established (C05 PC 2.3, WA2)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Current workforce correctly stated (5 sales staff per Appendix 4).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Requirement derived from the sales &amp; marketing planning (launch projection), with number and justification.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Plan is internally consistent (e.g. weaker performers, additional coverage areas considered).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0"/>
        <w:gridCol w:w="6156"/>
        <w:gridCol w:w="1523"/>
      </w:tblGrid>
      <w:tr>
        <w:trPr>
          <w:tblHeader w:val="on"/>
          <w:cantSplit/>
        </w:trPr>
        <w:tc>
          <w:tcPr>
            <w:tcW w:type="dxa" w:w="139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Current workforce, requirement and justification all stated and consistent with the planning data.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Requirement stated with general justification.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Requirement stated without justification or current workforce wrong.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Manpower requirement plan not prepared.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X7f9d7d00c4ea6a519db1bc15b3389a80bee386e"/>
    <w:p>
      <w:pPr>
        <w:pStyle w:val="Heading3"/>
      </w:pPr>
      <w:r>
        <w:rPr>
          <w:rFonts w:ascii="Arial" w:hAnsi="Arial" w:cs="Arial" w:eastAsia="Arial"/>
        </w:rPr>
        <w:t xml:space="preserve">2.14 Staff performance problems are determined from the appraisal report (C05 PC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diterima (dari App 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product knowledge weakness (SE-2, SE-3); closing technique (SE-3); prospecting / follow-up (SE-5); reporting discipline (SE-1); below-target achievement 60–75% (SE-2, SE-3, SE-5).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5"/>
        <w:gridCol w:w="6104"/>
        <w:gridCol w:w="1550"/>
      </w:tblGrid>
      <w:tr>
        <w:trPr>
          <w:tblHeader w:val="on"/>
          <w:cantSplit/>
        </w:trPr>
        <w:tc>
          <w:tcPr>
            <w:tcW w:type="dxa" w:w="14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two performance problems correctly identified, each traceable to the appraisal data.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problems identified but only one clearly traceable.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problem identified from the data.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Performance problems not determined or not from the appraisal data.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X717c4c73672e7f83ae42c85c5c4af243217f9b2"/>
    <w:p>
      <w:pPr>
        <w:pStyle w:val="Heading3"/>
      </w:pPr>
      <w:r>
        <w:rPr>
          <w:rFonts w:ascii="Arial" w:hAnsi="Arial" w:cs="Arial" w:eastAsia="Arial"/>
        </w:rPr>
        <w:t xml:space="preserve">2.15 Staff development requirements determined and training program proposed (C05 PC 4.3, PC 4.4)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Development requirements match the identified problems (e.g. product knowledge training on botanical ingredients, sales closing skills, prospecting).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Proposed training program states topic, target staff and objective.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6"/>
        <w:gridCol w:w="6269"/>
        <w:gridCol w:w="1464"/>
      </w:tblGrid>
      <w:tr>
        <w:trPr>
          <w:tblHeader w:val="on"/>
          <w:cantSplit/>
        </w:trPr>
        <w:tc>
          <w:tcPr>
            <w:tcW w:type="dxa" w:w="13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Development requirements match the problems and the proposed program states topic, target staff and objective.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Program proposed and mostly matched, one element missing.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Program proposed but not linked to the appraisal findings.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training program proposed.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X291de636de03544c7d564a852614096541321eb"/>
    <w:p>
      <w:pPr>
        <w:pStyle w:val="Heading3"/>
      </w:pPr>
      <w:r>
        <w:rPr>
          <w:rFonts w:ascii="Arial" w:hAnsi="Arial" w:cs="Arial" w:eastAsia="Arial"/>
        </w:rPr>
        <w:t xml:space="preserve">2.16 Target customer profile and customer area are determined (C06 PC 2.1, PC 2.2)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Profile from the data: age 25–39, health-conscious, weekly RTD tea drinkers.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Customer area from the data: Klang Valley (strong pilot result) / convenience store &amp; mini market areas.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26"/>
        <w:gridCol w:w="5872"/>
        <w:gridCol w:w="1672"/>
      </w:tblGrid>
      <w:tr>
        <w:trPr>
          <w:tblHeader w:val="on"/>
          <w:cantSplit/>
        </w:trPr>
        <w:tc>
          <w:tcPr>
            <w:tcW w:type="dxa" w:w="15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Profile and area both determined and supported by the survey / pilot data.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Profile and area determined but one lacks supporting data.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profile OR area determined.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determined or unrelated to the data.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X1ceda2bf039d6f7ce247e909a3513c39ac24210"/>
    <w:p>
      <w:pPr>
        <w:pStyle w:val="Heading3"/>
      </w:pPr>
      <w:r>
        <w:rPr>
          <w:rFonts w:ascii="Arial" w:hAnsi="Arial" w:cs="Arial" w:eastAsia="Arial"/>
        </w:rPr>
        <w:t xml:space="preserve">2.17 Customer trend/lifestyle and buying pattern are determined (C06 PC 2.3, PC 2.4)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Trend/lifestyle from the data: health benefit / less sugar preference (46%), botanical interest (71%).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Buying pattern from the data: weekly RTD purchase (64%), buys at convenience store or mini market (52%), pays RM4.00–RM4.50 (55%).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Trend/lifestyle and buying pattern both determined with supporting figures.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determined, one without supporting figures.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determined from the data.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determined.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Xf9cd80fcd08e39c284d8e3efdcdf0d4403843d2"/>
    <w:p>
      <w:pPr>
        <w:pStyle w:val="Heading3"/>
      </w:pPr>
      <w:r>
        <w:rPr>
          <w:rFonts w:ascii="Arial" w:hAnsi="Arial" w:cs="Arial" w:eastAsia="Arial"/>
        </w:rPr>
        <w:t xml:space="preserve">2.18 Market development performance is assessed against company requirements (C06 PC 5.2)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Area 1: sell-through 78% ≥ 70% and repeat 64% ≥ 50%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meets requirement</w:t>
      </w:r>
      <w:r>
        <w:rPr>
          <w:rFonts w:ascii="Arial" w:hAnsi="Arial" w:cs="Arial" w:eastAsia="Arial"/>
        </w:rPr>
        <w:t xml:space="preserve">. Area 2: sell-through 52% &lt; 70% and repeat 33% &lt; 50%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does not meet requirement</w:t>
      </w:r>
      <w:r>
        <w:rPr>
          <w:rFonts w:ascii="Arial" w:hAnsi="Arial" w:cs="Arial" w:eastAsia="Arial"/>
        </w:rPr>
        <w:t xml:space="preserve">. Recommendation consistent with this result.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1"/>
        <w:gridCol w:w="6071"/>
        <w:gridCol w:w="1567"/>
      </w:tblGrid>
      <w:tr>
        <w:trPr>
          <w:tblHeader w:val="on"/>
          <w:cantSplit/>
        </w:trPr>
        <w:tc>
          <w:tcPr>
            <w:tcW w:type="dxa" w:w="14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areas correctly assessed against both requirements, with a consistent recommendation.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areas correctly assessed but recommendation weak or missing.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area correctly assessed.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Pilot result not assessed or wrongly interpreted.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Xd95c3a35610095c48c55aadd6ef4a602d4fb1e2"/>
    <w:p>
      <w:pPr>
        <w:pStyle w:val="Heading3"/>
      </w:pPr>
      <w:r>
        <w:rPr>
          <w:rFonts w:ascii="Arial" w:hAnsi="Arial" w:cs="Arial" w:eastAsia="Arial"/>
        </w:rPr>
        <w:t xml:space="preserve">2.19 Operational schedule is produced and staff deployed accordingly (C07 PC 3.2, PC 3.3)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Schedule covers Monday–Saturday, both lorries, all 30 drop points (Zone A 12, Zone B 10, Zone C 8) within the 6-drop-points-per-lorry-per-day limit.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Each lorry assigned 1 driver + 1 assistant.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An action addressing the Zone C late-delivery complaints is stated (e.g. dedicated Zone C day / earlier departure).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49"/>
        <w:gridCol w:w="6242"/>
        <w:gridCol w:w="1478"/>
      </w:tblGrid>
      <w:tr>
        <w:trPr>
          <w:tblHeader w:val="on"/>
          <w:cantSplit/>
        </w:trPr>
        <w:tc>
          <w:tcPr>
            <w:tcW w:type="dxa" w:w="13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is complete, feasible within the stated constraints, staff assigned, and the Zone C action stated.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feasible with one minor gap (e.g. Zone C action generic).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incomplete or breaches a stated constraint.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Operational schedule not produced.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Start w:id="30" w:name="X141ff6ab2109aade4265d9a666709fd372500a0"/>
    <w:p>
      <w:pPr>
        <w:pStyle w:val="Heading3"/>
      </w:pPr>
      <w:r>
        <w:rPr>
          <w:rFonts w:ascii="Arial" w:hAnsi="Arial" w:cs="Arial" w:eastAsia="Arial"/>
        </w:rPr>
        <w:t xml:space="preserve">2.20 Stock level is assessed by referring to the submitted inventory report (C07 PC 4.3)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BELOW minimum: tea extract concentrate (900 L &lt; 1,200 L) and carton boxes (7,000 &lt; 9,000). PET bottles (160,000 &gt; 100,000) and label rolls (40 &gt; 25) are adequate.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below-minimum items correctly identified and no adequate item wrongly flagged.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below-minimum items identified but one adequate item also flagged.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below-minimum item identified.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level not assessed.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0"/>
    <w:bookmarkStart w:id="31" w:name="X510262930bc1abb3a1021084a5e629df2efa746"/>
    <w:p>
      <w:pPr>
        <w:pStyle w:val="Heading3"/>
      </w:pPr>
      <w:r>
        <w:rPr>
          <w:rFonts w:ascii="Arial" w:hAnsi="Arial" w:cs="Arial" w:eastAsia="Arial"/>
        </w:rPr>
        <w:t xml:space="preserve">2.21 Stock purchase is proposed according to company procedure (C07 PC 4.4)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Purchase proposal covers the below-minimum items with quantities justified by monthly usage (tea extract usage 2,000 L; cartons usage 10,000/month).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46"/>
        <w:gridCol w:w="5829"/>
        <w:gridCol w:w="1694"/>
      </w:tblGrid>
      <w:tr>
        <w:trPr>
          <w:tblHeader w:val="on"/>
          <w:cantSplit/>
        </w:trPr>
        <w:tc>
          <w:tcPr>
            <w:tcW w:type="dxa" w:w="15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covers both items with quantities justified by the usage data.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covers both items but quantities not justified.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covers only one item.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purchase proposal made.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X8d5a16d4e091ce0cf403256bd7e30c5be3a572b"/>
    <w:p>
      <w:pPr>
        <w:pStyle w:val="Heading3"/>
      </w:pPr>
      <w:r>
        <w:rPr>
          <w:rFonts w:ascii="Arial" w:hAnsi="Arial" w:cs="Arial" w:eastAsia="Arial"/>
        </w:rPr>
        <w:t xml:space="preserve">2.22 Current usage and sustainability of existing technology are analysed (E01 WA1, PC 1.1, PC 1.2)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At least three efficiency problems identified from the Technology Usage Brief (manual re-keying with ~5 errors/month; accounting not linked to inventory; manual stock count 2 days; whiteboard schedule with no shared visibility; no upgrade plan).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Sustainability assessment states whether the current set-up can support the launch/expansion, based on those findings.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5"/>
        <w:gridCol w:w="6146"/>
        <w:gridCol w:w="1528"/>
      </w:tblGrid>
      <w:tr>
        <w:trPr>
          <w:tblHeader w:val="on"/>
          <w:cantSplit/>
        </w:trPr>
        <w:tc>
          <w:tcPr>
            <w:tcW w:type="dxa" w:w="13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problems identified from the brief and a supported sustainability assessment given.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problems identified with a general sustainability assessment.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problem identified or no sustainability assessment.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Technology usage not analysed.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2"/>
    <w:bookmarkStart w:id="33" w:name="Xb6ab7d9031a95c3b9a7679b4d2550017a97ce99"/>
    <w:p>
      <w:pPr>
        <w:pStyle w:val="Heading3"/>
      </w:pPr>
      <w:r>
        <w:rPr>
          <w:rFonts w:ascii="Arial" w:hAnsi="Arial" w:cs="Arial" w:eastAsia="Arial"/>
        </w:rPr>
        <w:t xml:space="preserve">2.23 Business process analysis carried out and one improvement proposed (E01 WA3, PC 3.1)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One process improvement proposed, naming the process reviewed, the proposed change and the expected benefit.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Proposal addresses a problem stated in the Technology Usage Brief (e.g. linking order records to inventory records; digital order capture to remove re-keying; shared delivery schedule).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0"/>
        <w:gridCol w:w="6115"/>
        <w:gridCol w:w="1545"/>
      </w:tblGrid>
      <w:tr>
        <w:trPr>
          <w:tblHeader w:val="on"/>
          <w:cantSplit/>
        </w:trPr>
        <w:tc>
          <w:tcPr>
            <w:tcW w:type="dxa" w:w="14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Improvement names the process, the change and the benefit, and addresses a documented problem.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Improvement relevant but one element (process / change / benefit) missing.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Improvement generic and weakly linked to the brief.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improvement proposed.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Semakan pemberat Bahagian 2: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C01 9% + C02 8% + C03 7% + C04 7% + C05 8% + C06 7% + C07 8% + E01 6%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✓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2: ___ (60%)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3"/>
    <w:bookmarkEnd w:id="34"/>
    <w:bookmarkStart w:id="38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bookmarkStart w:id="35" w:name="X14804b28e39dbe1c1e2d4c63a605abea202c599"/>
    <w:p>
      <w:pPr>
        <w:pStyle w:val="Heading3"/>
      </w:pPr>
      <w:r>
        <w:rPr>
          <w:rFonts w:ascii="Arial" w:hAnsi="Arial" w:cs="Arial" w:eastAsia="Arial"/>
        </w:rPr>
        <w:t xml:space="preserve">3.1 Marketing plan &amp; market development pack (Appendix 5) is complete and consistent (C01 + C06)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All Part A and Part B fields completed; trends, price point, plan, target profile and pilot analysis mutually consistent and traceable to Appendix 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06"/>
        <w:gridCol w:w="5703"/>
        <w:gridCol w:w="1760"/>
      </w:tblGrid>
      <w:tr>
        <w:trPr>
          <w:tblHeader w:val="on"/>
          <w:cantSplit/>
        </w:trPr>
        <w:tc>
          <w:tcPr>
            <w:tcW w:type="dxa" w:w="160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7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fields completed, internally consistent and data-supported.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Complete with one or two minor inconsistencies.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fields incomplete or inconsistent.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5 substantially incomplete.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5"/>
    <w:bookmarkStart w:id="36" w:name="X3d9f5937f3edb28a5813ca667c10f2e505221f5"/>
    <w:p>
      <w:pPr>
        <w:pStyle w:val="Heading3"/>
      </w:pPr>
      <w:r>
        <w:rPr>
          <w:rFonts w:ascii="Arial" w:hAnsi="Arial" w:cs="Arial" w:eastAsia="Arial"/>
        </w:rPr>
        <w:t xml:space="preserve">3.2 Budget &amp; business analysis figures (Appendix 6) are arithmetically correct (C02 + C04)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margins 40.00% / 41.18%; month totals RM282,000 / RM338,400 / RM372,240; break-even 100,000 units (SKU A) / 85,715 units (SKU B) / ≈94,737 units (2:1 mix); Month 1 contribution RM114,000 below break-even, Month 2 onwards above.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46"/>
        <w:gridCol w:w="5829"/>
        <w:gridCol w:w="1694"/>
      </w:tblGrid>
      <w:tr>
        <w:trPr>
          <w:tblHeader w:val="on"/>
          <w:cantSplit/>
        </w:trPr>
        <w:tc>
          <w:tcPr>
            <w:tcW w:type="dxa" w:w="15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submitted figures arithmetically correct (minor rounding accepted).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arithmetic error that does not change the conclusions.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arithmetic errors or a changed conclusion.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Figures substantially incorrect or missing.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4%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6"/>
    <w:bookmarkStart w:id="37" w:name="X177e0205e325fc0f6835ac425f7bda4cb6bcbd6"/>
    <w:p>
      <w:pPr>
        <w:pStyle w:val="Heading3"/>
      </w:pPr>
      <w:r>
        <w:rPr>
          <w:rFonts w:ascii="Arial" w:hAnsi="Arial" w:cs="Arial" w:eastAsia="Arial"/>
        </w:rPr>
        <w:t xml:space="preserve">3.3 Operation, staff, logistic and technology reports (Appendix 7 &amp; 8) are complete and usable (C03 + C05 + C07 + E01)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KPI table, team evaluation, manpower plan, training proposal, delivery schedule, stock assessment, purchase proposal and technology review all completed and usable as working documents.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68"/>
        <w:gridCol w:w="5364"/>
        <w:gridCol w:w="1937"/>
      </w:tblGrid>
      <w:tr>
        <w:trPr>
          <w:tblHeader w:val="on"/>
          <w:cantSplit/>
        </w:trPr>
        <w:tc>
          <w:tcPr>
            <w:tcW w:type="dxa" w:w="17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3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9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sections completed, systematic and usable.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Complete with one or two minor omissions.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sections incomplete or not usable.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7 / 8 substantially incomplete.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3: ___ (10%)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End w:id="38"/>
    <w:bookmarkStart w:id="44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bookmarkStart w:id="39" w:name="Xdf397bfba6b6330019c49bec6f45c8be56051ef"/>
    <w:p>
      <w:pPr>
        <w:pStyle w:val="Heading3"/>
      </w:pPr>
      <w:r>
        <w:rPr>
          <w:rFonts w:ascii="Arial" w:hAnsi="Arial" w:cs="Arial" w:eastAsia="Arial"/>
        </w:rPr>
        <w:t xml:space="preserve">4.1 Candidate attends the assessment at the specified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57"/>
        <w:gridCol w:w="5597"/>
        <w:gridCol w:w="1815"/>
      </w:tblGrid>
      <w:tr>
        <w:trPr>
          <w:tblHeader w:val="on"/>
          <w:cantSplit/>
        </w:trPr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Present and ready at the specified assessment start time.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within 10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10 minutes but within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39"/>
    <w:bookmarkStart w:id="40" w:name="X5d000bbfba28e858fc188202a4dc1eb32c65f2c"/>
    <w:p>
      <w:pPr>
        <w:pStyle w:val="Heading3"/>
      </w:pPr>
      <w:r>
        <w:rPr>
          <w:rFonts w:ascii="Arial" w:hAnsi="Arial" w:cs="Arial" w:eastAsia="Arial"/>
        </w:rPr>
        <w:t xml:space="preserve">4.2 Information is collected, processed and applied according to task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information correctly collected, systematically processed and applied.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Mostly correct with one minor inconsistency.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Partially systematic; several inconsistencies.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not appropriately handled.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40"/>
    <w:bookmarkStart w:id="41" w:name="X16ffcb3abefde997e624547d70ab24c370f9bd2"/>
    <w:p>
      <w:pPr>
        <w:pStyle w:val="Heading3"/>
      </w:pPr>
      <w:r>
        <w:rPr>
          <w:rFonts w:ascii="Arial" w:hAnsi="Arial" w:cs="Arial" w:eastAsia="Arial"/>
        </w:rPr>
        <w:t xml:space="preserve">4.3 Computer and digital equipment are handled correctly and safely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61"/>
        <w:gridCol w:w="5799"/>
        <w:gridCol w:w="1710"/>
      </w:tblGrid>
      <w:tr>
        <w:trPr>
          <w:tblHeader w:val="on"/>
          <w:cantSplit/>
        </w:trPr>
        <w:tc>
          <w:tcPr>
            <w:tcW w:type="dxa" w:w="156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equipment handled correctly and safely; left in proper condition.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correct with one minor weakness.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Proper handling only partially observed.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 mishandled or left in improper condition.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41"/>
    <w:bookmarkStart w:id="42" w:name="X54ad66f6bc5fad298c9d41f8f67e5a8cd09a052"/>
    <w:p>
      <w:pPr>
        <w:pStyle w:val="Heading3"/>
      </w:pPr>
      <w:r>
        <w:rPr>
          <w:rFonts w:ascii="Arial" w:hAnsi="Arial" w:cs="Arial" w:eastAsia="Arial"/>
        </w:rPr>
        <w:t xml:space="preserve">4.4 Company, financial and staff information is handled responsibly and systematically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76"/>
        <w:gridCol w:w="5558"/>
        <w:gridCol w:w="1836"/>
      </w:tblGrid>
      <w:tr>
        <w:trPr>
          <w:tblHeader w:val="on"/>
          <w:cantSplit/>
        </w:trPr>
        <w:tc>
          <w:tcPr>
            <w:tcW w:type="dxa" w:w="16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information handled responsibly and systematically.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responsible with one minor weakness.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Inconsistent or poorly organised.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Handled irresponsibly.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42"/>
    <w:bookmarkStart w:id="43" w:name="Xf66ef87b0ad4cae69421414099f27070b762a06"/>
    <w:p>
      <w:pPr>
        <w:pStyle w:val="Heading3"/>
      </w:pPr>
      <w:r>
        <w:rPr>
          <w:rFonts w:ascii="Arial" w:hAnsi="Arial" w:cs="Arial" w:eastAsia="Arial"/>
        </w:rPr>
        <w:t xml:space="preserve">4.5 Documents, equipment and work area are properly organised upon completion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85"/>
        <w:gridCol w:w="5539"/>
        <w:gridCol w:w="1846"/>
      </w:tblGrid>
      <w:tr>
        <w:trPr>
          <w:tblHeader w:val="on"/>
          <w:cantSplit/>
        </w:trPr>
        <w:tc>
          <w:tcPr>
            <w:tcW w:type="dxa" w:w="16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3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4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items properly organised and ready for submission.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Mostly organised with one minor omission.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partially organised.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properly organised.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4: ___ (10%)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3"/>
    <w:bookmarkEnd w:id="44"/>
    <w:bookmarkStart w:id="45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10 soalan wajib, sekurang-kurangnya satu bagi setiap CU. Setiap soalan diberi markah 0–3 mengikut skala di bawah. Jawapan yang diterima adalah berdasarkan Performance Criteria CP sahaja.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correct and relevant answers are stated or explained clearly.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and relevant answers are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correct and relevant answer is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correct or relevant answer is stated.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2"/>
        <w:gridCol w:w="3018"/>
        <w:gridCol w:w="510"/>
        <w:gridCol w:w="4929"/>
      </w:tblGrid>
      <w:tr>
        <w:trPr>
          <w:tblHeader w:val="on"/>
          <w:cantSplit/>
        </w:trPr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49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 (berdasarkan Performance Criteria CP)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that must be determined when carrying out a market assessment.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Matrix of players and their products listed; market trends determined according to market analysis reports; issues in market listed based on market analysis findings (C01 PC 2.1–2.3)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5.2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the buying factors and price point of a target market are determined.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Buying cycle based on product specification; buying factors based on PASTEL requirements analysis; price point based on market analysis findings (C01 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5.3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the margin for each product and the required gross margin are determined when preparing a sales budget.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Required cross margin confirmed based on company policies and procedures; operating expenses planning prepared according to accounting format; margin for each product determined according to standard calculation format (C02 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5.4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individual KPI is set for sales staff.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budget identified from sales budget planning; marketing plan interpreted according to requirements; KPI individually determined according to sales budget; KPI of individual/team assessed according to sales performance (C03 PC 2.1–2.3, 4.2)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5.5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profitability and break-even point are estimated during business analysis.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Selling price estimated based on competition and customer feedback; sales volume estimated based on market analysis; profitability and break-even point estimated according to company procedure (C04 PC 3.1–3.3)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5.6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steps involved in product market testing.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Physical prototype or mock-up obtained according to procedure; product (and its packaging) tested in typical usage situations according to procedure; necessary product adjustment specifications proposed based on feedback from product testing activities (C04 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5.7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three (3) steps in carrying out a staff interview session up to candidate confirmation.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on applicant collected from human resource department; effective interviewing technique determined according to standard procedure; effectiveness of interview session assessed according to determined criteria; selected candidate confirmed and proposed to human resource personnel (C05 PC 3.1–3.4)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5.8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that must be determined when identifying the target market for market development.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Profile of target customer obtained from company’s database; customer area determined from market analysis report; customer trend and lifestyle determined based on market trend analysis findings; customer buying pattern confirmed on market trend analysis findings (C06 PC 2.1–2.4)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5.9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actions to be taken on delivered goods and when a stock discrepancy is found.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C07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Delivered goods conditions checked upon receipt by customer; tools, equipment and materials condition checked according to company procedure; stock level assessed by referring to submitted inventory report; stock purchased according to company procedure (C07 PC 2.3, 4.2–4.4)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5.10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technology scanning is carried out and how a strategic technological change is proposed.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E01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Technology scanning carried out according to scanning process and techniques; strategic technological change proposed according to stakeholders requirements; new strategic technology implemented according to Company’s business objectives (E01 PC 4.2–4.4)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Bahagian 5: Jumlah Markah (maksimum 10 × 3 = 30) ÷ 30 × 20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5: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/30 × 20 =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 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5"/>
    <w:bookmarkStart w:id="46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6"/>
    <w:bookmarkStart w:id="47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FB-018-45:2012/2026/A/01 — SKEMA SULIT</w:t>
      </w:r>
    </w:p>
    <w:bookmarkEnd w:id="47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2026-08-25T15:28:21Z</dcterms:created>
  <dcterms:modified xsi:type="dcterms:W3CDTF">2026-08-25T15:28:21Z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