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ssessment-answer-sheet-model-answer"/>
    <w:p>
      <w:pPr>
        <w:pStyle w:val="Heading1"/>
      </w:pPr>
      <w:r>
        <w:rPr>
          <w:rFonts w:ascii="Arial" w:hAnsi="Arial" w:cs="Arial" w:eastAsia="Arial"/>
        </w:rPr>
        <w:t xml:space="preserve">ASSESSMENT ANSWER SHEET (MODEL ANSWER)</w:t>
      </w:r>
    </w:p>
    <w:p>
      <w:pPr>
        <w:pStyle w:val="BlockText"/>
      </w:pPr>
      <w:r>
        <w:rPr>
          <w:rFonts w:ascii="Arial" w:hAnsi="Arial" w:cs="Arial" w:eastAsia="Arial"/>
          <w:b/>
          <w:bCs/>
        </w:rPr>
        <w:t xml:space="preserve">Examiner’s Reference — Model Answer.</w:t>
      </w:r>
      <w:r>
        <w:rPr>
          <w:rFonts w:ascii="Arial" w:hAnsi="Arial" w:cs="Arial" w:eastAsia="Arial"/>
        </w:rPr>
        <w:t xml:space="preserve"> </w:t>
      </w:r>
      <w:r>
        <w:rPr>
          <w:rFonts w:ascii="Arial" w:hAnsi="Arial" w:cs="Arial" w:eastAsia="Arial"/>
        </w:rPr>
        <w:t xml:space="preserve">This document reproduces Appendices 5 to 8 of the SOALAN with the correct answers filled in. Text in</w:t>
      </w:r>
      <w:r>
        <w:rPr>
          <w:rFonts w:ascii="Arial" w:hAnsi="Arial" w:cs="Arial" w:eastAsia="Arial"/>
        </w:rPr>
        <w:t xml:space="preserve"> </w:t>
      </w:r>
      <w:r>
        <w:rPr>
          <w:rFonts w:ascii="Arial" w:hAnsi="Arial" w:cs="Arial" w:eastAsia="Arial"/>
          <w:b/>
          <w:bCs/>
        </w:rPr>
        <w:t xml:space="preserve">bold</w:t>
      </w:r>
      <w:r>
        <w:rPr>
          <w:rFonts w:ascii="Arial" w:hAnsi="Arial" w:cs="Arial" w:eastAsia="Arial"/>
        </w:rPr>
        <w:t xml:space="preserve"> </w:t>
      </w:r>
      <w:r>
        <w:rPr>
          <w:rFonts w:ascii="Arial" w:hAnsi="Arial" w:cs="Arial" w:eastAsia="Arial"/>
        </w:rPr>
        <w:t xml:space="preserve">is the model answer. Equivalent data-supported responses are acceptable where indicated.</w:t>
      </w:r>
    </w:p>
    <w:p>
      <w:r>
        <w:rPr>
          <w:rFonts w:ascii="Arial" w:hAnsi="Arial" w:cs="Arial" w:eastAsia="Arial"/>
        </w:rPr>
        <w:pict>
          <v:rect style="width:0;height:1.5pt" o:hralign="center" o:hrstd="t" o:hr="t"/>
        </w:pict>
      </w:r>
    </w:p>
    <w:bookmarkStart w:id="11" w:name="Xa3ce6d90cf420d6a7ef73606590a306f3adeb7a"/>
    <w:p>
      <w:pPr>
        <w:pStyle w:val="Heading2"/>
      </w:pPr>
      <w:r>
        <w:rPr>
          <w:rFonts w:ascii="Arial" w:hAnsi="Arial" w:cs="Arial" w:eastAsia="Arial"/>
        </w:rPr>
        <w:t xml:space="preserve">APPENDIX 5 — MARKETING STRATEGIC PLAN &amp; MARKET DEVELOPMENT FORM</w:t>
      </w:r>
    </w:p>
    <w:bookmarkStart w:id="9" w:name="part-a-marketing-strategic-planning-t1"/>
    <w:p>
      <w:pPr>
        <w:pStyle w:val="Heading3"/>
      </w:pPr>
      <w:r>
        <w:rPr>
          <w:rFonts w:ascii="Arial" w:hAnsi="Arial" w:cs="Arial" w:eastAsia="Arial"/>
        </w:rPr>
        <w:t xml:space="preserve">PART A — MARKETING STRATEGIC PLANNING (T1)</w:t>
      </w:r>
    </w:p>
    <w:p>
      <w:pPr>
        <w:pStyle w:val="FirstParagraph"/>
      </w:pPr>
      <w:r>
        <w:rPr>
          <w:rFonts w:ascii="Arial" w:hAnsi="Arial" w:cs="Arial" w:eastAsia="Arial"/>
          <w:b/>
          <w:bCs/>
        </w:rPr>
        <w:t xml:space="preserve">A1. MARKET TRENDS</w:t>
      </w:r>
    </w:p>
    <w:p>
      <w:pPr>
        <w:pStyle w:val="Compact"/>
        <w:numPr>
          <w:ilvl w:val="0"/>
          <w:numId w:val="1001"/>
        </w:numPr>
      </w:pPr>
      <w:r>
        <w:rPr>
          <w:rFonts w:ascii="Arial" w:hAnsi="Arial" w:cs="Arial" w:eastAsia="Arial"/>
          <w:b/>
          <w:bCs/>
        </w:rPr>
        <w:t xml:space="preserve">Growing demand for home-office and work-from-home furniture — 62% of survey respondents work from home at least 2 days weekly and 68% expressed interest in modular home-office desks, indicating a strong and expanding market trend driven by remote and hybrid work practices.</w:t>
      </w:r>
    </w:p>
    <w:p>
      <w:pPr>
        <w:pStyle w:val="Compact"/>
        <w:numPr>
          <w:ilvl w:val="0"/>
          <w:numId w:val="1001"/>
        </w:numPr>
      </w:pPr>
      <w:r>
        <w:rPr>
          <w:rFonts w:ascii="Arial" w:hAnsi="Arial" w:cs="Arial" w:eastAsia="Arial"/>
          <w:b/>
          <w:bCs/>
        </w:rPr>
        <w:t xml:space="preserve">Consumer preference is shifting toward modular and space-saving furniture designs — 44% of respondents cited space-saving / modular design as the main buying factor, and Competitor C (imported brand, RM480) is positioned as a premium modular ergonomic desk, reflecting growing consumer willingness to invest in purpose-designed home-office furniture.</w:t>
      </w:r>
    </w:p>
    <w:p>
      <w:pPr>
        <w:pStyle w:val="FirstParagraph"/>
      </w:pPr>
      <w:r>
        <w:rPr>
          <w:rFonts w:ascii="Arial" w:hAnsi="Arial" w:cs="Arial" w:eastAsia="Arial"/>
          <w:i/>
          <w:iCs/>
        </w:rPr>
        <w:t xml:space="preserve">(Any two trends derived from Appendix 2 market survey and competitor matrix data are acceptable.)</w:t>
      </w:r>
    </w:p>
    <w:p>
      <w:pPr>
        <w:pStyle w:val="BodyText"/>
      </w:pPr>
      <w:r>
        <w:rPr>
          <w:rFonts w:ascii="Arial" w:hAnsi="Arial" w:cs="Arial" w:eastAsia="Arial"/>
          <w:b/>
          <w:bCs/>
        </w:rPr>
        <w:t xml:space="preserve">A2. ISSUES IN MARKET</w:t>
      </w:r>
    </w:p>
    <w:p>
      <w:pPr>
        <w:pStyle w:val="Compact"/>
        <w:numPr>
          <w:ilvl w:val="0"/>
          <w:numId w:val="1002"/>
        </w:numPr>
      </w:pPr>
      <w:r>
        <w:rPr>
          <w:rFonts w:ascii="Arial" w:hAnsi="Arial" w:cs="Arial" w:eastAsia="Arial"/>
          <w:b/>
          <w:bCs/>
        </w:rPr>
        <w:t xml:space="preserve">Competitive pricing pressure from low-price national brands — Competitor A (standard office desk at RM280) targets the mass market at a significantly lower price point, which may attract price-sensitive buyers away from the FlexiDesk Compact (RM350 suggested retail).</w:t>
      </w:r>
    </w:p>
    <w:p>
      <w:pPr>
        <w:pStyle w:val="Compact"/>
        <w:numPr>
          <w:ilvl w:val="0"/>
          <w:numId w:val="1002"/>
        </w:numPr>
      </w:pPr>
      <w:r>
        <w:rPr>
          <w:rFonts w:ascii="Arial" w:hAnsi="Arial" w:cs="Arial" w:eastAsia="Arial"/>
          <w:b/>
          <w:bCs/>
        </w:rPr>
        <w:t xml:space="preserve">Limited awareness of modular home-office desks among general consumers — the modular home-office desk segment is relatively new and less established than standard office desks; consumer education and targeted promotion are required to drive adoption.</w:t>
      </w:r>
    </w:p>
    <w:p>
      <w:pPr>
        <w:pStyle w:val="FirstParagraph"/>
      </w:pPr>
      <w:r>
        <w:rPr>
          <w:rFonts w:ascii="Arial" w:hAnsi="Arial" w:cs="Arial" w:eastAsia="Arial"/>
          <w:i/>
          <w:iCs/>
        </w:rPr>
        <w:t xml:space="preserve">(Any two issues derived from the data in Appendix 2 are acceptable.)</w:t>
      </w:r>
    </w:p>
    <w:p>
      <w:pPr>
        <w:pStyle w:val="BodyText"/>
      </w:pPr>
      <w:r>
        <w:rPr>
          <w:rFonts w:ascii="Arial" w:hAnsi="Arial" w:cs="Arial" w:eastAsia="Arial"/>
          <w:b/>
          <w:bCs/>
        </w:rPr>
        <w:t xml:space="preserve">A3. TARGET MARKET ASSESSMENT</w:t>
      </w:r>
    </w:p>
    <w:p>
      <w:pPr>
        <w:pStyle w:val="BodyText"/>
      </w:pPr>
      <w:r>
        <w:rPr>
          <w:rFonts w:ascii="Arial" w:hAnsi="Arial" w:cs="Arial" w:eastAsia="Arial"/>
        </w:rPr>
        <w:t xml:space="preserve">Buying factors:</w:t>
      </w:r>
      <w:r>
        <w:rPr>
          <w:rFonts w:ascii="Arial" w:hAnsi="Arial" w:cs="Arial" w:eastAsia="Arial"/>
        </w:rPr>
        <w:t xml:space="preserve"> </w:t>
      </w:r>
      <w:r>
        <w:rPr>
          <w:rFonts w:ascii="Arial" w:hAnsi="Arial" w:cs="Arial" w:eastAsia="Arial"/>
          <w:b/>
          <w:bCs/>
        </w:rPr>
        <w:t xml:space="preserve">Space-saving / modular design (44% of respondents, the main buying factor) and Price (32% of respondents, the second buying factor). Targeted at the 25–44 age group (60%) who work from home at least 2 days per week.</w:t>
      </w:r>
    </w:p>
    <w:p>
      <w:pPr>
        <w:pStyle w:val="BodyText"/>
      </w:pPr>
      <w:r>
        <w:rPr>
          <w:rFonts w:ascii="Arial" w:hAnsi="Arial" w:cs="Arial" w:eastAsia="Arial"/>
        </w:rPr>
        <w:t xml:space="preserve">Recommended price point:</w:t>
      </w:r>
      <w:r>
        <w:rPr>
          <w:rFonts w:ascii="Arial" w:hAnsi="Arial" w:cs="Arial" w:eastAsia="Arial"/>
        </w:rPr>
        <w:t xml:space="preserve"> </w:t>
      </w:r>
      <w:r>
        <w:rPr>
          <w:rFonts w:ascii="Arial" w:hAnsi="Arial" w:cs="Arial" w:eastAsia="Arial"/>
          <w:b/>
          <w:bCs/>
        </w:rPr>
        <w:t xml:space="preserve">FlexiDesk Compact at RM350 suggested retail and FlexiDesk Pro at RM450 suggested retail (Appendix 3). Supported by: 55% of respondents are willing to pay RM350–RM450 for a modular desk (Appendix 2), and both suggested retail prices fall within this willingness-to-pay range.</w:t>
      </w:r>
    </w:p>
    <w:p>
      <w:pPr>
        <w:pStyle w:val="BodyText"/>
      </w:pPr>
      <w:r>
        <w:rPr>
          <w:rFonts w:ascii="Arial" w:hAnsi="Arial" w:cs="Arial" w:eastAsia="Arial"/>
          <w:b/>
          <w:bCs/>
        </w:rPr>
        <w:t xml:space="preserve">A4. MARKETING PLAN SUMMARY</w:t>
      </w:r>
    </w:p>
    <w:p>
      <w:pPr>
        <w:pStyle w:val="BodyText"/>
      </w:pPr>
      <w:r>
        <w:rPr>
          <w:rFonts w:ascii="Arial" w:hAnsi="Arial" w:cs="Arial" w:eastAsia="Arial"/>
        </w:rPr>
        <w:t xml:space="preserve">Key feature to promote:</w:t>
      </w:r>
      <w:r>
        <w:rPr>
          <w:rFonts w:ascii="Arial" w:hAnsi="Arial" w:cs="Arial" w:eastAsia="Arial"/>
        </w:rPr>
        <w:t xml:space="preserve"> </w:t>
      </w:r>
      <w:r>
        <w:rPr>
          <w:rFonts w:ascii="Arial" w:hAnsi="Arial" w:cs="Arial" w:eastAsia="Arial"/>
          <w:b/>
          <w:bCs/>
        </w:rPr>
        <w:t xml:space="preserve">Modular and space-saving design — the differentiating product attribute of the FlexiDesk range for home-office users.</w:t>
      </w:r>
    </w:p>
    <w:p>
      <w:pPr>
        <w:pStyle w:val="BodyText"/>
      </w:pPr>
      <w:r>
        <w:rPr>
          <w:rFonts w:ascii="Arial" w:hAnsi="Arial" w:cs="Arial" w:eastAsia="Arial"/>
        </w:rPr>
        <w:t xml:space="preserve">Benefits to buyers/users:</w:t>
      </w:r>
      <w:r>
        <w:rPr>
          <w:rFonts w:ascii="Arial" w:hAnsi="Arial" w:cs="Arial" w:eastAsia="Arial"/>
        </w:rPr>
        <w:t xml:space="preserve"> </w:t>
      </w:r>
      <w:r>
        <w:rPr>
          <w:rFonts w:ascii="Arial" w:hAnsi="Arial" w:cs="Arial" w:eastAsia="Arial"/>
          <w:b/>
          <w:bCs/>
        </w:rPr>
        <w:t xml:space="preserve">(1) Space-saving modular design — suitable for home-office environments of varying sizes, addressing the main buying factor (44% of respondents). (2) Flat-pack convenience — easy to transport and assemble, available through furniture showrooms and online marketplaces (preferred by 54% of respondents).</w:t>
      </w:r>
    </w:p>
    <w:p>
      <w:pPr>
        <w:pStyle w:val="BodyText"/>
      </w:pPr>
      <w:r>
        <w:rPr>
          <w:rFonts w:ascii="Arial" w:hAnsi="Arial" w:cs="Arial" w:eastAsia="Arial"/>
        </w:rPr>
        <w:t xml:space="preserve">Facts supporting the benefits:</w:t>
      </w:r>
      <w:r>
        <w:rPr>
          <w:rFonts w:ascii="Arial" w:hAnsi="Arial" w:cs="Arial" w:eastAsia="Arial"/>
        </w:rPr>
        <w:t xml:space="preserve"> </w:t>
      </w:r>
      <w:r>
        <w:rPr>
          <w:rFonts w:ascii="Arial" w:hAnsi="Arial" w:cs="Arial" w:eastAsia="Arial"/>
          <w:b/>
          <w:bCs/>
        </w:rPr>
        <w:t xml:space="preserve">44% of respondents cited space-saving / modular design as the main buying factor (Appendix 2). 62% work from home at least 2 days weekly, confirming the need for dedicated home-office furniture. Suggested retail prices (RM350–RM450) are within the willingness-to-pay range of 55% of respondents.</w:t>
      </w:r>
    </w:p>
    <w:p>
      <w:pPr>
        <w:pStyle w:val="BodyText"/>
      </w:pPr>
      <w:r>
        <w:rPr>
          <w:rFonts w:ascii="Arial" w:hAnsi="Arial" w:cs="Arial" w:eastAsia="Arial"/>
        </w:rPr>
        <w:t xml:space="preserve">Plan for promoting benefits (channel &amp; approach):</w:t>
      </w:r>
      <w:r>
        <w:rPr>
          <w:rFonts w:ascii="Arial" w:hAnsi="Arial" w:cs="Arial" w:eastAsia="Arial"/>
        </w:rPr>
        <w:t xml:space="preserve"> </w:t>
      </w:r>
      <w:r>
        <w:rPr>
          <w:rFonts w:ascii="Arial" w:hAnsi="Arial" w:cs="Arial" w:eastAsia="Arial"/>
          <w:b/>
          <w:bCs/>
        </w:rPr>
        <w:t xml:space="preserve">Distribute through furniture showrooms and online marketplaces (preferred by 54% of respondents) as the primary channels. Support with online product demonstrations and social media content targeting the 25–44 home-office user segment in Johor Bahru and surrounding areas.</w:t>
      </w:r>
    </w:p>
    <w:p>
      <w:pPr>
        <w:pStyle w:val="BodyText"/>
      </w:pPr>
      <w:r>
        <w:rPr>
          <w:rFonts w:ascii="Arial" w:hAnsi="Arial" w:cs="Arial" w:eastAsia="Arial"/>
        </w:rPr>
        <w:t xml:space="preserve">Performance measurement:</w:t>
      </w:r>
      <w:r>
        <w:rPr>
          <w:rFonts w:ascii="Arial" w:hAnsi="Arial" w:cs="Arial" w:eastAsia="Arial"/>
        </w:rPr>
        <w:t xml:space="preserve"> </w:t>
      </w:r>
      <w:r>
        <w:rPr>
          <w:rFonts w:ascii="Arial" w:hAnsi="Arial" w:cs="Arial" w:eastAsia="Arial"/>
          <w:b/>
          <w:bCs/>
        </w:rPr>
        <w:t xml:space="preserve">Measure sell-through rate at dealer outlets, repeat order rate within 8 weeks of launch, and actual sales volume against the 3-month sales budget forecast (Appendix 6).</w:t>
      </w:r>
    </w:p>
    <w:p>
      <w:r>
        <w:rPr>
          <w:rFonts w:ascii="Arial" w:hAnsi="Arial" w:cs="Arial" w:eastAsia="Arial"/>
        </w:rPr>
        <w:pict>
          <v:rect style="width:0;height:1.5pt" o:hralign="center" o:hrstd="t" o:hr="t"/>
        </w:pict>
      </w:r>
    </w:p>
    <w:bookmarkEnd w:id="9"/>
    <w:bookmarkStart w:id="10" w:name="part-b-market-development-t6"/>
    <w:p>
      <w:pPr>
        <w:pStyle w:val="Heading3"/>
      </w:pPr>
      <w:r>
        <w:rPr>
          <w:rFonts w:ascii="Arial" w:hAnsi="Arial" w:cs="Arial" w:eastAsia="Arial"/>
        </w:rPr>
        <w:t xml:space="preserve">PART B — MARKET DEVELOPMENT (T6)</w:t>
      </w:r>
    </w:p>
    <w:p>
      <w:pPr>
        <w:pStyle w:val="FirstParagraph"/>
      </w:pPr>
      <w:r>
        <w:rPr>
          <w:rFonts w:ascii="Arial" w:hAnsi="Arial" w:cs="Arial" w:eastAsia="Arial"/>
          <w:b/>
          <w:bCs/>
        </w:rPr>
        <w:t xml:space="preserve">B1. TARGET MARKET PROFILE</w:t>
      </w:r>
    </w:p>
    <w:p>
      <w:pPr>
        <w:pStyle w:val="BodyText"/>
      </w:pPr>
      <w:r>
        <w:rPr>
          <w:rFonts w:ascii="Arial" w:hAnsi="Arial" w:cs="Arial" w:eastAsia="Arial"/>
        </w:rPr>
        <w:t xml:space="preserve">Profile of target customer:</w:t>
      </w:r>
      <w:r>
        <w:rPr>
          <w:rFonts w:ascii="Arial" w:hAnsi="Arial" w:cs="Arial" w:eastAsia="Arial"/>
        </w:rPr>
        <w:t xml:space="preserve"> </w:t>
      </w:r>
      <w:r>
        <w:rPr>
          <w:rFonts w:ascii="Arial" w:hAnsi="Arial" w:cs="Arial" w:eastAsia="Arial"/>
          <w:b/>
          <w:bCs/>
        </w:rPr>
        <w:t xml:space="preserve">Adults aged 25–44 who work from home regularly and are seeking space-saving or modular home-office furniture at a mid-range price point (RM350–RM450).</w:t>
      </w:r>
    </w:p>
    <w:p>
      <w:pPr>
        <w:pStyle w:val="BodyText"/>
      </w:pPr>
      <w:r>
        <w:rPr>
          <w:rFonts w:ascii="Arial" w:hAnsi="Arial" w:cs="Arial" w:eastAsia="Arial"/>
        </w:rPr>
        <w:t xml:space="preserve">Customer area:</w:t>
      </w:r>
      <w:r>
        <w:rPr>
          <w:rFonts w:ascii="Arial" w:hAnsi="Arial" w:cs="Arial" w:eastAsia="Arial"/>
        </w:rPr>
        <w:t xml:space="preserve"> </w:t>
      </w:r>
      <w:r>
        <w:rPr>
          <w:rFonts w:ascii="Arial" w:hAnsi="Arial" w:cs="Arial" w:eastAsia="Arial"/>
          <w:b/>
          <w:bCs/>
        </w:rPr>
        <w:t xml:space="preserve">Johor Bahru and surrounding areas (primary market) based on company location and market survey (Appendix 1 &amp; 2), with planned expansion to Melaka and Negeri Sembilan.</w:t>
      </w:r>
    </w:p>
    <w:p>
      <w:pPr>
        <w:pStyle w:val="BodyText"/>
      </w:pPr>
      <w:r>
        <w:rPr>
          <w:rFonts w:ascii="Arial" w:hAnsi="Arial" w:cs="Arial" w:eastAsia="Arial"/>
        </w:rPr>
        <w:t xml:space="preserve">Customer trend / lifestyle:</w:t>
      </w:r>
      <w:r>
        <w:rPr>
          <w:rFonts w:ascii="Arial" w:hAnsi="Arial" w:cs="Arial" w:eastAsia="Arial"/>
        </w:rPr>
        <w:t xml:space="preserve"> </w:t>
      </w:r>
      <w:r>
        <w:rPr>
          <w:rFonts w:ascii="Arial" w:hAnsi="Arial" w:cs="Arial" w:eastAsia="Arial"/>
          <w:b/>
          <w:bCs/>
        </w:rPr>
        <w:t xml:space="preserve">Remote and hybrid work lifestyle — 62% work from home at least 2 days weekly and 68% are interested in modular home-office desks. Prefer purchasing through furniture showrooms and online marketplaces (54%).</w:t>
      </w:r>
    </w:p>
    <w:p>
      <w:pPr>
        <w:pStyle w:val="BodyText"/>
      </w:pPr>
      <w:r>
        <w:rPr>
          <w:rFonts w:ascii="Arial" w:hAnsi="Arial" w:cs="Arial" w:eastAsia="Arial"/>
        </w:rPr>
        <w:t xml:space="preserve">Customer buying pattern:</w:t>
      </w:r>
      <w:r>
        <w:rPr>
          <w:rFonts w:ascii="Arial" w:hAnsi="Arial" w:cs="Arial" w:eastAsia="Arial"/>
        </w:rPr>
        <w:t xml:space="preserve"> </w:t>
      </w:r>
      <w:r>
        <w:rPr>
          <w:rFonts w:ascii="Arial" w:hAnsi="Arial" w:cs="Arial" w:eastAsia="Arial"/>
          <w:b/>
          <w:bCs/>
        </w:rPr>
        <w:t xml:space="preserve">Purchase home-office furniture through showrooms and online marketplaces. Main buying consideration is space-saving / modular design (44%), followed by price (32%). Willing to pay RM350–RM450 for a modular desk.</w:t>
      </w:r>
    </w:p>
    <w:p>
      <w:pPr>
        <w:pStyle w:val="BodyText"/>
      </w:pPr>
      <w:r>
        <w:rPr>
          <w:rFonts w:ascii="Arial" w:hAnsi="Arial" w:cs="Arial" w:eastAsia="Arial"/>
          <w:b/>
          <w:bCs/>
        </w:rPr>
        <w:t xml:space="preserve">B2. MARKET DEVELOPMENT PILOT RESULT ANALYSIS</w:t>
      </w:r>
    </w:p>
    <w:p>
      <w:pPr>
        <w:pStyle w:val="BodyText"/>
      </w:pPr>
      <w:r>
        <w:rPr>
          <w:rFonts w:ascii="Arial" w:hAnsi="Arial" w:cs="Arial" w:eastAsia="Arial"/>
        </w:rPr>
        <w:t xml:space="preserve">Area 1 (Johor Bahru, 18 outlets) performance vs company requirement:</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Sell-through: 76% — MEETS the 70% requirement. ✓</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Repeat orders: 11 of 18 outlets = 61.1% — MEETS the 50% requirement. ✓</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Overall: Area 1 PASSES both company requirements.</w:t>
      </w:r>
    </w:p>
    <w:p>
      <w:pPr>
        <w:pStyle w:val="BodyText"/>
      </w:pPr>
      <w:r>
        <w:rPr>
          <w:rFonts w:ascii="Arial" w:hAnsi="Arial" w:cs="Arial" w:eastAsia="Arial"/>
        </w:rPr>
        <w:t xml:space="preserve">Area 2 (Melaka, 12 outlets) performance vs company requirement:</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Sell-through: 55% — DOES NOT MEET the 70% requirement. ✗</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Repeat orders: 4 of 12 outlets = 33% — DOES NOT MEET the 50% requirement. ✗</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b/>
          <w:bCs/>
        </w:rPr>
        <w:t xml:space="preserve">Overall: Area 2 FAILS both company requirements.</w:t>
      </w:r>
    </w:p>
    <w:p>
      <w:pPr>
        <w:pStyle w:val="BodyText"/>
      </w:pPr>
      <w:r>
        <w:rPr>
          <w:rFonts w:ascii="Arial" w:hAnsi="Arial" w:cs="Arial" w:eastAsia="Arial"/>
        </w:rPr>
        <w:t xml:space="preserve">Overall assessment &amp; recommendation:</w:t>
      </w:r>
      <w:r>
        <w:rPr>
          <w:rFonts w:ascii="Arial" w:hAnsi="Arial" w:cs="Arial" w:eastAsia="Arial"/>
        </w:rPr>
        <w:t xml:space="preserve"> </w:t>
      </w:r>
      <w:r>
        <w:rPr>
          <w:rFonts w:ascii="Arial" w:hAnsi="Arial" w:cs="Arial" w:eastAsia="Arial"/>
          <w:b/>
          <w:bCs/>
        </w:rPr>
        <w:t xml:space="preserve">Area 1 (Johor Bahru) is ready for full commercial rollout — both sell-through (76%) and repeat order rate (61.1%) exceed the company requirements. Area 2 (Melaka) is not yet ready — both KPIs are below requirements. Recommendation: proceed with full launch in Johor Bahru. Delay expansion to Melaka until root causes of low sell-through and repeat order rate are investigated and addressed.</w:t>
      </w:r>
    </w:p>
    <w:p>
      <w:r>
        <w:rPr>
          <w:rFonts w:ascii="Arial" w:hAnsi="Arial" w:cs="Arial" w:eastAsia="Arial"/>
        </w:rPr>
        <w:pict>
          <v:rect style="width:0;height:1.5pt" o:hralign="center" o:hrstd="t" o:hr="t"/>
        </w:pict>
      </w:r>
    </w:p>
    <w:bookmarkEnd w:id="10"/>
    <w:bookmarkEnd w:id="11"/>
    <w:bookmarkStart w:id="14" w:name="Xce19210dc7ddf30a80444f8cb063fccbb7a73ff"/>
    <w:p>
      <w:pPr>
        <w:pStyle w:val="Heading2"/>
      </w:pPr>
      <w:r>
        <w:rPr>
          <w:rFonts w:ascii="Arial" w:hAnsi="Arial" w:cs="Arial" w:eastAsia="Arial"/>
        </w:rPr>
        <w:t xml:space="preserve">APPENDIX 6 — SALES BUDGET &amp; BUSINESS ANALYSIS FORM</w:t>
      </w:r>
    </w:p>
    <w:bookmarkStart w:id="12" w:name="part-a-sales-budget-t2"/>
    <w:p>
      <w:pPr>
        <w:pStyle w:val="Heading3"/>
      </w:pPr>
      <w:r>
        <w:rPr>
          <w:rFonts w:ascii="Arial" w:hAnsi="Arial" w:cs="Arial" w:eastAsia="Arial"/>
        </w:rPr>
        <w:t xml:space="preserve">PART A — SALES BUDGET (T2)</w:t>
      </w:r>
    </w:p>
    <w:p>
      <w:pPr>
        <w:pStyle w:val="FirstParagraph"/>
      </w:pPr>
      <w:r>
        <w:rPr>
          <w:rFonts w:ascii="Arial" w:hAnsi="Arial" w:cs="Arial" w:eastAsia="Arial"/>
          <w:b/>
          <w:bCs/>
        </w:rPr>
        <w:t xml:space="preserve">A1. MARGIN PER PRODUCT</w:t>
      </w:r>
    </w:p>
    <w:p>
      <w:pPr>
        <w:pStyle w:val="BodyText"/>
      </w:pPr>
      <w:r>
        <w:rPr>
          <w:rFonts w:ascii="Arial" w:hAnsi="Arial" w:cs="Arial" w:eastAsia="Arial"/>
        </w:rPr>
        <w:t xml:space="preserve">Model A margin: (RM250.00 − RM150.00) ÷ RM250.00 × 100 =</w:t>
      </w:r>
      <w:r>
        <w:rPr>
          <w:rFonts w:ascii="Arial" w:hAnsi="Arial" w:cs="Arial" w:eastAsia="Arial"/>
        </w:rPr>
        <w:t xml:space="preserve"> </w:t>
      </w:r>
      <w:r>
        <w:rPr>
          <w:rFonts w:ascii="Arial" w:hAnsi="Arial" w:cs="Arial" w:eastAsia="Arial"/>
          <w:b/>
          <w:bCs/>
        </w:rPr>
        <w:t xml:space="preserve">40.00 %</w:t>
      </w:r>
    </w:p>
    <w:p>
      <w:pPr>
        <w:pStyle w:val="BodyText"/>
      </w:pPr>
      <w:r>
        <w:rPr>
          <w:rFonts w:ascii="Arial" w:hAnsi="Arial" w:cs="Arial" w:eastAsia="Arial"/>
        </w:rPr>
        <w:t xml:space="preserve">Model B margin: (RM320.00 − RM190.00) ÷ RM320.00 × 100 =</w:t>
      </w:r>
      <w:r>
        <w:rPr>
          <w:rFonts w:ascii="Arial" w:hAnsi="Arial" w:cs="Arial" w:eastAsia="Arial"/>
        </w:rPr>
        <w:t xml:space="preserve"> </w:t>
      </w:r>
      <w:r>
        <w:rPr>
          <w:rFonts w:ascii="Arial" w:hAnsi="Arial" w:cs="Arial" w:eastAsia="Arial"/>
          <w:b/>
          <w:bCs/>
        </w:rPr>
        <w:t xml:space="preserve">40.625 %</w:t>
      </w:r>
      <w:r>
        <w:rPr>
          <w:rFonts w:ascii="Arial" w:hAnsi="Arial" w:cs="Arial" w:eastAsia="Arial"/>
        </w:rPr>
        <w:t xml:space="preserve"> </w:t>
      </w:r>
      <w:r>
        <w:rPr>
          <w:rFonts w:ascii="Arial" w:hAnsi="Arial" w:cs="Arial" w:eastAsia="Arial"/>
          <w:i/>
          <w:iCs/>
        </w:rPr>
        <w:t xml:space="preserve">(acceptable as 40.63%)</w:t>
      </w:r>
    </w:p>
    <w:p>
      <w:pPr>
        <w:pStyle w:val="BodyText"/>
      </w:pPr>
      <w:r>
        <w:rPr>
          <w:rFonts w:ascii="Arial" w:hAnsi="Arial" w:cs="Arial" w:eastAsia="Arial"/>
        </w:rPr>
        <w:t xml:space="preserve">Conclusion:</w:t>
      </w:r>
      <w:r>
        <w:rPr>
          <w:rFonts w:ascii="Arial" w:hAnsi="Arial" w:cs="Arial" w:eastAsia="Arial"/>
        </w:rPr>
        <w:t xml:space="preserve"> </w:t>
      </w:r>
      <w:r>
        <w:rPr>
          <w:rFonts w:ascii="Arial" w:hAnsi="Arial" w:cs="Arial" w:eastAsia="Arial"/>
          <w:b/>
          <w:bCs/>
        </w:rPr>
        <w:t xml:space="preserve">Both Model A (40.00%) and Model B (40.63%) meet the company’s required gross margin of a minimum 40% of selling price. Both products are approved for sale.</w:t>
      </w:r>
    </w:p>
    <w:p>
      <w:pPr>
        <w:pStyle w:val="BodyText"/>
      </w:pPr>
      <w:r>
        <w:rPr>
          <w:rFonts w:ascii="Arial" w:hAnsi="Arial" w:cs="Arial" w:eastAsia="Arial"/>
          <w:b/>
          <w:bCs/>
        </w:rPr>
        <w:t xml:space="preserve">A2. THREE (3) MONTH SALES BUDGET FORECAST</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203"/>
        <w:gridCol w:w="1639"/>
        <w:gridCol w:w="1575"/>
        <w:gridCol w:w="1639"/>
        <w:gridCol w:w="1575"/>
        <w:gridCol w:w="1438"/>
      </w:tblGrid>
      <w:tr>
        <w:trPr>
          <w:tblHeader w:val="on"/>
          <w:cantSplit/>
        </w:trPr>
        <w:tc>
          <w:tcPr>
            <w:tcW w:type="dxa" w:w="120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w:t>
            </w:r>
          </w:p>
        </w:tc>
        <w:tc>
          <w:tcPr>
            <w:tcW w:type="dxa" w:w="164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MODEL A UNITS</w:t>
            </w:r>
          </w:p>
        </w:tc>
        <w:tc>
          <w:tcPr>
            <w:tcW w:type="dxa" w:w="157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MODEL A (RM)</w:t>
            </w:r>
          </w:p>
        </w:tc>
        <w:tc>
          <w:tcPr>
            <w:tcW w:type="dxa" w:w="164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MODEL B UNITS</w:t>
            </w:r>
          </w:p>
        </w:tc>
        <w:tc>
          <w:tcPr>
            <w:tcW w:type="dxa" w:w="157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MODEL B (RM)</w:t>
            </w:r>
          </w:p>
        </w:tc>
        <w:tc>
          <w:tcPr>
            <w:tcW w:type="dxa" w:w="143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TOTAL (RM)</w:t>
            </w:r>
          </w:p>
        </w:tc>
      </w:tr>
      <w:tr>
        <w:trPr>
          <w:cantSplit/>
        </w:trPr>
        <w:tc>
          <w:tcPr>
            <w:tcW w:type="dxa" w:w="12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1</w:t>
            </w:r>
          </w:p>
        </w:tc>
        <w:tc>
          <w:tcPr>
            <w:tcW w:type="dxa" w:w="164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600</w:t>
            </w:r>
          </w:p>
        </w:tc>
        <w:tc>
          <w:tcPr>
            <w:tcW w:type="dxa" w:w="157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150,000</w:t>
            </w:r>
          </w:p>
        </w:tc>
        <w:tc>
          <w:tcPr>
            <w:tcW w:type="dxa" w:w="164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300</w:t>
            </w:r>
          </w:p>
        </w:tc>
        <w:tc>
          <w:tcPr>
            <w:tcW w:type="dxa" w:w="157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96,000</w:t>
            </w:r>
          </w:p>
        </w:tc>
        <w:tc>
          <w:tcPr>
            <w:tcW w:type="dxa" w:w="143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246,000</w:t>
            </w:r>
          </w:p>
        </w:tc>
      </w:tr>
      <w:tr>
        <w:trPr>
          <w:cantSplit/>
        </w:trPr>
        <w:tc>
          <w:tcPr>
            <w:tcW w:type="dxa" w:w="12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2</w:t>
            </w:r>
          </w:p>
        </w:tc>
        <w:tc>
          <w:tcPr>
            <w:tcW w:type="dxa" w:w="164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720</w:t>
            </w:r>
          </w:p>
        </w:tc>
        <w:tc>
          <w:tcPr>
            <w:tcW w:type="dxa" w:w="157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180,000</w:t>
            </w:r>
          </w:p>
        </w:tc>
        <w:tc>
          <w:tcPr>
            <w:tcW w:type="dxa" w:w="164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360</w:t>
            </w:r>
          </w:p>
        </w:tc>
        <w:tc>
          <w:tcPr>
            <w:tcW w:type="dxa" w:w="157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115,200</w:t>
            </w:r>
          </w:p>
        </w:tc>
        <w:tc>
          <w:tcPr>
            <w:tcW w:type="dxa" w:w="143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295,200</w:t>
            </w:r>
          </w:p>
        </w:tc>
      </w:tr>
      <w:tr>
        <w:trPr>
          <w:cantSplit/>
        </w:trPr>
        <w:tc>
          <w:tcPr>
            <w:tcW w:type="dxa" w:w="1203"/>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Month 3</w:t>
            </w:r>
          </w:p>
        </w:tc>
        <w:tc>
          <w:tcPr>
            <w:tcW w:type="dxa" w:w="164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792</w:t>
            </w:r>
          </w:p>
        </w:tc>
        <w:tc>
          <w:tcPr>
            <w:tcW w:type="dxa" w:w="157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198,000</w:t>
            </w:r>
          </w:p>
        </w:tc>
        <w:tc>
          <w:tcPr>
            <w:tcW w:type="dxa" w:w="164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396</w:t>
            </w:r>
          </w:p>
        </w:tc>
        <w:tc>
          <w:tcPr>
            <w:tcW w:type="dxa" w:w="157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126,720</w:t>
            </w:r>
          </w:p>
        </w:tc>
        <w:tc>
          <w:tcPr>
            <w:tcW w:type="dxa" w:w="143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324,720</w:t>
            </w:r>
          </w:p>
        </w:tc>
      </w:tr>
    </w:tbl>
    <w:p>
      <w:pPr>
        <w:pStyle w:val="BodyText"/>
      </w:pPr>
      <w:r>
        <w:rPr>
          <w:rFonts w:ascii="Arial" w:hAnsi="Arial" w:cs="Arial" w:eastAsia="Arial"/>
          <w:i/>
          <w:iCs/>
        </w:rPr>
        <w:t xml:space="preserve">Working:</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Month 1: Model A 600 × RM250 = RM150,000; Model B 300 × RM320 = RM96,000; Total = RM246,000</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Month 2: Model A 600 × 1.20 = 720 × RM250 = RM180,000; Model B 300 × 1.20 = 360 × RM320 = RM115,200; Total = RM295,200</w:t>
      </w:r>
      <w:r>
        <w:rPr>
          <w:rFonts w:ascii="Arial" w:hAnsi="Arial" w:cs="Arial" w:eastAsia="Arial"/>
        </w:rPr>
        <w:t xml:space="preserve"> </w:t>
      </w:r>
      <w:r>
        <w:rPr>
          <w:rFonts w:ascii="Arial" w:hAnsi="Arial" w:cs="Arial" w:eastAsia="Arial"/>
        </w:rPr>
        <w:t xml:space="preserve">-</w:t>
      </w:r>
      <w:r>
        <w:rPr>
          <w:rFonts w:ascii="Arial" w:hAnsi="Arial" w:cs="Arial" w:eastAsia="Arial"/>
        </w:rPr>
        <w:t xml:space="preserve"> </w:t>
      </w:r>
      <w:r>
        <w:rPr>
          <w:rFonts w:ascii="Arial" w:hAnsi="Arial" w:cs="Arial" w:eastAsia="Arial"/>
          <w:i/>
          <w:iCs/>
        </w:rPr>
        <w:t xml:space="preserve">Month 3: Model A 720 × 1.10 = 792 × RM250 = RM198,000; Model B 360 × 1.10 = 396 × RM320 = RM126,720; Total = RM324,720</w:t>
      </w:r>
    </w:p>
    <w:p>
      <w:pPr>
        <w:pStyle w:val="BodyText"/>
      </w:pPr>
      <w:r>
        <w:rPr>
          <w:rFonts w:ascii="Arial" w:hAnsi="Arial" w:cs="Arial" w:eastAsia="Arial"/>
        </w:rPr>
        <w:t xml:space="preserve">Confirmation within capacity:</w:t>
      </w:r>
      <w:r>
        <w:rPr>
          <w:rFonts w:ascii="Arial" w:hAnsi="Arial" w:cs="Arial" w:eastAsia="Arial"/>
        </w:rPr>
        <w:t xml:space="preserve"> </w:t>
      </w:r>
      <w:r>
        <w:rPr>
          <w:rFonts w:ascii="Arial" w:hAnsi="Arial" w:cs="Arial" w:eastAsia="Arial"/>
          <w:b/>
          <w:bCs/>
        </w:rPr>
        <w:t xml:space="preserve">Month 1 total: 900 units (600 + 300). Month 2 total: 1,080 units. Month 3 total: 1,188 units. All three months are within monthly production capacity (2,000 units) and monthly dealer fulfilment capacity (1,500 units). ✓</w:t>
      </w:r>
    </w:p>
    <w:p>
      <w:r>
        <w:rPr>
          <w:rFonts w:ascii="Arial" w:hAnsi="Arial" w:cs="Arial" w:eastAsia="Arial"/>
        </w:rPr>
        <w:pict>
          <v:rect style="width:0;height:1.5pt" o:hralign="center" o:hrstd="t" o:hr="t"/>
        </w:pict>
      </w:r>
    </w:p>
    <w:bookmarkEnd w:id="12"/>
    <w:bookmarkStart w:id="13" w:name="part-b-business-analysis-t4"/>
    <w:p>
      <w:pPr>
        <w:pStyle w:val="Heading3"/>
      </w:pPr>
      <w:r>
        <w:rPr>
          <w:rFonts w:ascii="Arial" w:hAnsi="Arial" w:cs="Arial" w:eastAsia="Arial"/>
        </w:rPr>
        <w:t xml:space="preserve">PART B — BUSINESS ANALYSIS (T4)</w:t>
      </w:r>
    </w:p>
    <w:p>
      <w:pPr>
        <w:pStyle w:val="FirstParagraph"/>
      </w:pPr>
      <w:r>
        <w:rPr>
          <w:rFonts w:ascii="Arial" w:hAnsi="Arial" w:cs="Arial" w:eastAsia="Arial"/>
        </w:rPr>
        <w:t xml:space="preserve">Estimated selling price:</w:t>
      </w:r>
      <w:r>
        <w:rPr>
          <w:rFonts w:ascii="Arial" w:hAnsi="Arial" w:cs="Arial" w:eastAsia="Arial"/>
        </w:rPr>
        <w:t xml:space="preserve"> </w:t>
      </w:r>
      <w:r>
        <w:rPr>
          <w:rFonts w:ascii="Arial" w:hAnsi="Arial" w:cs="Arial" w:eastAsia="Arial"/>
          <w:b/>
          <w:bCs/>
        </w:rPr>
        <w:t xml:space="preserve">Model A (FlexiDesk Compact): RM350 suggested retail price; Model B (FlexiDesk Pro): RM450 suggested retail price (Appendix 3). Price is supported by the willingness-to-pay data — 55% of respondents are willing to pay RM350–RM450 for a modular desk (Appendix 2). Prices are competitive against Competitor B (RM350) and below Competitor C (RM480, premium positioning).</w:t>
      </w:r>
    </w:p>
    <w:p>
      <w:pPr>
        <w:pStyle w:val="BodyText"/>
      </w:pPr>
      <w:r>
        <w:rPr>
          <w:rFonts w:ascii="Arial" w:hAnsi="Arial" w:cs="Arial" w:eastAsia="Arial"/>
        </w:rPr>
        <w:t xml:space="preserve">Estimated sales volume:</w:t>
      </w:r>
      <w:r>
        <w:rPr>
          <w:rFonts w:ascii="Arial" w:hAnsi="Arial" w:cs="Arial" w:eastAsia="Arial"/>
        </w:rPr>
        <w:t xml:space="preserve"> </w:t>
      </w:r>
      <w:r>
        <w:rPr>
          <w:rFonts w:ascii="Arial" w:hAnsi="Arial" w:cs="Arial" w:eastAsia="Arial"/>
          <w:b/>
          <w:bCs/>
        </w:rPr>
        <w:t xml:space="preserve">Based on Month 1 projection from Appendix 3: Model A 600 units and Model B 300 units per month (total 900 units). This is within both production and dealer fulfilment capacity. Volume is supported by the 68% purchase interest rate from the market survey (Appendix 2).</w:t>
      </w:r>
    </w:p>
    <w:p>
      <w:pPr>
        <w:pStyle w:val="BodyText"/>
      </w:pPr>
      <w:r>
        <w:rPr>
          <w:rFonts w:ascii="Arial" w:hAnsi="Arial" w:cs="Arial" w:eastAsia="Arial"/>
        </w:rPr>
        <w:t xml:space="preserve">Break-even point estimate:</w:t>
      </w:r>
    </w:p>
    <w:p>
      <w:pPr>
        <w:pStyle w:val="BodyText"/>
      </w:pPr>
      <w:r>
        <w:rPr>
          <w:rFonts w:ascii="Arial" w:hAnsi="Arial" w:cs="Arial" w:eastAsia="Arial"/>
          <w:i/>
          <w:iCs/>
        </w:rPr>
        <w:t xml:space="preserve">Contribution per unit: Model A = RM250 − RM150 = RM100; Model B = RM320 − RM190 = RM130</w:t>
      </w:r>
    </w:p>
    <w:p>
      <w:pPr>
        <w:pStyle w:val="BodyText"/>
      </w:pPr>
      <w:r>
        <w:rPr>
          <w:rFonts w:ascii="Arial" w:hAnsi="Arial" w:cs="Arial" w:eastAsia="Arial"/>
          <w:i/>
          <w:iCs/>
        </w:rPr>
        <w:t xml:space="preserve">Weighted average contribution (Month 1 mix: 600 Model A : 300 Model B = 2:1 ratio):</w:t>
      </w:r>
      <w:r>
        <w:rPr>
          <w:rFonts w:ascii="Arial" w:hAnsi="Arial" w:cs="Arial" w:eastAsia="Arial"/>
        </w:rPr>
        <w:t xml:space="preserve"> </w:t>
      </w:r>
      <w:r>
        <w:rPr>
          <w:rFonts w:ascii="Arial" w:hAnsi="Arial" w:cs="Arial" w:eastAsia="Arial"/>
          <w:i/>
          <w:iCs/>
        </w:rPr>
        <w:t xml:space="preserve">(600 × RM100 + 300 × RM130) ÷ 900 = (RM60,000 + RM39,000) ÷ 900 = RM99,000 ÷ 900 =</w:t>
      </w:r>
      <w:r>
        <w:rPr>
          <w:rFonts w:ascii="Arial" w:hAnsi="Arial" w:cs="Arial" w:eastAsia="Arial"/>
          <w:i/>
          <w:iCs/>
        </w:rPr>
        <w:t xml:space="preserve"> </w:t>
      </w:r>
      <w:r>
        <w:rPr>
          <w:rFonts w:ascii="Arial" w:hAnsi="Arial" w:cs="Arial" w:eastAsia="Arial"/>
          <w:b/>
          <w:bCs/>
          <w:i/>
          <w:iCs/>
        </w:rPr>
        <w:t xml:space="preserve">RM110 per unit</w:t>
      </w:r>
    </w:p>
    <w:p>
      <w:pPr>
        <w:pStyle w:val="BodyText"/>
      </w:pPr>
      <w:r>
        <w:rPr>
          <w:rFonts w:ascii="Arial" w:hAnsi="Arial" w:cs="Arial" w:eastAsia="Arial"/>
          <w:i/>
          <w:iCs/>
        </w:rPr>
        <w:t xml:space="preserve">Fixed operating expenses per month: RM105,000 (Appendix 3)</w:t>
      </w:r>
    </w:p>
    <w:p>
      <w:pPr>
        <w:pStyle w:val="BodyText"/>
      </w:pPr>
      <w:r>
        <w:rPr>
          <w:rFonts w:ascii="Arial" w:hAnsi="Arial" w:cs="Arial" w:eastAsia="Arial"/>
          <w:b/>
          <w:bCs/>
        </w:rPr>
        <w:t xml:space="preserve">Break-even point = RM105,000 ÷ RM110 = approximately 954.5 units ≈ 955 units per month</w:t>
      </w:r>
    </w:p>
    <w:p>
      <w:pPr>
        <w:pStyle w:val="BodyText"/>
      </w:pPr>
      <w:r>
        <w:rPr>
          <w:rFonts w:ascii="Arial" w:hAnsi="Arial" w:cs="Arial" w:eastAsia="Arial"/>
          <w:i/>
          <w:iCs/>
        </w:rPr>
        <w:t xml:space="preserve">(SKU-by-SKU or blended weighted average method both accepted provided the working is shown and consistent with the data.)</w:t>
      </w:r>
    </w:p>
    <w:p>
      <w:pPr>
        <w:pStyle w:val="BodyText"/>
      </w:pPr>
      <w:r>
        <w:rPr>
          <w:rFonts w:ascii="Arial" w:hAnsi="Arial" w:cs="Arial" w:eastAsia="Arial"/>
        </w:rPr>
        <w:t xml:space="preserve">Profitability conclusion:</w:t>
      </w:r>
      <w:r>
        <w:rPr>
          <w:rFonts w:ascii="Arial" w:hAnsi="Arial" w:cs="Arial" w:eastAsia="Arial"/>
        </w:rPr>
        <w:t xml:space="preserve"> </w:t>
      </w:r>
      <w:r>
        <w:rPr>
          <w:rFonts w:ascii="Arial" w:hAnsi="Arial" w:cs="Arial" w:eastAsia="Arial"/>
          <w:b/>
          <w:bCs/>
        </w:rPr>
        <w:t xml:space="preserve">At Month 1 projected volume of 900 units, the business is below break-even (approximately 955 units required). The Month 1 volume is very close to break-even — a small increase in volume will push the business into profitability. From Month 2 onward (1,080 units), the projected volume exceeds break-even. Both models meet the required gross margin. The FlexiDesk product line is projected to be profitable from Month 2, provided the sales projections are achieved.</w:t>
      </w:r>
    </w:p>
    <w:p>
      <w:r>
        <w:rPr>
          <w:rFonts w:ascii="Arial" w:hAnsi="Arial" w:cs="Arial" w:eastAsia="Arial"/>
        </w:rPr>
        <w:pict>
          <v:rect style="width:0;height:1.5pt" o:hralign="center" o:hrstd="t" o:hr="t"/>
        </w:pict>
      </w:r>
    </w:p>
    <w:bookmarkEnd w:id="13"/>
    <w:bookmarkEnd w:id="14"/>
    <w:bookmarkStart w:id="17" w:name="Xc583531524fc0ba1c8896db2f66b4c4d911ee2f"/>
    <w:p>
      <w:pPr>
        <w:pStyle w:val="Heading2"/>
      </w:pPr>
      <w:r>
        <w:rPr>
          <w:rFonts w:ascii="Arial" w:hAnsi="Arial" w:cs="Arial" w:eastAsia="Arial"/>
        </w:rPr>
        <w:t xml:space="preserve">APPENDIX 7 — OPERATION KPI &amp; STAFF/TRAINING FORM</w:t>
      </w:r>
    </w:p>
    <w:bookmarkStart w:id="15" w:name="Xe366c2df7c765b07202a36fc1faa532e8cc1973"/>
    <w:p>
      <w:pPr>
        <w:pStyle w:val="Heading3"/>
      </w:pPr>
      <w:r>
        <w:rPr>
          <w:rFonts w:ascii="Arial" w:hAnsi="Arial" w:cs="Arial" w:eastAsia="Arial"/>
        </w:rPr>
        <w:t xml:space="preserve">PART A — INDIVIDUAL KPI &amp; TEAM PERFORMANCE (T3)</w:t>
      </w:r>
    </w:p>
    <w:p>
      <w:pPr>
        <w:pStyle w:val="FirstParagraph"/>
      </w:pPr>
      <w:r>
        <w:rPr>
          <w:rFonts w:ascii="Arial" w:hAnsi="Arial" w:cs="Arial" w:eastAsia="Arial"/>
          <w:b/>
          <w:bCs/>
        </w:rPr>
        <w:t xml:space="preserve">A1. INDIVIDUAL MONTHLY SALES KPI</w:t>
      </w:r>
      <w:r>
        <w:rPr>
          <w:rFonts w:ascii="Arial" w:hAnsi="Arial" w:cs="Arial" w:eastAsia="Arial"/>
        </w:rPr>
        <w:t xml:space="preserve"> </w:t>
      </w:r>
      <w:r>
        <w:rPr>
          <w:rFonts w:ascii="Arial" w:hAnsi="Arial" w:cs="Arial" w:eastAsia="Arial"/>
        </w:rPr>
        <w:t xml:space="preserve">(based on Month 1 sales budget of RM246,000)</w:t>
      </w:r>
    </w:p>
    <w:p>
      <w:pPr>
        <w:pStyle w:val="BodyText"/>
      </w:pPr>
      <w:r>
        <w:rPr>
          <w:rFonts w:ascii="Arial" w:hAnsi="Arial" w:cs="Arial" w:eastAsia="Arial"/>
        </w:rPr>
        <w:t xml:space="preserve">Allocation basis: Proportional to current monthly sales targets (SE-1: RM75,000; SE-2: RM65,000; SE-3: RM60,000; SE-4: RM55,000; SE-5: RM45,000; total RM300,000).</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904"/>
        <w:gridCol w:w="2824"/>
        <w:gridCol w:w="4342"/>
      </w:tblGrid>
      <w:tr>
        <w:trPr>
          <w:tblHeader w:val="on"/>
          <w:cantSplit/>
        </w:trPr>
        <w:tc>
          <w:tcPr>
            <w:tcW w:type="dxa" w:w="190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STAFF CODE</w:t>
            </w:r>
          </w:p>
        </w:tc>
        <w:tc>
          <w:tcPr>
            <w:tcW w:type="dxa" w:w="28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MONTHLY SALES KPI (RM)</w:t>
            </w:r>
          </w:p>
        </w:tc>
        <w:tc>
          <w:tcPr>
            <w:tcW w:type="dxa" w:w="434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JUSTIFICATION</w:t>
            </w:r>
          </w:p>
        </w:tc>
      </w:tr>
      <w:tr>
        <w:trPr>
          <w:cantSplit/>
        </w:trPr>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SE-1</w:t>
            </w:r>
          </w:p>
        </w:tc>
        <w:tc>
          <w:tcPr>
            <w:tcW w:type="dxa" w:w="28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61,500</w:t>
            </w:r>
          </w:p>
        </w:tc>
        <w:tc>
          <w:tcPr>
            <w:tcW w:type="dxa" w:w="43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Proportional share: RM75,000 ÷ RM300,000 × RM246,000</w:t>
            </w:r>
          </w:p>
        </w:tc>
      </w:tr>
      <w:tr>
        <w:trPr>
          <w:cantSplit/>
        </w:trPr>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SE-2</w:t>
            </w:r>
          </w:p>
        </w:tc>
        <w:tc>
          <w:tcPr>
            <w:tcW w:type="dxa" w:w="28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53,300</w:t>
            </w:r>
          </w:p>
        </w:tc>
        <w:tc>
          <w:tcPr>
            <w:tcW w:type="dxa" w:w="43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Proportional share: RM65,000 ÷ RM300,000 × RM246,000</w:t>
            </w:r>
          </w:p>
        </w:tc>
      </w:tr>
      <w:tr>
        <w:trPr>
          <w:cantSplit/>
        </w:trPr>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SE-3</w:t>
            </w:r>
          </w:p>
        </w:tc>
        <w:tc>
          <w:tcPr>
            <w:tcW w:type="dxa" w:w="28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49,200</w:t>
            </w:r>
          </w:p>
        </w:tc>
        <w:tc>
          <w:tcPr>
            <w:tcW w:type="dxa" w:w="43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Proportional share: RM60,000 ÷ RM300,000 × RM246,000</w:t>
            </w:r>
          </w:p>
        </w:tc>
      </w:tr>
      <w:tr>
        <w:trPr>
          <w:cantSplit/>
        </w:trPr>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SE-4</w:t>
            </w:r>
          </w:p>
        </w:tc>
        <w:tc>
          <w:tcPr>
            <w:tcW w:type="dxa" w:w="28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45,100</w:t>
            </w:r>
          </w:p>
        </w:tc>
        <w:tc>
          <w:tcPr>
            <w:tcW w:type="dxa" w:w="43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Proportional share: RM55,000 ÷ RM300,000 × RM246,000</w:t>
            </w:r>
          </w:p>
        </w:tc>
      </w:tr>
      <w:tr>
        <w:trPr>
          <w:cantSplit/>
        </w:trPr>
        <w:tc>
          <w:tcPr>
            <w:tcW w:type="dxa" w:w="190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SE-5</w:t>
            </w:r>
          </w:p>
        </w:tc>
        <w:tc>
          <w:tcPr>
            <w:tcW w:type="dxa" w:w="28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36,900</w:t>
            </w:r>
          </w:p>
        </w:tc>
        <w:tc>
          <w:tcPr>
            <w:tcW w:type="dxa" w:w="43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Proportional share: RM45,000 ÷ RM300,000 × RM246,000</w:t>
            </w:r>
          </w:p>
        </w:tc>
      </w:tr>
    </w:tbl>
    <w:p>
      <w:pPr>
        <w:pStyle w:val="BodyText"/>
      </w:pPr>
      <w:r>
        <w:rPr>
          <w:rFonts w:ascii="Arial" w:hAnsi="Arial" w:cs="Arial" w:eastAsia="Arial"/>
        </w:rPr>
        <w:t xml:space="preserve">Total of individual KPI: RM</w:t>
      </w:r>
      <w:r>
        <w:rPr>
          <w:rFonts w:ascii="Arial" w:hAnsi="Arial" w:cs="Arial" w:eastAsia="Arial"/>
        </w:rPr>
        <w:t xml:space="preserve"> </w:t>
      </w:r>
      <w:r>
        <w:rPr>
          <w:rFonts w:ascii="Arial" w:hAnsi="Arial" w:cs="Arial" w:eastAsia="Arial"/>
          <w:b/>
          <w:bCs/>
        </w:rPr>
        <w:t xml:space="preserve">246,000</w:t>
      </w:r>
    </w:p>
    <w:p>
      <w:pPr>
        <w:pStyle w:val="BodyText"/>
      </w:pPr>
      <w:r>
        <w:rPr>
          <w:rFonts w:ascii="Arial" w:hAnsi="Arial" w:cs="Arial" w:eastAsia="Arial"/>
          <w:i/>
          <w:iCs/>
        </w:rPr>
        <w:t xml:space="preserve">(Equal allocation of RM49,200 each also acceptable if well justified. Any consistent allocation method that totals RM246,000 is accepted.)</w:t>
      </w:r>
    </w:p>
    <w:p>
      <w:pPr>
        <w:pStyle w:val="BodyText"/>
      </w:pPr>
      <w:r>
        <w:rPr>
          <w:rFonts w:ascii="Arial" w:hAnsi="Arial" w:cs="Arial" w:eastAsia="Arial"/>
          <w:b/>
          <w:bCs/>
        </w:rPr>
        <w:t xml:space="preserve">A2. TEAM PERFORMANCE EVALUATION</w:t>
      </w:r>
    </w:p>
    <w:p>
      <w:pPr>
        <w:pStyle w:val="BodyText"/>
      </w:pPr>
      <w:r>
        <w:rPr>
          <w:rFonts w:ascii="Arial" w:hAnsi="Arial" w:cs="Arial" w:eastAsia="Arial"/>
        </w:rPr>
        <w:t xml:space="preserve">Staff performing above target:</w:t>
      </w:r>
      <w:r>
        <w:rPr>
          <w:rFonts w:ascii="Arial" w:hAnsi="Arial" w:cs="Arial" w:eastAsia="Arial"/>
        </w:rPr>
        <w:t xml:space="preserve"> </w:t>
      </w:r>
      <w:r>
        <w:rPr>
          <w:rFonts w:ascii="Arial" w:hAnsi="Arial" w:cs="Arial" w:eastAsia="Arial"/>
          <w:b/>
          <w:bCs/>
        </w:rPr>
        <w:t xml:space="preserve">SE-1 (110% achievement, RM82,500 actual vs RM75,000 target) and SE-4 (105% achievement, RM57,750 actual vs RM55,000 target).</w:t>
      </w:r>
    </w:p>
    <w:p>
      <w:pPr>
        <w:pStyle w:val="BodyText"/>
      </w:pPr>
      <w:r>
        <w:rPr>
          <w:rFonts w:ascii="Arial" w:hAnsi="Arial" w:cs="Arial" w:eastAsia="Arial"/>
        </w:rPr>
        <w:t xml:space="preserve">Staff performing below target:</w:t>
      </w:r>
      <w:r>
        <w:rPr>
          <w:rFonts w:ascii="Arial" w:hAnsi="Arial" w:cs="Arial" w:eastAsia="Arial"/>
        </w:rPr>
        <w:t xml:space="preserve"> </w:t>
      </w:r>
      <w:r>
        <w:rPr>
          <w:rFonts w:ascii="Arial" w:hAnsi="Arial" w:cs="Arial" w:eastAsia="Arial"/>
          <w:b/>
          <w:bCs/>
        </w:rPr>
        <w:t xml:space="preserve">SE-2 (75%, RM48,750 vs RM65,000), SE-3 (60%, RM36,000 vs RM60,000) and SE-5 (70%, RM31,500 vs RM45,000).</w:t>
      </w:r>
    </w:p>
    <w:p>
      <w:pPr>
        <w:pStyle w:val="BodyText"/>
      </w:pPr>
      <w:r>
        <w:rPr>
          <w:rFonts w:ascii="Arial" w:hAnsi="Arial" w:cs="Arial" w:eastAsia="Arial"/>
        </w:rPr>
        <w:t xml:space="preserve">Team performance evaluation summary:</w:t>
      </w:r>
      <w:r>
        <w:rPr>
          <w:rFonts w:ascii="Arial" w:hAnsi="Arial" w:cs="Arial" w:eastAsia="Arial"/>
        </w:rPr>
        <w:t xml:space="preserve"> </w:t>
      </w:r>
      <w:r>
        <w:rPr>
          <w:rFonts w:ascii="Arial" w:hAnsi="Arial" w:cs="Arial" w:eastAsia="Arial"/>
          <w:b/>
          <w:bCs/>
        </w:rPr>
        <w:t xml:space="preserve">SE-1 and SE-4 are performing above target and are the stronger performers. SE-3 and SE-5 are significantly below target — SE-3 at 60% is the most critical underperformer. SE-2 at 75% requires improvement. Three out of five staff are below target, indicating a team-wide performance gap that requires structured training and close supervision to support the FlexiDesk launch.</w:t>
      </w:r>
    </w:p>
    <w:p>
      <w:r>
        <w:rPr>
          <w:rFonts w:ascii="Arial" w:hAnsi="Arial" w:cs="Arial" w:eastAsia="Arial"/>
        </w:rPr>
        <w:pict>
          <v:rect style="width:0;height:1.5pt" o:hralign="center" o:hrstd="t" o:hr="t"/>
        </w:pict>
      </w:r>
    </w:p>
    <w:bookmarkEnd w:id="15"/>
    <w:bookmarkStart w:id="16" w:name="part-b-manpower-plan-training-needs-t5"/>
    <w:p>
      <w:pPr>
        <w:pStyle w:val="Heading3"/>
      </w:pPr>
      <w:r>
        <w:rPr>
          <w:rFonts w:ascii="Arial" w:hAnsi="Arial" w:cs="Arial" w:eastAsia="Arial"/>
        </w:rPr>
        <w:t xml:space="preserve">PART B — MANPOWER PLAN &amp; TRAINING NEEDS (T5)</w:t>
      </w:r>
    </w:p>
    <w:p>
      <w:pPr>
        <w:pStyle w:val="FirstParagraph"/>
      </w:pPr>
      <w:r>
        <w:rPr>
          <w:rFonts w:ascii="Arial" w:hAnsi="Arial" w:cs="Arial" w:eastAsia="Arial"/>
          <w:b/>
          <w:bCs/>
        </w:rPr>
        <w:t xml:space="preserve">B1. MANPOWER REQUIREMENT PLAN</w:t>
      </w:r>
    </w:p>
    <w:p>
      <w:pPr>
        <w:pStyle w:val="BodyText"/>
      </w:pPr>
      <w:r>
        <w:rPr>
          <w:rFonts w:ascii="Arial" w:hAnsi="Arial" w:cs="Arial" w:eastAsia="Arial"/>
        </w:rPr>
        <w:t xml:space="preserve">Current workforce:</w:t>
      </w:r>
      <w:r>
        <w:rPr>
          <w:rFonts w:ascii="Arial" w:hAnsi="Arial" w:cs="Arial" w:eastAsia="Arial"/>
        </w:rPr>
        <w:t xml:space="preserve"> </w:t>
      </w:r>
      <w:r>
        <w:rPr>
          <w:rFonts w:ascii="Arial" w:hAnsi="Arial" w:cs="Arial" w:eastAsia="Arial"/>
          <w:b/>
          <w:bCs/>
        </w:rPr>
        <w:t xml:space="preserve">5 sales staff (1 Senior Sales Executive, 3 Sales Executives, 1 Junior Sales Executive).</w:t>
      </w:r>
    </w:p>
    <w:p>
      <w:pPr>
        <w:pStyle w:val="BodyText"/>
      </w:pPr>
      <w:r>
        <w:rPr>
          <w:rFonts w:ascii="Arial" w:hAnsi="Arial" w:cs="Arial" w:eastAsia="Arial"/>
        </w:rPr>
        <w:t xml:space="preserve">Manpower requirement for the launch plan:</w:t>
      </w:r>
      <w:r>
        <w:rPr>
          <w:rFonts w:ascii="Arial" w:hAnsi="Arial" w:cs="Arial" w:eastAsia="Arial"/>
        </w:rPr>
        <w:t xml:space="preserve"> </w:t>
      </w:r>
      <w:r>
        <w:rPr>
          <w:rFonts w:ascii="Arial" w:hAnsi="Arial" w:cs="Arial" w:eastAsia="Arial"/>
          <w:b/>
          <w:bCs/>
        </w:rPr>
        <w:t xml:space="preserve">The current team of 5 sales staff is required to support the FlexiDesk launch in addition to existing products. Based on the 3-month sales budget, Month 1 target is RM246,000 rising to RM324,720 by Month 3. The current team structure is adequate for the Johor Bahru launch. However, if the expansion to Melaka and Negeri Sembilan proceeds (per company direction in Appendix 1), additional sales staff will be required. Recommendation: monitor team performance in Month 1 and Month 2; propose recruitment of 1–2 additional Sales Executives if expansion to Melaka and Negeri Sembilan is activated.</w:t>
      </w:r>
    </w:p>
    <w:p>
      <w:pPr>
        <w:pStyle w:val="BodyText"/>
      </w:pPr>
      <w:r>
        <w:rPr>
          <w:rFonts w:ascii="Arial" w:hAnsi="Arial" w:cs="Arial" w:eastAsia="Arial"/>
          <w:i/>
          <w:iCs/>
        </w:rPr>
        <w:t xml:space="preserve">(Any data-linked manpower assessment is acceptable.)</w:t>
      </w:r>
    </w:p>
    <w:p>
      <w:pPr>
        <w:pStyle w:val="BodyText"/>
      </w:pPr>
      <w:r>
        <w:rPr>
          <w:rFonts w:ascii="Arial" w:hAnsi="Arial" w:cs="Arial" w:eastAsia="Arial"/>
          <w:b/>
          <w:bCs/>
        </w:rPr>
        <w:t xml:space="preserve">B2. TRAINING NEED ANALYSIS</w:t>
      </w:r>
    </w:p>
    <w:p>
      <w:pPr>
        <w:pStyle w:val="BodyText"/>
      </w:pPr>
      <w:r>
        <w:rPr>
          <w:rFonts w:ascii="Arial" w:hAnsi="Arial" w:cs="Arial" w:eastAsia="Arial"/>
        </w:rPr>
        <w:t xml:space="preserve">Staff performance problems identified:</w:t>
      </w:r>
    </w:p>
    <w:p>
      <w:pPr>
        <w:pStyle w:val="Compact"/>
        <w:numPr>
          <w:ilvl w:val="0"/>
          <w:numId w:val="1003"/>
        </w:numPr>
      </w:pPr>
      <w:r>
        <w:rPr>
          <w:rFonts w:ascii="Arial" w:hAnsi="Arial" w:cs="Arial" w:eastAsia="Arial"/>
          <w:b/>
          <w:bCs/>
        </w:rPr>
        <w:t xml:space="preserve">SE-3: poor product knowledge (modular assembly features) and weak closing technique — at 60% achievement, the most critical underperformer.</w:t>
      </w:r>
    </w:p>
    <w:p>
      <w:pPr>
        <w:pStyle w:val="Compact"/>
        <w:numPr>
          <w:ilvl w:val="0"/>
          <w:numId w:val="1003"/>
        </w:numPr>
      </w:pPr>
      <w:r>
        <w:rPr>
          <w:rFonts w:ascii="Arial" w:hAnsi="Arial" w:cs="Arial" w:eastAsia="Arial"/>
          <w:b/>
          <w:bCs/>
        </w:rPr>
        <w:t xml:space="preserve">SE-5: poor prospecting activity and follow-up — at 70% achievement, inadequate lead generation is limiting sales.</w:t>
      </w:r>
    </w:p>
    <w:p>
      <w:pPr>
        <w:pStyle w:val="FirstParagraph"/>
      </w:pPr>
      <w:r>
        <w:rPr>
          <w:rFonts w:ascii="Arial" w:hAnsi="Arial" w:cs="Arial" w:eastAsia="Arial"/>
          <w:i/>
          <w:iCs/>
        </w:rPr>
        <w:t xml:space="preserve">(Additional acceptable problem: SE-2 at 75% — product knowledge needs improvement.)</w:t>
      </w:r>
    </w:p>
    <w:p>
      <w:pPr>
        <w:pStyle w:val="BodyText"/>
      </w:pPr>
      <w:r>
        <w:rPr>
          <w:rFonts w:ascii="Arial" w:hAnsi="Arial" w:cs="Arial" w:eastAsia="Arial"/>
        </w:rPr>
        <w:t xml:space="preserve">Staff development / training requirements:</w:t>
      </w:r>
      <w:r>
        <w:rPr>
          <w:rFonts w:ascii="Arial" w:hAnsi="Arial" w:cs="Arial" w:eastAsia="Arial"/>
        </w:rPr>
        <w:t xml:space="preserve"> </w:t>
      </w:r>
      <w:r>
        <w:rPr>
          <w:rFonts w:ascii="Arial" w:hAnsi="Arial" w:cs="Arial" w:eastAsia="Arial"/>
          <w:b/>
          <w:bCs/>
        </w:rPr>
        <w:t xml:space="preserve">Product knowledge training (FlexiDesk modular assembly features and home-office design benefits) and sales skills training (prospecting, follow-up and closing techniques).</w:t>
      </w:r>
    </w:p>
    <w:p>
      <w:pPr>
        <w:pStyle w:val="BodyText"/>
      </w:pPr>
      <w:r>
        <w:rPr>
          <w:rFonts w:ascii="Arial" w:hAnsi="Arial" w:cs="Arial" w:eastAsia="Arial"/>
        </w:rPr>
        <w:t xml:space="preserve">Proposed training program:</w:t>
      </w:r>
      <w:r>
        <w:rPr>
          <w:rFonts w:ascii="Arial" w:hAnsi="Arial" w:cs="Arial" w:eastAsia="Arial"/>
        </w:rPr>
        <w:t xml:space="preserve"> </w:t>
      </w:r>
      <w:r>
        <w:rPr>
          <w:rFonts w:ascii="Arial" w:hAnsi="Arial" w:cs="Arial" w:eastAsia="Arial"/>
          <w:b/>
          <w:bCs/>
        </w:rPr>
        <w:t xml:space="preserve">Topic: FlexiDesk Product Knowledge &amp; Sales Technique. Target staff: SE-3 (primary), SE-2 and SE-5 (secondary). Objective: Equip staff with in-depth knowledge of FlexiDesk modular assembly features and benefits, and strengthen prospecting, follow-up and closing skills to improve sales achievement to at least 90% of target within 2 months.</w:t>
      </w:r>
    </w:p>
    <w:p>
      <w:r>
        <w:rPr>
          <w:rFonts w:ascii="Arial" w:hAnsi="Arial" w:cs="Arial" w:eastAsia="Arial"/>
        </w:rPr>
        <w:pict>
          <v:rect style="width:0;height:1.5pt" o:hralign="center" o:hrstd="t" o:hr="t"/>
        </w:pict>
      </w:r>
    </w:p>
    <w:bookmarkEnd w:id="16"/>
    <w:bookmarkEnd w:id="17"/>
    <w:bookmarkStart w:id="20" w:name="X0aaf65d51c03cda08f643ddaf692edf4d3b2a01"/>
    <w:p>
      <w:pPr>
        <w:pStyle w:val="Heading2"/>
      </w:pPr>
      <w:r>
        <w:rPr>
          <w:rFonts w:ascii="Arial" w:hAnsi="Arial" w:cs="Arial" w:eastAsia="Arial"/>
        </w:rPr>
        <w:t xml:space="preserve">APPENDIX 8 — LOGISTIC &amp; INVENTORY + TECHNOLOGY REVIEW FORM</w:t>
      </w:r>
    </w:p>
    <w:bookmarkStart w:id="18" w:name="part-a-logistic-management-t7"/>
    <w:p>
      <w:pPr>
        <w:pStyle w:val="Heading3"/>
      </w:pPr>
      <w:r>
        <w:rPr>
          <w:rFonts w:ascii="Arial" w:hAnsi="Arial" w:cs="Arial" w:eastAsia="Arial"/>
        </w:rPr>
        <w:t xml:space="preserve">PART A — LOGISTIC MANAGEMENT (T7)</w:t>
      </w:r>
    </w:p>
    <w:p>
      <w:pPr>
        <w:pStyle w:val="FirstParagraph"/>
      </w:pPr>
      <w:r>
        <w:rPr>
          <w:rFonts w:ascii="Arial" w:hAnsi="Arial" w:cs="Arial" w:eastAsia="Arial"/>
          <w:b/>
          <w:bCs/>
        </w:rPr>
        <w:t xml:space="preserve">A1. ONE-WEEK DELIVERY OPERATIONAL SCHEDULE</w:t>
      </w:r>
    </w:p>
    <w:p>
      <w:pPr>
        <w:pStyle w:val="BodyText"/>
      </w:pPr>
      <w:r>
        <w:rPr>
          <w:rFonts w:ascii="Arial" w:hAnsi="Arial" w:cs="Arial" w:eastAsia="Arial"/>
          <w:i/>
          <w:iCs/>
        </w:rPr>
        <w:t xml:space="preserve">(Each lorry serves a maximum of 6 drop points per day; requires 1 driver + 1 assistant. Zone A: 11 drop points; Zone B: 9 drop points; Zone C: 7 drop points. Total drop points: 27. Delivery days: Monday–Saturday.)</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01"/>
        <w:gridCol w:w="2472"/>
        <w:gridCol w:w="2472"/>
        <w:gridCol w:w="2724"/>
      </w:tblGrid>
      <w:tr>
        <w:trPr>
          <w:tblHeader w:val="on"/>
          <w:cantSplit/>
        </w:trPr>
        <w:tc>
          <w:tcPr>
            <w:tcW w:type="dxa" w:w="140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DAY</w:t>
            </w:r>
          </w:p>
        </w:tc>
        <w:tc>
          <w:tcPr>
            <w:tcW w:type="dxa" w:w="247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LORRY 1 (ZONE / DROP POINTS)</w:t>
            </w:r>
          </w:p>
        </w:tc>
        <w:tc>
          <w:tcPr>
            <w:tcW w:type="dxa" w:w="247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LORRY 2 (ZONE / DROP POINTS)</w:t>
            </w:r>
          </w:p>
        </w:tc>
        <w:tc>
          <w:tcPr>
            <w:tcW w:type="dxa" w:w="27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STAFF ASSIGNED</w:t>
            </w:r>
          </w:p>
        </w:tc>
      </w:tr>
      <w:tr>
        <w:trPr>
          <w:cantSplit/>
        </w:trPr>
        <w:tc>
          <w:tcPr>
            <w:tcW w:type="dxa" w:w="1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Monday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Zone A — 6 drop points</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Zone B — 6 drop points</w:t>
            </w:r>
          </w:p>
        </w:tc>
        <w:tc>
          <w:tcPr>
            <w:tcW w:type="dxa" w:w="27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Lorry 1: D1 + A1; Lorry 2: D2 + A2</w:t>
            </w:r>
          </w:p>
        </w:tc>
      </w:tr>
      <w:tr>
        <w:trPr>
          <w:cantSplit/>
        </w:trPr>
        <w:tc>
          <w:tcPr>
            <w:tcW w:type="dxa" w:w="1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Tuesday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Zone A — 5 drop points</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Zone B — 3 drop points</w:t>
            </w:r>
          </w:p>
        </w:tc>
        <w:tc>
          <w:tcPr>
            <w:tcW w:type="dxa" w:w="27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Lorry 1: D1 + A1; Lorry 2: D2 + A2</w:t>
            </w:r>
          </w:p>
        </w:tc>
      </w:tr>
      <w:tr>
        <w:trPr>
          <w:cantSplit/>
        </w:trPr>
        <w:tc>
          <w:tcPr>
            <w:tcW w:type="dxa" w:w="1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Wednesday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Zone C — 6 drop points</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 (rest day)</w:t>
            </w:r>
          </w:p>
        </w:tc>
        <w:tc>
          <w:tcPr>
            <w:tcW w:type="dxa" w:w="27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Lorry 1: D1 + A1; Lorry 2: —</w:t>
            </w:r>
          </w:p>
        </w:tc>
      </w:tr>
      <w:tr>
        <w:trPr>
          <w:cantSplit/>
        </w:trPr>
        <w:tc>
          <w:tcPr>
            <w:tcW w:type="dxa" w:w="1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Thursday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Zone C — 1 drop point</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 (rest day)</w:t>
            </w:r>
          </w:p>
        </w:tc>
        <w:tc>
          <w:tcPr>
            <w:tcW w:type="dxa" w:w="27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Lorry 1: D1 + A1; Lorry 2: —</w:t>
            </w:r>
          </w:p>
        </w:tc>
      </w:tr>
      <w:tr>
        <w:trPr>
          <w:cantSplit/>
        </w:trPr>
        <w:tc>
          <w:tcPr>
            <w:tcW w:type="dxa" w:w="1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Friday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Buffer / urgent delivery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Buffer / urgent delivery</w:t>
            </w:r>
          </w:p>
        </w:tc>
        <w:tc>
          <w:tcPr>
            <w:tcW w:type="dxa" w:w="27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Lorry 1: D1 + A1; Lorry 2: D2 + A2</w:t>
            </w:r>
          </w:p>
        </w:tc>
      </w:tr>
      <w:tr>
        <w:trPr>
          <w:cantSplit/>
        </w:trPr>
        <w:tc>
          <w:tcPr>
            <w:tcW w:type="dxa" w:w="140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Saturday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Buffer / urgent delivery</w:t>
            </w:r>
          </w:p>
        </w:tc>
        <w:tc>
          <w:tcPr>
            <w:tcW w:type="dxa" w:w="247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Buffer / urgent delivery</w:t>
            </w:r>
          </w:p>
        </w:tc>
        <w:tc>
          <w:tcPr>
            <w:tcW w:type="dxa" w:w="272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Lorry 1: D1 + A1; Lorry 2: D2 + A2</w:t>
            </w:r>
          </w:p>
        </w:tc>
      </w:tr>
    </w:tbl>
    <w:p>
      <w:pPr>
        <w:pStyle w:val="BodyText"/>
      </w:pPr>
      <w:r>
        <w:rPr>
          <w:rFonts w:ascii="Arial" w:hAnsi="Arial" w:cs="Arial" w:eastAsia="Arial"/>
          <w:i/>
          <w:iCs/>
        </w:rPr>
        <w:t xml:space="preserve">(Any delivery schedule that covers all 27 drop points within the week, respects the 6 drop-point limit per lorry per day, and assigns 1 driver + 1 assistant per lorry is acceptable. Equivalent or more efficient schedules are accepted.)</w:t>
      </w:r>
    </w:p>
    <w:p>
      <w:pPr>
        <w:pStyle w:val="BodyText"/>
      </w:pPr>
      <w:r>
        <w:rPr>
          <w:rFonts w:ascii="Arial" w:hAnsi="Arial" w:cs="Arial" w:eastAsia="Arial"/>
        </w:rPr>
        <w:t xml:space="preserve">Action to address Zone C late-delivery complaints:</w:t>
      </w:r>
      <w:r>
        <w:rPr>
          <w:rFonts w:ascii="Arial" w:hAnsi="Arial" w:cs="Arial" w:eastAsia="Arial"/>
        </w:rPr>
        <w:t xml:space="preserve"> </w:t>
      </w:r>
      <w:r>
        <w:rPr>
          <w:rFonts w:ascii="Arial" w:hAnsi="Arial" w:cs="Arial" w:eastAsia="Arial"/>
          <w:b/>
          <w:bCs/>
        </w:rPr>
        <w:t xml:space="preserve">Assign dedicated Zone C delivery days (e.g. Wednesday–Thursday) to ensure Zone C drop points receive priority service. Review and optimise the Zone C delivery route to reduce transit time. Confirm delivery windows with Zone C dealers in advance to reduce missed deliveries.</w:t>
      </w:r>
    </w:p>
    <w:p>
      <w:pPr>
        <w:pStyle w:val="BodyText"/>
      </w:pPr>
      <w:r>
        <w:rPr>
          <w:rFonts w:ascii="Arial" w:hAnsi="Arial" w:cs="Arial" w:eastAsia="Arial"/>
          <w:b/>
          <w:bCs/>
        </w:rPr>
        <w:t xml:space="preserve">A2. STOCK LEVEL ASSESSMENT &amp; PURCHASE PROPOSAL</w:t>
      </w:r>
    </w:p>
    <w:p>
      <w:pPr>
        <w:pStyle w:val="BodyText"/>
      </w:pPr>
      <w:r>
        <w:rPr>
          <w:rFonts w:ascii="Arial" w:hAnsi="Arial" w:cs="Arial" w:eastAsia="Arial"/>
        </w:rPr>
        <w:t xml:space="preserve">Items BELOW minimum stock level:</w:t>
      </w:r>
    </w:p>
    <w:p>
      <w:pPr>
        <w:pStyle w:val="Compact"/>
        <w:numPr>
          <w:ilvl w:val="0"/>
          <w:numId w:val="1004"/>
        </w:numPr>
      </w:pPr>
      <w:r>
        <w:rPr>
          <w:rFonts w:ascii="Arial" w:hAnsi="Arial" w:cs="Arial" w:eastAsia="Arial"/>
          <w:b/>
          <w:bCs/>
        </w:rPr>
        <w:t xml:space="preserve">Plywood board 18mm: current stock 300 sheets vs minimum stock level 500 sheets — below minimum by 200 sheets.</w:t>
      </w:r>
    </w:p>
    <w:p>
      <w:pPr>
        <w:pStyle w:val="Compact"/>
        <w:numPr>
          <w:ilvl w:val="0"/>
          <w:numId w:val="1004"/>
        </w:numPr>
      </w:pPr>
      <w:r>
        <w:rPr>
          <w:rFonts w:ascii="Arial" w:hAnsi="Arial" w:cs="Arial" w:eastAsia="Arial"/>
          <w:b/>
          <w:bCs/>
        </w:rPr>
        <w:t xml:space="preserve">Assembly hardware packs (screws &amp; brackets): current stock 700 packs vs minimum stock level 900 packs — below minimum by 200 packs.</w:t>
      </w:r>
    </w:p>
    <w:p>
      <w:pPr>
        <w:pStyle w:val="FirstParagraph"/>
      </w:pPr>
      <w:r>
        <w:rPr>
          <w:rFonts w:ascii="Arial" w:hAnsi="Arial" w:cs="Arial" w:eastAsia="Arial"/>
          <w:i/>
          <w:iCs/>
        </w:rPr>
        <w:t xml:space="preserve">(Steel leg frame sets: 1,800 &gt; minimum 1,000 ✓; Flat-pack packaging cartons: 650 &gt; minimum 400 ✓ — these are above minimum.)</w:t>
      </w:r>
    </w:p>
    <w:p>
      <w:pPr>
        <w:pStyle w:val="BodyText"/>
      </w:pPr>
      <w:r>
        <w:rPr>
          <w:rFonts w:ascii="Arial" w:hAnsi="Arial" w:cs="Arial" w:eastAsia="Arial"/>
        </w:rPr>
        <w:t xml:space="preserve">Purchase proposal:</w:t>
      </w:r>
    </w:p>
    <w:p>
      <w:pPr>
        <w:pStyle w:val="Compact"/>
        <w:numPr>
          <w:ilvl w:val="0"/>
          <w:numId w:val="1005"/>
        </w:numPr>
      </w:pPr>
      <w:r>
        <w:rPr>
          <w:rFonts w:ascii="Arial" w:hAnsi="Arial" w:cs="Arial" w:eastAsia="Arial"/>
          <w:b/>
          <w:bCs/>
        </w:rPr>
        <w:t xml:space="preserve">Plywood board 18mm: propose purchase of at least 1,100 sheets (200 sheets to restore to minimum + 900 sheets monthly usage) to meet one month of production needs and restore stock above minimum level.</w:t>
      </w:r>
    </w:p>
    <w:p>
      <w:pPr>
        <w:pStyle w:val="Compact"/>
        <w:numPr>
          <w:ilvl w:val="0"/>
          <w:numId w:val="1005"/>
        </w:numPr>
      </w:pPr>
      <w:r>
        <w:rPr>
          <w:rFonts w:ascii="Arial" w:hAnsi="Arial" w:cs="Arial" w:eastAsia="Arial"/>
          <w:b/>
          <w:bCs/>
        </w:rPr>
        <w:t xml:space="preserve">Assembly hardware packs: propose purchase of at least 1,400 packs (200 packs to restore to minimum + 1,200 packs monthly usage) to meet one month of production needs and restore stock above minimum level.</w:t>
      </w:r>
    </w:p>
    <w:p>
      <w:pPr>
        <w:pStyle w:val="FirstParagraph"/>
      </w:pPr>
      <w:r>
        <w:rPr>
          <w:rFonts w:ascii="Arial" w:hAnsi="Arial" w:cs="Arial" w:eastAsia="Arial"/>
          <w:i/>
          <w:iCs/>
        </w:rPr>
        <w:t xml:space="preserve">(Quantities that restore stock to at least minimum + one month of usage are accepted; other well-justified quantities are acceptable.)</w:t>
      </w:r>
    </w:p>
    <w:p>
      <w:r>
        <w:rPr>
          <w:rFonts w:ascii="Arial" w:hAnsi="Arial" w:cs="Arial" w:eastAsia="Arial"/>
        </w:rPr>
        <w:pict>
          <v:rect style="width:0;height:1.5pt" o:hralign="center" o:hrstd="t" o:hr="t"/>
        </w:pict>
      </w:r>
    </w:p>
    <w:bookmarkEnd w:id="18"/>
    <w:bookmarkStart w:id="19" w:name="part-b-business-technology-review-t8"/>
    <w:p>
      <w:pPr>
        <w:pStyle w:val="Heading3"/>
      </w:pPr>
      <w:r>
        <w:rPr>
          <w:rFonts w:ascii="Arial" w:hAnsi="Arial" w:cs="Arial" w:eastAsia="Arial"/>
        </w:rPr>
        <w:t xml:space="preserve">PART B — BUSINESS TECHNOLOGY REVIEW (T8)</w:t>
      </w:r>
    </w:p>
    <w:p>
      <w:pPr>
        <w:pStyle w:val="FirstParagraph"/>
      </w:pPr>
      <w:r>
        <w:rPr>
          <w:rFonts w:ascii="Arial" w:hAnsi="Arial" w:cs="Arial" w:eastAsia="Arial"/>
          <w:b/>
          <w:bCs/>
        </w:rPr>
        <w:t xml:space="preserve">B1. CURRENT TECHNOLOGY USAGE REVIEW</w:t>
      </w:r>
    </w:p>
    <w:p>
      <w:pPr>
        <w:pStyle w:val="Compact"/>
        <w:numPr>
          <w:ilvl w:val="0"/>
          <w:numId w:val="1006"/>
        </w:numPr>
      </w:pPr>
      <w:r>
        <w:rPr>
          <w:rFonts w:ascii="Arial" w:hAnsi="Arial" w:cs="Arial" w:eastAsia="Arial"/>
          <w:b/>
          <w:bCs/>
        </w:rPr>
        <w:t xml:space="preserve">Dealer orders are received by phone and re-keyed manually into a spreadsheet — approximately 6 keying errors per month. This creates data accuracy risk and increases order processing time as dealer volume grows.</w:t>
      </w:r>
    </w:p>
    <w:p>
      <w:pPr>
        <w:pStyle w:val="Compact"/>
        <w:numPr>
          <w:ilvl w:val="0"/>
          <w:numId w:val="1006"/>
        </w:numPr>
      </w:pPr>
      <w:r>
        <w:rPr>
          <w:rFonts w:ascii="Arial" w:hAnsi="Arial" w:cs="Arial" w:eastAsia="Arial"/>
          <w:b/>
          <w:bCs/>
        </w:rPr>
        <w:t xml:space="preserve">The accounting software is standalone and not linked to inventory records — the two systems cannot share data, creating duplication of work and potential discrepancies between sales and stock records.</w:t>
      </w:r>
    </w:p>
    <w:p>
      <w:pPr>
        <w:pStyle w:val="Compact"/>
        <w:numPr>
          <w:ilvl w:val="0"/>
          <w:numId w:val="1006"/>
        </w:numPr>
      </w:pPr>
      <w:r>
        <w:rPr>
          <w:rFonts w:ascii="Arial" w:hAnsi="Arial" w:cs="Arial" w:eastAsia="Arial"/>
          <w:b/>
          <w:bCs/>
        </w:rPr>
        <w:t xml:space="preserve">Inventory is recorded in a manual log book; the monthly stock count takes 3 working days — manual stock management is time-consuming and prone to errors, particularly as the FlexiDesk product range expands.</w:t>
      </w:r>
    </w:p>
    <w:p>
      <w:pPr>
        <w:pStyle w:val="FirstParagraph"/>
      </w:pPr>
      <w:r>
        <w:rPr>
          <w:rFonts w:ascii="Arial" w:hAnsi="Arial" w:cs="Arial" w:eastAsia="Arial"/>
          <w:i/>
          <w:iCs/>
        </w:rPr>
        <w:t xml:space="preserve">(Fourth acceptable issue from the brief: delivery schedule on a wall planner with no shared visibility for the sales team, causing coordination gaps.)</w:t>
      </w:r>
    </w:p>
    <w:p>
      <w:pPr>
        <w:pStyle w:val="BodyText"/>
      </w:pPr>
      <w:r>
        <w:rPr>
          <w:rFonts w:ascii="Arial" w:hAnsi="Arial" w:cs="Arial" w:eastAsia="Arial"/>
        </w:rPr>
        <w:t xml:space="preserve">Sustainability assessment:</w:t>
      </w:r>
      <w:r>
        <w:rPr>
          <w:rFonts w:ascii="Arial" w:hAnsi="Arial" w:cs="Arial" w:eastAsia="Arial"/>
        </w:rPr>
        <w:t xml:space="preserve"> </w:t>
      </w:r>
      <w:r>
        <w:rPr>
          <w:rFonts w:ascii="Arial" w:hAnsi="Arial" w:cs="Arial" w:eastAsia="Arial"/>
          <w:b/>
          <w:bCs/>
        </w:rPr>
        <w:t xml:space="preserve">The existing technology is NOT sustainable to support the FlexiDesk launch and future expansion to Melaka and Negeri Sembilan. Phone ordering and manual data entry will generate more errors and delays as dealer order volume increases. The lack of system integration between accounting and inventory will make real-time stock tracking impossible. The 3-working-day manual stock count will become an increasing bottleneck as the product range and distributor network grows.</w:t>
      </w:r>
    </w:p>
    <w:p>
      <w:pPr>
        <w:pStyle w:val="BodyText"/>
      </w:pPr>
      <w:r>
        <w:rPr>
          <w:rFonts w:ascii="Arial" w:hAnsi="Arial" w:cs="Arial" w:eastAsia="Arial"/>
          <w:b/>
          <w:bCs/>
        </w:rPr>
        <w:t xml:space="preserve">B2. BUSINESS PROCESS IMPROVEMENT PROPOSAL</w:t>
      </w:r>
    </w:p>
    <w:p>
      <w:pPr>
        <w:pStyle w:val="BodyText"/>
      </w:pPr>
      <w:r>
        <w:rPr>
          <w:rFonts w:ascii="Arial" w:hAnsi="Arial" w:cs="Arial" w:eastAsia="Arial"/>
        </w:rPr>
        <w:t xml:space="preserve">Proposed improvement:</w:t>
      </w:r>
      <w:r>
        <w:rPr>
          <w:rFonts w:ascii="Arial" w:hAnsi="Arial" w:cs="Arial" w:eastAsia="Arial"/>
        </w:rPr>
        <w:t xml:space="preserve"> </w:t>
      </w:r>
      <w:r>
        <w:rPr>
          <w:rFonts w:ascii="Arial" w:hAnsi="Arial" w:cs="Arial" w:eastAsia="Arial"/>
          <w:b/>
          <w:bCs/>
        </w:rPr>
        <w:t xml:space="preserve">Replace the phone + manual spreadsheet order entry process with a simple online dealer ordering system or order management portal.</w:t>
      </w:r>
    </w:p>
    <w:p>
      <w:pPr>
        <w:pStyle w:val="BodyText"/>
      </w:pPr>
      <w:r>
        <w:rPr>
          <w:rFonts w:ascii="Arial" w:hAnsi="Arial" w:cs="Arial" w:eastAsia="Arial"/>
        </w:rPr>
        <w:t xml:space="preserve">Proposed change:</w:t>
      </w:r>
      <w:r>
        <w:rPr>
          <w:rFonts w:ascii="Arial" w:hAnsi="Arial" w:cs="Arial" w:eastAsia="Arial"/>
        </w:rPr>
        <w:t xml:space="preserve"> </w:t>
      </w:r>
      <w:r>
        <w:rPr>
          <w:rFonts w:ascii="Arial" w:hAnsi="Arial" w:cs="Arial" w:eastAsia="Arial"/>
          <w:b/>
          <w:bCs/>
        </w:rPr>
        <w:t xml:space="preserve">Implement an online order form or cloud-based order management system that allows dealers to place orders directly, automatically recording the order in the system without manual re-keying. Link the order system to inventory records to enable real-time stock visibility.</w:t>
      </w:r>
    </w:p>
    <w:p>
      <w:pPr>
        <w:pStyle w:val="BodyText"/>
      </w:pPr>
      <w:r>
        <w:rPr>
          <w:rFonts w:ascii="Arial" w:hAnsi="Arial" w:cs="Arial" w:eastAsia="Arial"/>
        </w:rPr>
        <w:t xml:space="preserve">Expected benefit:</w:t>
      </w:r>
      <w:r>
        <w:rPr>
          <w:rFonts w:ascii="Arial" w:hAnsi="Arial" w:cs="Arial" w:eastAsia="Arial"/>
        </w:rPr>
        <w:t xml:space="preserve"> </w:t>
      </w:r>
      <w:r>
        <w:rPr>
          <w:rFonts w:ascii="Arial" w:hAnsi="Arial" w:cs="Arial" w:eastAsia="Arial"/>
          <w:b/>
          <w:bCs/>
        </w:rPr>
        <w:t xml:space="preserve">Eliminates the approximately 6 keying errors per month, reduces order processing time, provides real-time order and inventory data accessible by the sales and operations teams, and reduces the stock count workload. This will support the increased order volume from the FlexiDesk launch and planned expansion to Melaka and Negeri Sembilan.</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FB-018-45:2012/2026/B/01 — TAMAT</w:t>
      </w:r>
    </w:p>
    <w:bookmarkEnd w:id="19"/>
    <w:bookmarkEnd w:id="20"/>
    <w:bookmarkEnd w:id="21"/>
    <w:sectPr w:rsidR="00FC693F" w:rsidRPr="0006063C" w:rsidSect="00034616">
      <w:headerReference w:type="default" r:id="rId9"/>
      <w:footerReference w:type="default" r:id="rId10"/>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FB-018-45:2012/2026/B/01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2026-08-25T10:09:47Z</dcterms:created>
  <dcterms:modified xsi:type="dcterms:W3CDTF">2026-08-25T10:09:47Z</dcterms:modified>
</cp:coreProperties>
</file>

<file path=docProps/custom.xml><?xml version="1.0" encoding="utf-8"?>
<Properties xmlns="http://schemas.openxmlformats.org/officeDocument/2006/custom-properties" xmlns:vt="http://schemas.openxmlformats.org/officeDocument/2006/docPropsVTypes"/>
</file>