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assessment-answer-sheet-model-answer"/>
    <w:p>
      <w:pPr>
        <w:pStyle w:val="Heading1"/>
      </w:pPr>
      <w:r>
        <w:rPr>
          <w:rFonts w:ascii="Arial" w:hAnsi="Arial" w:cs="Arial" w:eastAsia="Arial"/>
        </w:rPr>
        <w:t xml:space="preserve">ASSESSMENT ANSWER SHEET (MODEL ANSWER)</w:t>
      </w:r>
    </w:p>
    <w:p>
      <w:pPr>
        <w:pStyle w:val="BlockText"/>
      </w:pPr>
      <w:r>
        <w:rPr>
          <w:rFonts w:ascii="Arial" w:hAnsi="Arial" w:cs="Arial" w:eastAsia="Arial"/>
          <w:b/>
          <w:bCs/>
        </w:rPr>
        <w:t xml:space="preserve">Examiner’s Reference — Model Answer.</w:t>
      </w:r>
      <w:r>
        <w:rPr>
          <w:rFonts w:ascii="Arial" w:hAnsi="Arial" w:cs="Arial" w:eastAsia="Arial"/>
        </w:rPr>
        <w:t xml:space="preserve"> </w:t>
      </w:r>
      <w:r>
        <w:rPr>
          <w:rFonts w:ascii="Arial" w:hAnsi="Arial" w:cs="Arial" w:eastAsia="Arial"/>
        </w:rPr>
        <w:t xml:space="preserve">This document reproduces Borang A to Borang E of the SOALAN with the correct answers filled in. Text in</w:t>
      </w:r>
      <w:r>
        <w:rPr>
          <w:rFonts w:ascii="Arial" w:hAnsi="Arial" w:cs="Arial" w:eastAsia="Arial"/>
        </w:rPr>
        <w:t xml:space="preserve"> </w:t>
      </w:r>
      <w:r>
        <w:rPr>
          <w:rFonts w:ascii="Arial" w:hAnsi="Arial" w:cs="Arial" w:eastAsia="Arial"/>
          <w:b/>
          <w:bCs/>
        </w:rPr>
        <w:t xml:space="preserve">bold</w:t>
      </w:r>
      <w:r>
        <w:rPr>
          <w:rFonts w:ascii="Arial" w:hAnsi="Arial" w:cs="Arial" w:eastAsia="Arial"/>
        </w:rPr>
        <w:t xml:space="preserve"> </w:t>
      </w:r>
      <w:r>
        <w:rPr>
          <w:rFonts w:ascii="Arial" w:hAnsi="Arial" w:cs="Arial" w:eastAsia="Arial"/>
        </w:rPr>
        <w:t xml:space="preserve">is the model answer. Equivalent data-supported responses are acceptable where indicated.</w:t>
      </w:r>
    </w:p>
    <w:p>
      <w:r>
        <w:rPr>
          <w:rFonts w:ascii="Arial" w:hAnsi="Arial" w:cs="Arial" w:eastAsia="Arial"/>
        </w:rPr>
        <w:pict>
          <v:rect style="width:0;height:1.5pt" o:hralign="center" o:hrstd="t" o:hr="t"/>
        </w:pict>
      </w:r>
    </w:p>
    <w:bookmarkStart w:id="10" w:name="borang-a-social-media-marketing-c01"/>
    <w:p>
      <w:pPr>
        <w:pStyle w:val="Heading2"/>
      </w:pPr>
      <w:r>
        <w:rPr>
          <w:rFonts w:ascii="Arial" w:hAnsi="Arial" w:cs="Arial" w:eastAsia="Arial"/>
        </w:rPr>
        <w:t xml:space="preserve">BORANG A — SOCIAL MEDIA MARKETING (C01)</w:t>
      </w:r>
    </w:p>
    <w:p>
      <w:pPr>
        <w:pStyle w:val="FirstParagraph"/>
      </w:pPr>
      <w:r>
        <w:rPr>
          <w:rFonts w:ascii="Arial" w:hAnsi="Arial" w:cs="Arial" w:eastAsia="Arial"/>
          <w:b/>
          <w:bCs/>
        </w:rPr>
        <w:t xml:space="preserve">A1. Hashtags</w:t>
      </w:r>
    </w:p>
    <w:p>
      <w:pPr>
        <w:pStyle w:val="BodyText"/>
      </w:pPr>
      <w:r>
        <w:rPr>
          <w:rFonts w:ascii="Arial" w:hAnsi="Arial" w:cs="Arial" w:eastAsia="Arial"/>
        </w:rPr>
        <w:t xml:space="preserve">Brand-specific hashtag:</w:t>
      </w:r>
      <w:r>
        <w:rPr>
          <w:rFonts w:ascii="Arial" w:hAnsi="Arial" w:cs="Arial" w:eastAsia="Arial"/>
        </w:rPr>
        <w:t xml:space="preserve"> </w:t>
      </w:r>
      <w:r>
        <w:rPr>
          <w:rFonts w:ascii="Arial" w:hAnsi="Arial" w:cs="Arial" w:eastAsia="Arial"/>
          <w:b/>
          <w:bCs/>
        </w:rPr>
        <w:t xml:space="preserve">#AromaLestari</w:t>
      </w:r>
      <w:r>
        <w:rPr>
          <w:rFonts w:ascii="Arial" w:hAnsi="Arial" w:cs="Arial" w:eastAsia="Arial"/>
        </w:rPr>
        <w:t xml:space="preserve"> </w:t>
      </w:r>
      <w:r>
        <w:rPr>
          <w:rFonts w:ascii="Arial" w:hAnsi="Arial" w:cs="Arial" w:eastAsia="Arial"/>
        </w:rPr>
        <w:t xml:space="preserve">  Content hashtag:</w:t>
      </w:r>
      <w:r>
        <w:rPr>
          <w:rFonts w:ascii="Arial" w:hAnsi="Arial" w:cs="Arial" w:eastAsia="Arial"/>
        </w:rPr>
        <w:t xml:space="preserve"> </w:t>
      </w:r>
      <w:r>
        <w:rPr>
          <w:rFonts w:ascii="Arial" w:hAnsi="Arial" w:cs="Arial" w:eastAsia="Arial"/>
          <w:b/>
          <w:bCs/>
        </w:rPr>
        <w:t xml:space="preserve">#KopiTenomCandle</w:t>
      </w:r>
      <w:r>
        <w:rPr>
          <w:rFonts w:ascii="Arial" w:hAnsi="Arial" w:cs="Arial" w:eastAsia="Arial"/>
        </w:rPr>
        <w:t xml:space="preserve"> </w:t>
      </w:r>
      <w:r>
        <w:rPr>
          <w:rFonts w:ascii="Arial" w:hAnsi="Arial" w:cs="Arial" w:eastAsia="Arial"/>
        </w:rPr>
        <w:t xml:space="preserve">  Trending hashtag:</w:t>
      </w:r>
      <w:r>
        <w:rPr>
          <w:rFonts w:ascii="Arial" w:hAnsi="Arial" w:cs="Arial" w:eastAsia="Arial"/>
        </w:rPr>
        <w:t xml:space="preserve"> </w:t>
      </w:r>
      <w:r>
        <w:rPr>
          <w:rFonts w:ascii="Arial" w:hAnsi="Arial" w:cs="Arial" w:eastAsia="Arial"/>
          <w:b/>
          <w:bCs/>
        </w:rPr>
        <w:t xml:space="preserve">#EcoLiving</w:t>
      </w:r>
    </w:p>
    <w:p>
      <w:pPr>
        <w:pStyle w:val="BodyText"/>
      </w:pPr>
      <w:r>
        <w:rPr>
          <w:rFonts w:ascii="Arial" w:hAnsi="Arial" w:cs="Arial" w:eastAsia="Arial"/>
          <w:i/>
          <w:iCs/>
        </w:rPr>
        <w:t xml:space="preserve">(Other valid hashtags accepted provided they match the correct type — one brand-specific, one content-related, one trending.)</w:t>
      </w:r>
    </w:p>
    <w:p>
      <w:pPr>
        <w:pStyle w:val="BodyText"/>
      </w:pPr>
      <w:r>
        <w:rPr>
          <w:rFonts w:ascii="Arial" w:hAnsi="Arial" w:cs="Arial" w:eastAsia="Arial"/>
          <w:b/>
          <w:bCs/>
        </w:rPr>
        <w:t xml:space="preserve">A2. Placement</w:t>
      </w:r>
    </w:p>
    <w:p>
      <w:pPr>
        <w:pStyle w:val="BodyText"/>
      </w:pPr>
      <w:r>
        <w:rPr>
          <w:rFonts w:ascii="Arial" w:hAnsi="Arial" w:cs="Arial" w:eastAsia="Arial"/>
        </w:rPr>
        <w:t xml:space="preserve">Selected placement: ☒</w:t>
      </w:r>
      <w:r>
        <w:rPr>
          <w:rFonts w:ascii="Arial" w:hAnsi="Arial" w:cs="Arial" w:eastAsia="Arial"/>
        </w:rPr>
        <w:t xml:space="preserve"> </w:t>
      </w:r>
      <w:r>
        <w:rPr>
          <w:rFonts w:ascii="Arial" w:hAnsi="Arial" w:cs="Arial" w:eastAsia="Arial"/>
          <w:b/>
          <w:bCs/>
        </w:rPr>
        <w:t xml:space="preserve">Audience network</w:t>
      </w:r>
    </w:p>
    <w:p>
      <w:pPr>
        <w:pStyle w:val="BodyText"/>
      </w:pPr>
      <w:r>
        <w:rPr>
          <w:rFonts w:ascii="Arial" w:hAnsi="Arial" w:cs="Arial" w:eastAsia="Arial"/>
        </w:rPr>
        <w:t xml:space="preserve">Selection criterion applied:</w:t>
      </w:r>
      <w:r>
        <w:rPr>
          <w:rFonts w:ascii="Arial" w:hAnsi="Arial" w:cs="Arial" w:eastAsia="Arial"/>
        </w:rPr>
        <w:t xml:space="preserve"> </w:t>
      </w:r>
      <w:r>
        <w:rPr>
          <w:rFonts w:ascii="Arial" w:hAnsi="Arial" w:cs="Arial" w:eastAsia="Arial"/>
          <w:b/>
          <w:bCs/>
        </w:rPr>
        <w:t xml:space="preserve">Client request / Work instruction — to reach working adults aged 25–40 interested in eco-living as specified in the campaign brief (Appendix 2).</w:t>
      </w:r>
    </w:p>
    <w:p>
      <w:pPr>
        <w:pStyle w:val="BodyText"/>
      </w:pPr>
      <w:r>
        <w:rPr>
          <w:rFonts w:ascii="Arial" w:hAnsi="Arial" w:cs="Arial" w:eastAsia="Arial"/>
          <w:b/>
          <w:bCs/>
        </w:rPr>
        <w:t xml:space="preserve">A3. Post caption</w:t>
      </w:r>
    </w:p>
    <w:p>
      <w:pPr>
        <w:pStyle w:val="BlockText"/>
      </w:pPr>
      <w:r>
        <w:rPr>
          <w:rFonts w:ascii="Arial" w:hAnsi="Arial" w:cs="Arial" w:eastAsia="Arial"/>
          <w:b/>
          <w:bCs/>
        </w:rPr>
        <w:t xml:space="preserve">Introducing Kopi Tenom Soy Candle — a new scent from Aroma Lestari.</w:t>
      </w:r>
    </w:p>
    <w:p>
      <w:pPr>
        <w:pStyle w:val="BlockText"/>
      </w:pPr>
      <w:r>
        <w:rPr>
          <w:rFonts w:ascii="Arial" w:hAnsi="Arial" w:cs="Arial" w:eastAsia="Arial"/>
        </w:rPr>
        <w:t xml:space="preserve">Crafted from 100% natural soy wax with a roasted Tenom coffee accord. 40-hour burn time in a reusable ceramic jar — less waste, more warmth.</w:t>
      </w:r>
    </w:p>
    <w:p>
      <w:pPr>
        <w:pStyle w:val="BlockText"/>
      </w:pPr>
      <w:r>
        <w:rPr>
          <w:rFonts w:ascii="Arial" w:hAnsi="Arial" w:cs="Arial" w:eastAsia="Arial"/>
        </w:rPr>
        <w:t xml:space="preserve">Order now: www.aromalestari.example.my/kopi-tenom</w:t>
      </w:r>
    </w:p>
    <w:p>
      <w:pPr>
        <w:pStyle w:val="BlockText"/>
      </w:pPr>
      <w:r>
        <w:rPr>
          <w:rFonts w:ascii="Arial" w:hAnsi="Arial" w:cs="Arial" w:eastAsia="Arial"/>
        </w:rPr>
        <w:t xml:space="preserve">#AromaLestari #KopiTenomCandle #EcoLiving</w:t>
      </w:r>
    </w:p>
    <w:p>
      <w:pPr>
        <w:pStyle w:val="FirstParagraph"/>
      </w:pPr>
      <w:r>
        <w:rPr>
          <w:rFonts w:ascii="Arial" w:hAnsi="Arial" w:cs="Arial" w:eastAsia="Arial"/>
          <w:i/>
          <w:iCs/>
        </w:rPr>
        <w:t xml:space="preserve">(Any caption that accurately references the Kopi Tenom soy candle, at least one selling point from Appendix 1, and a valid call-to-action is acceptable.)</w:t>
      </w:r>
    </w:p>
    <w:p>
      <w:pPr>
        <w:pStyle w:val="BodyText"/>
      </w:pPr>
      <w:r>
        <w:rPr>
          <w:rFonts w:ascii="Arial" w:hAnsi="Arial" w:cs="Arial" w:eastAsia="Arial"/>
          <w:b/>
          <w:bCs/>
        </w:rPr>
        <w:t xml:space="preserve">A4. Creative media brief</w:t>
      </w:r>
    </w:p>
    <w:p>
      <w:pPr>
        <w:pStyle w:val="BodyText"/>
      </w:pPr>
      <w:r>
        <w:rPr>
          <w:rFonts w:ascii="Arial" w:hAnsi="Arial" w:cs="Arial" w:eastAsia="Arial"/>
        </w:rPr>
        <w:t xml:space="preserve">Type of creative media:</w:t>
      </w:r>
      <w:r>
        <w:rPr>
          <w:rFonts w:ascii="Arial" w:hAnsi="Arial" w:cs="Arial" w:eastAsia="Arial"/>
        </w:rPr>
        <w:t xml:space="preserve"> </w:t>
      </w:r>
      <w:r>
        <w:rPr>
          <w:rFonts w:ascii="Arial" w:hAnsi="Arial" w:cs="Arial" w:eastAsia="Arial"/>
          <w:b/>
          <w:bCs/>
        </w:rPr>
        <w:t xml:space="preserve">Product photo</w:t>
      </w:r>
      <w:r>
        <w:rPr>
          <w:rFonts w:ascii="Arial" w:hAnsi="Arial" w:cs="Arial" w:eastAsia="Arial"/>
        </w:rPr>
        <w:t xml:space="preserve"> </w:t>
      </w:r>
      <w:r>
        <w:rPr>
          <w:rFonts w:ascii="Arial" w:hAnsi="Arial" w:cs="Arial" w:eastAsia="Arial"/>
        </w:rPr>
        <w:t xml:space="preserve">  Source / file reference:</w:t>
      </w:r>
      <w:r>
        <w:rPr>
          <w:rFonts w:ascii="Arial" w:hAnsi="Arial" w:cs="Arial" w:eastAsia="Arial"/>
        </w:rPr>
        <w:t xml:space="preserve"> </w:t>
      </w:r>
      <w:r>
        <w:rPr>
          <w:rFonts w:ascii="Arial" w:hAnsi="Arial" w:cs="Arial" w:eastAsia="Arial"/>
          <w:b/>
          <w:bCs/>
        </w:rPr>
        <w:t xml:space="preserve">AL-SC200-KT-01.jpg</w:t>
      </w:r>
    </w:p>
    <w:p>
      <w:pPr>
        <w:pStyle w:val="BodyText"/>
      </w:pPr>
      <w:r>
        <w:rPr>
          <w:rFonts w:ascii="Arial" w:hAnsi="Arial" w:cs="Arial" w:eastAsia="Arial"/>
        </w:rPr>
        <w:t xml:space="preserve">Creative media format / dimension:</w:t>
      </w:r>
      <w:r>
        <w:rPr>
          <w:rFonts w:ascii="Arial" w:hAnsi="Arial" w:cs="Arial" w:eastAsia="Arial"/>
        </w:rPr>
        <w:t xml:space="preserve"> </w:t>
      </w:r>
      <w:r>
        <w:rPr>
          <w:rFonts w:ascii="Arial" w:hAnsi="Arial" w:cs="Arial" w:eastAsia="Arial"/>
          <w:b/>
          <w:bCs/>
        </w:rPr>
        <w:t xml:space="preserve">1200 × 1200 px (square)</w:t>
      </w:r>
      <w:r>
        <w:rPr>
          <w:rFonts w:ascii="Arial" w:hAnsi="Arial" w:cs="Arial" w:eastAsia="Arial"/>
        </w:rPr>
        <w:t xml:space="preserve"> </w:t>
      </w:r>
      <w:r>
        <w:rPr>
          <w:rFonts w:ascii="Arial" w:hAnsi="Arial" w:cs="Arial" w:eastAsia="Arial"/>
        </w:rPr>
        <w:t xml:space="preserve">  Copyright status:</w:t>
      </w:r>
      <w:r>
        <w:rPr>
          <w:rFonts w:ascii="Arial" w:hAnsi="Arial" w:cs="Arial" w:eastAsia="Arial"/>
        </w:rPr>
        <w:t xml:space="preserve"> </w:t>
      </w:r>
      <w:r>
        <w:rPr>
          <w:rFonts w:ascii="Arial" w:hAnsi="Arial" w:cs="Arial" w:eastAsia="Arial"/>
          <w:b/>
          <w:bCs/>
        </w:rPr>
        <w:t xml:space="preserve">Owned by Aroma Lestari, free to use</w:t>
      </w:r>
    </w:p>
    <w:p>
      <w:pPr>
        <w:pStyle w:val="BodyText"/>
      </w:pPr>
      <w:r>
        <w:rPr>
          <w:rFonts w:ascii="Arial" w:hAnsi="Arial" w:cs="Arial" w:eastAsia="Arial"/>
          <w:i/>
          <w:iCs/>
        </w:rPr>
        <w:t xml:space="preserve">(Lifestyle photo AL-lifestyle-01.jpg also acceptable; must note: licensed stock image, attribution required, resale not permitted.)</w:t>
      </w:r>
    </w:p>
    <w:p>
      <w:pPr>
        <w:pStyle w:val="BodyText"/>
      </w:pPr>
      <w:r>
        <w:rPr>
          <w:rFonts w:ascii="Arial" w:hAnsi="Arial" w:cs="Arial" w:eastAsia="Arial"/>
          <w:b/>
          <w:bCs/>
        </w:rPr>
        <w:t xml:space="preserve">A5. Comment moderation</w:t>
      </w:r>
      <w:r>
        <w:rPr>
          <w:rFonts w:ascii="Arial" w:hAnsi="Arial" w:cs="Arial" w:eastAsia="Arial"/>
        </w:rPr>
        <w:t xml:space="preserve"> </w:t>
      </w:r>
      <w:r>
        <w:rPr>
          <w:rFonts w:ascii="Arial" w:hAnsi="Arial" w:cs="Arial" w:eastAsia="Arial"/>
          <w:i/>
          <w:iCs/>
        </w:rPr>
        <w:t xml:space="preserve">(rujuk Appendix 4 Part A)</w:t>
      </w:r>
    </w:p>
    <w:p>
      <w:pPr>
        <w:pStyle w:val="BodyText"/>
      </w:pPr>
      <w:r>
        <w:rPr>
          <w:rFonts w:ascii="Arial" w:hAnsi="Arial" w:cs="Arial" w:eastAsia="Arial"/>
        </w:rPr>
        <w:t xml:space="preserve">Comment 1 — Type of assistance:</w:t>
      </w:r>
      <w:r>
        <w:rPr>
          <w:rFonts w:ascii="Arial" w:hAnsi="Arial" w:cs="Arial" w:eastAsia="Arial"/>
        </w:rPr>
        <w:t xml:space="preserve"> </w:t>
      </w:r>
      <w:r>
        <w:rPr>
          <w:rFonts w:ascii="Arial" w:hAnsi="Arial" w:cs="Arial" w:eastAsia="Arial"/>
          <w:b/>
          <w:bCs/>
        </w:rPr>
        <w:t xml:space="preserve">Technical assistance</w:t>
      </w:r>
    </w:p>
    <w:p>
      <w:pPr>
        <w:pStyle w:val="BodyText"/>
      </w:pPr>
      <w:r>
        <w:rPr>
          <w:rFonts w:ascii="Arial" w:hAnsi="Arial" w:cs="Arial" w:eastAsia="Arial"/>
        </w:rPr>
        <w:t xml:space="preserve">Reply:</w:t>
      </w:r>
      <w:r>
        <w:rPr>
          <w:rFonts w:ascii="Arial" w:hAnsi="Arial" w:cs="Arial" w:eastAsia="Arial"/>
        </w:rPr>
        <w:t xml:space="preserve"> </w:t>
      </w:r>
      <w:r>
        <w:rPr>
          <w:rFonts w:ascii="Arial" w:hAnsi="Arial" w:cs="Arial" w:eastAsia="Arial"/>
          <w:b/>
          <w:bCs/>
        </w:rPr>
        <w:t xml:space="preserve">Hi</w:t>
      </w:r>
      <w:r>
        <w:rPr>
          <w:rFonts w:ascii="Arial" w:hAnsi="Arial" w:cs="Arial" w:eastAsia="Arial"/>
          <w:b/>
          <w:bCs/>
        </w:rPr>
        <w:t xml:space="preserve"> </w:t>
      </w:r>
      <w:r>
        <w:rPr>
          <w:rFonts w:ascii="Arial" w:hAnsi="Arial" w:cs="Arial" w:eastAsia="Arial"/>
          <w:b/>
          <w:bCs/>
        </w:rPr>
        <w:t xml:space="preserve">@siti_home</w:t>
      </w:r>
      <w:r>
        <w:rPr>
          <w:rFonts w:ascii="Arial" w:hAnsi="Arial" w:cs="Arial" w:eastAsia="Arial"/>
          <w:b/>
          <w:bCs/>
        </w:rPr>
        <w:t xml:space="preserve">, thank you for letting us know. The refill page link has been updated — please try again at www.aromalestari.example.my/kopi-tenom. Let us know if you need further help!</w:t>
      </w:r>
    </w:p>
    <w:p>
      <w:pPr>
        <w:pStyle w:val="BodyText"/>
      </w:pPr>
      <w:r>
        <w:rPr>
          <w:rFonts w:ascii="Arial" w:hAnsi="Arial" w:cs="Arial" w:eastAsia="Arial"/>
        </w:rPr>
        <w:t xml:space="preserve">Comment 2 — Type of assistance:</w:t>
      </w:r>
      <w:r>
        <w:rPr>
          <w:rFonts w:ascii="Arial" w:hAnsi="Arial" w:cs="Arial" w:eastAsia="Arial"/>
        </w:rPr>
        <w:t xml:space="preserve"> </w:t>
      </w:r>
      <w:r>
        <w:rPr>
          <w:rFonts w:ascii="Arial" w:hAnsi="Arial" w:cs="Arial" w:eastAsia="Arial"/>
          <w:b/>
          <w:bCs/>
        </w:rPr>
        <w:t xml:space="preserve">Complaint handling</w:t>
      </w:r>
    </w:p>
    <w:p>
      <w:pPr>
        <w:pStyle w:val="BodyText"/>
      </w:pPr>
      <w:r>
        <w:rPr>
          <w:rFonts w:ascii="Arial" w:hAnsi="Arial" w:cs="Arial" w:eastAsia="Arial"/>
        </w:rPr>
        <w:t xml:space="preserve">Reply:</w:t>
      </w:r>
      <w:r>
        <w:rPr>
          <w:rFonts w:ascii="Arial" w:hAnsi="Arial" w:cs="Arial" w:eastAsia="Arial"/>
        </w:rPr>
        <w:t xml:space="preserve"> </w:t>
      </w:r>
      <w:r>
        <w:rPr>
          <w:rFonts w:ascii="Arial" w:hAnsi="Arial" w:cs="Arial" w:eastAsia="Arial"/>
          <w:b/>
          <w:bCs/>
        </w:rPr>
        <w:t xml:space="preserve">Hi</w:t>
      </w:r>
      <w:r>
        <w:rPr>
          <w:rFonts w:ascii="Arial" w:hAnsi="Arial" w:cs="Arial" w:eastAsia="Arial"/>
          <w:b/>
          <w:bCs/>
        </w:rPr>
        <w:t xml:space="preserve"> </w:t>
      </w:r>
      <w:r>
        <w:rPr>
          <w:rFonts w:ascii="Arial" w:hAnsi="Arial" w:cs="Arial" w:eastAsia="Arial"/>
          <w:b/>
          <w:bCs/>
        </w:rPr>
        <w:t xml:space="preserve">@rosli.kl</w:t>
      </w:r>
      <w:r>
        <w:rPr>
          <w:rFonts w:ascii="Arial" w:hAnsi="Arial" w:cs="Arial" w:eastAsia="Arial"/>
          <w:b/>
          <w:bCs/>
        </w:rPr>
        <w:t xml:space="preserve">, we sincerely apologise for the damaged item. Please DM us your order number and we will arrange a replacement as soon as possible. We are sorry for the inconvenience.</w:t>
      </w:r>
    </w:p>
    <w:p>
      <w:pPr>
        <w:pStyle w:val="BodyText"/>
      </w:pPr>
      <w:r>
        <w:rPr>
          <w:rFonts w:ascii="Arial" w:hAnsi="Arial" w:cs="Arial" w:eastAsia="Arial"/>
        </w:rPr>
        <w:t xml:space="preserve">Comment 3 — Type of assistance:</w:t>
      </w:r>
      <w:r>
        <w:rPr>
          <w:rFonts w:ascii="Arial" w:hAnsi="Arial" w:cs="Arial" w:eastAsia="Arial"/>
        </w:rPr>
        <w:t xml:space="preserve"> </w:t>
      </w:r>
      <w:r>
        <w:rPr>
          <w:rFonts w:ascii="Arial" w:hAnsi="Arial" w:cs="Arial" w:eastAsia="Arial"/>
          <w:b/>
          <w:bCs/>
        </w:rPr>
        <w:t xml:space="preserve">Product enquiry</w:t>
      </w:r>
    </w:p>
    <w:p>
      <w:pPr>
        <w:pStyle w:val="BodyText"/>
      </w:pPr>
      <w:r>
        <w:rPr>
          <w:rFonts w:ascii="Arial" w:hAnsi="Arial" w:cs="Arial" w:eastAsia="Arial"/>
        </w:rPr>
        <w:t xml:space="preserve">Reply:</w:t>
      </w:r>
      <w:r>
        <w:rPr>
          <w:rFonts w:ascii="Arial" w:hAnsi="Arial" w:cs="Arial" w:eastAsia="Arial"/>
        </w:rPr>
        <w:t xml:space="preserve"> </w:t>
      </w:r>
      <w:r>
        <w:rPr>
          <w:rFonts w:ascii="Arial" w:hAnsi="Arial" w:cs="Arial" w:eastAsia="Arial"/>
          <w:b/>
          <w:bCs/>
        </w:rPr>
        <w:t xml:space="preserve">Hi</w:t>
      </w:r>
      <w:r>
        <w:rPr>
          <w:rFonts w:ascii="Arial" w:hAnsi="Arial" w:cs="Arial" w:eastAsia="Arial"/>
          <w:b/>
          <w:bCs/>
        </w:rPr>
        <w:t xml:space="preserve"> </w:t>
      </w:r>
      <w:r>
        <w:rPr>
          <w:rFonts w:ascii="Arial" w:hAnsi="Arial" w:cs="Arial" w:eastAsia="Arial"/>
          <w:b/>
          <w:bCs/>
        </w:rPr>
        <w:t xml:space="preserve">@amandalim</w:t>
      </w:r>
      <w:r>
        <w:rPr>
          <w:rFonts w:ascii="Arial" w:hAnsi="Arial" w:cs="Arial" w:eastAsia="Arial"/>
          <w:b/>
          <w:bCs/>
        </w:rPr>
        <w:t xml:space="preserve">! The 200g Kopi Tenom candle has approximately 40 hours of burn time. The ceramic jar is fully reusable once the candle is finished — perfect for small storage or plants! Order yours at www.aromalestari.example.my/kopi-tenom</w:t>
      </w:r>
    </w:p>
    <w:bookmarkStart w:id="9" w:name="X4dc325cd5a333f486688c72f24081e77bd6842b"/>
    <w:p>
      <w:pPr>
        <w:pStyle w:val="Heading3"/>
      </w:pPr>
      <w:r>
        <w:rPr>
          <w:rFonts w:ascii="Arial" w:hAnsi="Arial" w:cs="Arial" w:eastAsia="Arial"/>
        </w:rPr>
        <w:t xml:space="preserve">APPENDIX 3 — PERFORMANCE DATA (USED IN BORANG A–E)</w:t>
      </w:r>
    </w:p>
    <w:p>
      <w:pPr>
        <w:pStyle w:val="FirstParagraph"/>
      </w:pPr>
      <w:r>
        <w:rPr>
          <w:rFonts w:ascii="Arial" w:hAnsi="Arial" w:cs="Arial" w:eastAsia="Arial"/>
          <w:b/>
          <w:bCs/>
        </w:rPr>
        <w:t xml:space="preserve">A6. Social media performance</w:t>
      </w:r>
      <w:r>
        <w:rPr>
          <w:rFonts w:ascii="Arial" w:hAnsi="Arial" w:cs="Arial" w:eastAsia="Arial"/>
        </w:rPr>
        <w:t xml:space="preserve"> </w:t>
      </w:r>
      <w:r>
        <w:rPr>
          <w:rFonts w:ascii="Arial" w:hAnsi="Arial" w:cs="Arial" w:eastAsia="Arial"/>
          <w:i/>
          <w:iCs/>
        </w:rPr>
        <w:t xml:space="preserve">(rujuk Appendix 3 Part A)</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925"/>
        <w:gridCol w:w="2468"/>
        <w:gridCol w:w="2677"/>
      </w:tblGrid>
      <w:tr>
        <w:trPr>
          <w:tblHeader w:val="on"/>
          <w:cantSplit/>
        </w:trPr>
        <w:tc>
          <w:tcPr>
            <w:tcW w:type="dxa" w:w="392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INDICATOR</w:t>
            </w:r>
          </w:p>
        </w:tc>
        <w:tc>
          <w:tcPr>
            <w:tcW w:type="dxa" w:w="246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WORKING / FORMULA</w:t>
            </w:r>
          </w:p>
        </w:tc>
        <w:tc>
          <w:tcPr>
            <w:tcW w:type="dxa" w:w="267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ANSWER</w:t>
            </w:r>
          </w:p>
        </w:tc>
      </w:tr>
      <w:tr>
        <w:trPr>
          <w:cantSplit/>
        </w:trPr>
        <w:tc>
          <w:tcPr>
            <w:tcW w:type="dxa" w:w="392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Pageview</w:t>
            </w:r>
          </w:p>
        </w:tc>
        <w:tc>
          <w:tcPr>
            <w:tcW w:type="dxa" w:w="246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Given</w:t>
            </w:r>
          </w:p>
        </w:tc>
        <w:tc>
          <w:tcPr>
            <w:tcW w:type="dxa" w:w="267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12,480</w:t>
            </w:r>
          </w:p>
        </w:tc>
      </w:tr>
      <w:tr>
        <w:trPr>
          <w:cantSplit/>
        </w:trPr>
        <w:tc>
          <w:tcPr>
            <w:tcW w:type="dxa" w:w="392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Follower growth</w:t>
            </w:r>
          </w:p>
        </w:tc>
        <w:tc>
          <w:tcPr>
            <w:tcW w:type="dxa" w:w="246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3,840 − 3,200</w:t>
            </w:r>
          </w:p>
        </w:tc>
        <w:tc>
          <w:tcPr>
            <w:tcW w:type="dxa" w:w="267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640</w:t>
            </w:r>
          </w:p>
        </w:tc>
      </w:tr>
      <w:tr>
        <w:trPr>
          <w:cantSplit/>
        </w:trPr>
        <w:tc>
          <w:tcPr>
            <w:tcW w:type="dxa" w:w="392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Post reach</w:t>
            </w:r>
          </w:p>
        </w:tc>
        <w:tc>
          <w:tcPr>
            <w:tcW w:type="dxa" w:w="246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Given</w:t>
            </w:r>
          </w:p>
        </w:tc>
        <w:tc>
          <w:tcPr>
            <w:tcW w:type="dxa" w:w="267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24,600</w:t>
            </w:r>
          </w:p>
        </w:tc>
      </w:tr>
      <w:tr>
        <w:trPr>
          <w:cantSplit/>
        </w:trPr>
        <w:tc>
          <w:tcPr>
            <w:tcW w:type="dxa" w:w="392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Post engagement (likes + comments + shares)</w:t>
            </w:r>
          </w:p>
        </w:tc>
        <w:tc>
          <w:tcPr>
            <w:tcW w:type="dxa" w:w="246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1,420 + 305 + 120</w:t>
            </w:r>
          </w:p>
        </w:tc>
        <w:tc>
          <w:tcPr>
            <w:tcW w:type="dxa" w:w="267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1,845</w:t>
            </w:r>
          </w:p>
        </w:tc>
      </w:tr>
      <w:tr>
        <w:trPr>
          <w:cantSplit/>
        </w:trPr>
        <w:tc>
          <w:tcPr>
            <w:tcW w:type="dxa" w:w="392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Average responsive time (minutes per reply)</w:t>
            </w:r>
          </w:p>
        </w:tc>
        <w:tc>
          <w:tcPr>
            <w:tcW w:type="dxa" w:w="246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1,440 ÷ 72</w:t>
            </w:r>
          </w:p>
        </w:tc>
        <w:tc>
          <w:tcPr>
            <w:tcW w:type="dxa" w:w="267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20 minutes per reply</w:t>
            </w:r>
          </w:p>
        </w:tc>
      </w:tr>
    </w:tbl>
    <w:p>
      <w:pPr>
        <w:pStyle w:val="BodyText"/>
      </w:pPr>
      <w:r>
        <w:rPr>
          <w:rFonts w:ascii="Arial" w:hAnsi="Arial" w:cs="Arial" w:eastAsia="Arial"/>
        </w:rPr>
        <w:t xml:space="preserve">Two (2) optimisation methods:</w:t>
      </w:r>
      <w:r>
        <w:rPr>
          <w:rFonts w:ascii="Arial" w:hAnsi="Arial" w:cs="Arial" w:eastAsia="Arial"/>
        </w:rPr>
        <w:t xml:space="preserve"> </w:t>
      </w:r>
      <w:r>
        <w:rPr>
          <w:rFonts w:ascii="Arial" w:hAnsi="Arial" w:cs="Arial" w:eastAsia="Arial"/>
          <w:b/>
          <w:bCs/>
        </w:rPr>
        <w:t xml:space="preserve">(1) A/B test post captions and creative formats to identify which content type generates higher engagement. (2) Schedule posts during peak audience hours based on platform analytics to increase post reach and follower growth.</w:t>
      </w:r>
    </w:p>
    <w:p>
      <w:pPr>
        <w:pStyle w:val="BodyText"/>
      </w:pPr>
      <w:r>
        <w:rPr>
          <w:rFonts w:ascii="Arial" w:hAnsi="Arial" w:cs="Arial" w:eastAsia="Arial"/>
          <w:i/>
          <w:iCs/>
        </w:rPr>
        <w:t xml:space="preserve">(Any two valid optimisation methods accepted.)</w:t>
      </w:r>
    </w:p>
    <w:p>
      <w:pPr>
        <w:pStyle w:val="BodyText"/>
      </w:pPr>
      <w:r>
        <w:rPr>
          <w:rFonts w:ascii="Arial" w:hAnsi="Arial" w:cs="Arial" w:eastAsia="Arial"/>
        </w:rPr>
        <w:t xml:space="preserve">Report block — Campaign:</w:t>
      </w:r>
      <w:r>
        <w:rPr>
          <w:rFonts w:ascii="Arial" w:hAnsi="Arial" w:cs="Arial" w:eastAsia="Arial"/>
        </w:rPr>
        <w:t xml:space="preserve"> </w:t>
      </w:r>
      <w:r>
        <w:rPr>
          <w:rFonts w:ascii="Arial" w:hAnsi="Arial" w:cs="Arial" w:eastAsia="Arial"/>
          <w:b/>
          <w:bCs/>
        </w:rPr>
        <w:t xml:space="preserve">Kopi Tenom Launch &amp; Refill Push</w:t>
      </w:r>
      <w:r>
        <w:rPr>
          <w:rFonts w:ascii="Arial" w:hAnsi="Arial" w:cs="Arial" w:eastAsia="Arial"/>
        </w:rPr>
        <w:t xml:space="preserve"> </w:t>
      </w:r>
      <w:r>
        <w:rPr>
          <w:rFonts w:ascii="Arial" w:hAnsi="Arial" w:cs="Arial" w:eastAsia="Arial"/>
        </w:rPr>
        <w:t xml:space="preserve">Period:</w:t>
      </w:r>
      <w:r>
        <w:rPr>
          <w:rFonts w:ascii="Arial" w:hAnsi="Arial" w:cs="Arial" w:eastAsia="Arial"/>
        </w:rPr>
        <w:t xml:space="preserve"> </w:t>
      </w:r>
      <w:r>
        <w:rPr>
          <w:rFonts w:ascii="Arial" w:hAnsi="Arial" w:cs="Arial" w:eastAsia="Arial"/>
          <w:b/>
          <w:bCs/>
        </w:rPr>
        <w:t xml:space="preserve">1–14 September 2026</w:t>
      </w:r>
      <w:r>
        <w:rPr>
          <w:rFonts w:ascii="Arial" w:hAnsi="Arial" w:cs="Arial" w:eastAsia="Arial"/>
        </w:rPr>
        <w:t xml:space="preserve"> </w:t>
      </w:r>
      <w:r>
        <w:rPr>
          <w:rFonts w:ascii="Arial" w:hAnsi="Arial" w:cs="Arial" w:eastAsia="Arial"/>
        </w:rPr>
        <w:t xml:space="preserve">Submitted to:</w:t>
      </w:r>
      <w:r>
        <w:rPr>
          <w:rFonts w:ascii="Arial" w:hAnsi="Arial" w:cs="Arial" w:eastAsia="Arial"/>
        </w:rPr>
        <w:t xml:space="preserve"> </w:t>
      </w:r>
      <w:r>
        <w:rPr>
          <w:rFonts w:ascii="Arial" w:hAnsi="Arial" w:cs="Arial" w:eastAsia="Arial"/>
          <w:b/>
          <w:bCs/>
        </w:rPr>
        <w:t xml:space="preserve">Puan Nurul Hidayah binti Zainal, Marketing Manager</w:t>
      </w:r>
    </w:p>
    <w:p>
      <w:pPr>
        <w:pStyle w:val="BodyText"/>
      </w:pPr>
      <w:r>
        <w:rPr>
          <w:rFonts w:ascii="Arial" w:hAnsi="Arial" w:cs="Arial" w:eastAsia="Arial"/>
        </w:rPr>
        <w:t xml:space="preserve">Key finding:</w:t>
      </w:r>
      <w:r>
        <w:rPr>
          <w:rFonts w:ascii="Arial" w:hAnsi="Arial" w:cs="Arial" w:eastAsia="Arial"/>
        </w:rPr>
        <w:t xml:space="preserve"> </w:t>
      </w:r>
      <w:r>
        <w:rPr>
          <w:rFonts w:ascii="Arial" w:hAnsi="Arial" w:cs="Arial" w:eastAsia="Arial"/>
          <w:b/>
          <w:bCs/>
        </w:rPr>
        <w:t xml:space="preserve">Follower growth of 640 (20% increase) and total post engagement of 1,845 during the 14-day campaign. Average response time of 20 minutes per reply indicates active community management.</w:t>
      </w:r>
    </w:p>
    <w:p>
      <w:r>
        <w:rPr>
          <w:rFonts w:ascii="Arial" w:hAnsi="Arial" w:cs="Arial" w:eastAsia="Arial"/>
        </w:rPr>
        <w:pict>
          <v:rect style="width:0;height:1.5pt" o:hralign="center" o:hrstd="t" o:hr="t"/>
        </w:pict>
      </w:r>
    </w:p>
    <w:bookmarkEnd w:id="9"/>
    <w:bookmarkEnd w:id="10"/>
    <w:bookmarkStart w:id="11" w:name="borang-b-search-engine-optimisation-c02"/>
    <w:p>
      <w:pPr>
        <w:pStyle w:val="Heading2"/>
      </w:pPr>
      <w:r>
        <w:rPr>
          <w:rFonts w:ascii="Arial" w:hAnsi="Arial" w:cs="Arial" w:eastAsia="Arial"/>
        </w:rPr>
        <w:t xml:space="preserve">BORANG B — SEARCH ENGINE OPTIMISATION (C02)</w:t>
      </w:r>
    </w:p>
    <w:p>
      <w:pPr>
        <w:pStyle w:val="FirstParagraph"/>
      </w:pPr>
      <w:r>
        <w:rPr>
          <w:rFonts w:ascii="Arial" w:hAnsi="Arial" w:cs="Arial" w:eastAsia="Arial"/>
          <w:b/>
          <w:bCs/>
        </w:rPr>
        <w:t xml:space="preserve">B1. Target keywords:</w:t>
      </w:r>
      <w:r>
        <w:rPr>
          <w:rFonts w:ascii="Arial" w:hAnsi="Arial" w:cs="Arial" w:eastAsia="Arial"/>
        </w:rPr>
        <w:t xml:space="preserve"> </w:t>
      </w:r>
      <w:r>
        <w:rPr>
          <w:rFonts w:ascii="Arial" w:hAnsi="Arial" w:cs="Arial" w:eastAsia="Arial"/>
        </w:rPr>
        <w:t xml:space="preserve">(1)</w:t>
      </w:r>
      <w:r>
        <w:rPr>
          <w:rFonts w:ascii="Arial" w:hAnsi="Arial" w:cs="Arial" w:eastAsia="Arial"/>
        </w:rPr>
        <w:t xml:space="preserve"> </w:t>
      </w:r>
      <w:r>
        <w:rPr>
          <w:rFonts w:ascii="Arial" w:hAnsi="Arial" w:cs="Arial" w:eastAsia="Arial"/>
          <w:b/>
          <w:bCs/>
        </w:rPr>
        <w:t xml:space="preserve">lilin soya malaysia</w:t>
      </w:r>
      <w:r>
        <w:rPr>
          <w:rFonts w:ascii="Arial" w:hAnsi="Arial" w:cs="Arial" w:eastAsia="Arial"/>
        </w:rPr>
        <w:t xml:space="preserve"> </w:t>
      </w:r>
      <w:r>
        <w:rPr>
          <w:rFonts w:ascii="Arial" w:hAnsi="Arial" w:cs="Arial" w:eastAsia="Arial"/>
        </w:rPr>
        <w:t xml:space="preserve">(2)</w:t>
      </w:r>
      <w:r>
        <w:rPr>
          <w:rFonts w:ascii="Arial" w:hAnsi="Arial" w:cs="Arial" w:eastAsia="Arial"/>
        </w:rPr>
        <w:t xml:space="preserve"> </w:t>
      </w:r>
      <w:r>
        <w:rPr>
          <w:rFonts w:ascii="Arial" w:hAnsi="Arial" w:cs="Arial" w:eastAsia="Arial"/>
          <w:b/>
          <w:bCs/>
        </w:rPr>
        <w:t xml:space="preserve">kopi tenom candle</w:t>
      </w:r>
      <w:r>
        <w:rPr>
          <w:rFonts w:ascii="Arial" w:hAnsi="Arial" w:cs="Arial" w:eastAsia="Arial"/>
        </w:rPr>
        <w:t xml:space="preserve"> </w:t>
      </w:r>
      <w:r>
        <w:rPr>
          <w:rFonts w:ascii="Arial" w:hAnsi="Arial" w:cs="Arial" w:eastAsia="Arial"/>
        </w:rPr>
        <w:t xml:space="preserve">(3)</w:t>
      </w:r>
      <w:r>
        <w:rPr>
          <w:rFonts w:ascii="Arial" w:hAnsi="Arial" w:cs="Arial" w:eastAsia="Arial"/>
        </w:rPr>
        <w:t xml:space="preserve"> </w:t>
      </w:r>
      <w:r>
        <w:rPr>
          <w:rFonts w:ascii="Arial" w:hAnsi="Arial" w:cs="Arial" w:eastAsia="Arial"/>
          <w:b/>
          <w:bCs/>
        </w:rPr>
        <w:t xml:space="preserve">soy candle malaysia</w:t>
      </w:r>
    </w:p>
    <w:p>
      <w:pPr>
        <w:pStyle w:val="BodyText"/>
      </w:pPr>
      <w:r>
        <w:rPr>
          <w:rFonts w:ascii="Arial" w:hAnsi="Arial" w:cs="Arial" w:eastAsia="Arial"/>
          <w:i/>
          <w:iCs/>
        </w:rPr>
        <w:t xml:space="preserve">(Any three relevant keywords related to the product and campaign are accepted.)</w:t>
      </w:r>
    </w:p>
    <w:p>
      <w:pPr>
        <w:pStyle w:val="BodyText"/>
      </w:pPr>
      <w:r>
        <w:rPr>
          <w:rFonts w:ascii="Arial" w:hAnsi="Arial" w:cs="Arial" w:eastAsia="Arial"/>
          <w:b/>
          <w:bCs/>
        </w:rPr>
        <w:t xml:space="preserve">B2. On-page SEO essentials</w:t>
      </w:r>
    </w:p>
    <w:p>
      <w:pPr>
        <w:pStyle w:val="BodyText"/>
      </w:pPr>
      <w:r>
        <w:rPr>
          <w:rFonts w:ascii="Arial" w:hAnsi="Arial" w:cs="Arial" w:eastAsia="Arial"/>
        </w:rPr>
        <w:t xml:space="preserve">Title tag:</w:t>
      </w:r>
      <w:r>
        <w:rPr>
          <w:rFonts w:ascii="Arial" w:hAnsi="Arial" w:cs="Arial" w:eastAsia="Arial"/>
        </w:rPr>
        <w:t xml:space="preserve"> </w:t>
      </w:r>
      <w:r>
        <w:rPr>
          <w:rFonts w:ascii="Arial" w:hAnsi="Arial" w:cs="Arial" w:eastAsia="Arial"/>
          <w:b/>
          <w:bCs/>
        </w:rPr>
        <w:t xml:space="preserve">Kopi Tenom Soy Candle | Aroma Lestari — Natural Home Fragrance Malaysia</w:t>
      </w:r>
    </w:p>
    <w:p>
      <w:pPr>
        <w:pStyle w:val="BodyText"/>
      </w:pPr>
      <w:r>
        <w:rPr>
          <w:rFonts w:ascii="Arial" w:hAnsi="Arial" w:cs="Arial" w:eastAsia="Arial"/>
        </w:rPr>
        <w:t xml:space="preserve">Meta description:</w:t>
      </w:r>
      <w:r>
        <w:rPr>
          <w:rFonts w:ascii="Arial" w:hAnsi="Arial" w:cs="Arial" w:eastAsia="Arial"/>
        </w:rPr>
        <w:t xml:space="preserve"> </w:t>
      </w:r>
      <w:r>
        <w:rPr>
          <w:rFonts w:ascii="Arial" w:hAnsi="Arial" w:cs="Arial" w:eastAsia="Arial"/>
          <w:b/>
          <w:bCs/>
        </w:rPr>
        <w:t xml:space="preserve">Discover the new Kopi Tenom Soy Candle from Aroma Lestari — 200g natural soy wax, 40-hour burn, reusable ceramic jar. Free delivery (West Malaysia). Order now.</w:t>
      </w:r>
    </w:p>
    <w:p>
      <w:pPr>
        <w:pStyle w:val="BodyText"/>
      </w:pPr>
      <w:r>
        <w:rPr>
          <w:rFonts w:ascii="Arial" w:hAnsi="Arial" w:cs="Arial" w:eastAsia="Arial"/>
        </w:rPr>
        <w:t xml:space="preserve">Permalink / URL:</w:t>
      </w:r>
      <w:r>
        <w:rPr>
          <w:rFonts w:ascii="Arial" w:hAnsi="Arial" w:cs="Arial" w:eastAsia="Arial"/>
        </w:rPr>
        <w:t xml:space="preserve"> </w:t>
      </w:r>
      <w:r>
        <w:rPr>
          <w:rFonts w:ascii="Arial" w:hAnsi="Arial" w:cs="Arial" w:eastAsia="Arial"/>
          <w:b/>
          <w:bCs/>
        </w:rPr>
        <w:t xml:space="preserve">www.aromalestari.example.my/kopi-tenom</w:t>
      </w:r>
    </w:p>
    <w:p>
      <w:pPr>
        <w:pStyle w:val="BodyText"/>
      </w:pPr>
      <w:r>
        <w:rPr>
          <w:rFonts w:ascii="Arial" w:hAnsi="Arial" w:cs="Arial" w:eastAsia="Arial"/>
        </w:rPr>
        <w:t xml:space="preserve">Header tag H1:</w:t>
      </w:r>
      <w:r>
        <w:rPr>
          <w:rFonts w:ascii="Arial" w:hAnsi="Arial" w:cs="Arial" w:eastAsia="Arial"/>
        </w:rPr>
        <w:t xml:space="preserve"> </w:t>
      </w:r>
      <w:r>
        <w:rPr>
          <w:rFonts w:ascii="Arial" w:hAnsi="Arial" w:cs="Arial" w:eastAsia="Arial"/>
          <w:b/>
          <w:bCs/>
        </w:rPr>
        <w:t xml:space="preserve">Kopi Tenom Soy Candle — New Launch</w:t>
      </w:r>
      <w:r>
        <w:rPr>
          <w:rFonts w:ascii="Arial" w:hAnsi="Arial" w:cs="Arial" w:eastAsia="Arial"/>
        </w:rPr>
        <w:t xml:space="preserve"> </w:t>
      </w:r>
      <w:r>
        <w:rPr>
          <w:rFonts w:ascii="Arial" w:hAnsi="Arial" w:cs="Arial" w:eastAsia="Arial"/>
        </w:rPr>
        <w:t xml:space="preserve">  Header tag H2:</w:t>
      </w:r>
      <w:r>
        <w:rPr>
          <w:rFonts w:ascii="Arial" w:hAnsi="Arial" w:cs="Arial" w:eastAsia="Arial"/>
        </w:rPr>
        <w:t xml:space="preserve"> </w:t>
      </w:r>
      <w:r>
        <w:rPr>
          <w:rFonts w:ascii="Arial" w:hAnsi="Arial" w:cs="Arial" w:eastAsia="Arial"/>
          <w:b/>
          <w:bCs/>
        </w:rPr>
        <w:t xml:space="preserve">Why Choose a Natural Soy Candle?</w:t>
      </w:r>
    </w:p>
    <w:p>
      <w:pPr>
        <w:pStyle w:val="BodyText"/>
      </w:pPr>
      <w:r>
        <w:rPr>
          <w:rFonts w:ascii="Arial" w:hAnsi="Arial" w:cs="Arial" w:eastAsia="Arial"/>
        </w:rPr>
        <w:t xml:space="preserve">Image optimisation (alt text):</w:t>
      </w:r>
      <w:r>
        <w:rPr>
          <w:rFonts w:ascii="Arial" w:hAnsi="Arial" w:cs="Arial" w:eastAsia="Arial"/>
        </w:rPr>
        <w:t xml:space="preserve"> </w:t>
      </w:r>
      <w:r>
        <w:rPr>
          <w:rFonts w:ascii="Arial" w:hAnsi="Arial" w:cs="Arial" w:eastAsia="Arial"/>
          <w:b/>
          <w:bCs/>
        </w:rPr>
        <w:t xml:space="preserve">Aroma Lestari Kopi Tenom 200g soy candle in reusable ceramic jar — natural home fragrance Malaysia</w:t>
      </w:r>
    </w:p>
    <w:p>
      <w:pPr>
        <w:pStyle w:val="BodyText"/>
      </w:pPr>
      <w:r>
        <w:rPr>
          <w:rFonts w:ascii="Arial" w:hAnsi="Arial" w:cs="Arial" w:eastAsia="Arial"/>
          <w:b/>
          <w:bCs/>
        </w:rPr>
        <w:t xml:space="preserve">B3. On-page SEO copy (100–150 words)</w:t>
      </w:r>
    </w:p>
    <w:p>
      <w:pPr>
        <w:pStyle w:val="BlockText"/>
      </w:pPr>
      <w:r>
        <w:rPr>
          <w:rFonts w:ascii="Arial" w:hAnsi="Arial" w:cs="Arial" w:eastAsia="Arial"/>
          <w:b/>
          <w:bCs/>
        </w:rPr>
        <w:t xml:space="preserve">Introducing the Kopi Tenom Soy Candle by Aroma Lestari — a new addition to our natural home fragrance collection. Made from 100% natural soy wax with a cotton wick and a roasted Tenom coffee accord, this 200g soy candle burns for approximately 40 hours and comes in a reusable ceramic jar, reducing packaging waste.</w:t>
      </w:r>
    </w:p>
    <w:p>
      <w:pPr>
        <w:pStyle w:val="BlockText"/>
      </w:pPr>
      <w:r>
        <w:rPr>
          <w:rFonts w:ascii="Arial" w:hAnsi="Arial" w:cs="Arial" w:eastAsia="Arial"/>
          <w:b/>
          <w:bCs/>
        </w:rPr>
        <w:t xml:space="preserve">Perfect for eco-conscious homes, the Kopi Tenom Candle delivers a warm, comforting coffee aroma. Whether you are searching for the best lilin soya Malaysia or a thoughtful gift, this premium soy candle Malaysia is designed for everyday comfort. Free delivery available for West Malaysia orders. Order your Kopi Tenom Candle today at www.aromalestari.example.my/kopi-tenom.</w:t>
      </w:r>
    </w:p>
    <w:p>
      <w:pPr>
        <w:pStyle w:val="FirstParagraph"/>
      </w:pPr>
      <w:r>
        <w:rPr>
          <w:rFonts w:ascii="Arial" w:hAnsi="Arial" w:cs="Arial" w:eastAsia="Arial"/>
          <w:i/>
          <w:iCs/>
        </w:rPr>
        <w:t xml:space="preserve">(Any 100–150 word copy incorporating the target keywords and accurately referencing the product from Appendix 1 is acceptable.)</w:t>
      </w:r>
    </w:p>
    <w:p>
      <w:pPr>
        <w:pStyle w:val="BodyText"/>
      </w:pPr>
      <w:r>
        <w:rPr>
          <w:rFonts w:ascii="Arial" w:hAnsi="Arial" w:cs="Arial" w:eastAsia="Arial"/>
          <w:b/>
          <w:bCs/>
        </w:rPr>
        <w:t xml:space="preserve">B4. SEO performance</w:t>
      </w:r>
      <w:r>
        <w:rPr>
          <w:rFonts w:ascii="Arial" w:hAnsi="Arial" w:cs="Arial" w:eastAsia="Arial"/>
        </w:rPr>
        <w:t xml:space="preserve"> </w:t>
      </w:r>
      <w:r>
        <w:rPr>
          <w:rFonts w:ascii="Arial" w:hAnsi="Arial" w:cs="Arial" w:eastAsia="Arial"/>
          <w:i/>
          <w:iCs/>
        </w:rPr>
        <w:t xml:space="preserve">(rujuk Appendix 3 Part B)</w:t>
      </w:r>
    </w:p>
    <w:p>
      <w:pPr>
        <w:pStyle w:val="BodyText"/>
      </w:pPr>
      <w:r>
        <w:rPr>
          <w:rFonts w:ascii="Arial" w:hAnsi="Arial" w:cs="Arial" w:eastAsia="Arial"/>
        </w:rPr>
        <w:t xml:space="preserve">Number of visits (current month):</w:t>
      </w:r>
      <w:r>
        <w:rPr>
          <w:rFonts w:ascii="Arial" w:hAnsi="Arial" w:cs="Arial" w:eastAsia="Arial"/>
        </w:rPr>
        <w:t xml:space="preserve"> </w:t>
      </w:r>
      <w:r>
        <w:rPr>
          <w:rFonts w:ascii="Arial" w:hAnsi="Arial" w:cs="Arial" w:eastAsia="Arial"/>
          <w:b/>
          <w:bCs/>
        </w:rPr>
        <w:t xml:space="preserve">8,400</w:t>
      </w:r>
    </w:p>
    <w:p>
      <w:pPr>
        <w:pStyle w:val="BodyText"/>
      </w:pPr>
      <w:r>
        <w:rPr>
          <w:rFonts w:ascii="Arial" w:hAnsi="Arial" w:cs="Arial" w:eastAsia="Arial"/>
        </w:rPr>
        <w:t xml:space="preserve">Click-through rate = 4,200 ÷ 105,000 × 100 =</w:t>
      </w:r>
      <w:r>
        <w:rPr>
          <w:rFonts w:ascii="Arial" w:hAnsi="Arial" w:cs="Arial" w:eastAsia="Arial"/>
        </w:rPr>
        <w:t xml:space="preserve"> </w:t>
      </w:r>
      <w:r>
        <w:rPr>
          <w:rFonts w:ascii="Arial" w:hAnsi="Arial" w:cs="Arial" w:eastAsia="Arial"/>
          <w:b/>
          <w:bCs/>
        </w:rPr>
        <w:t xml:space="preserve">4.00 %</w:t>
      </w:r>
    </w:p>
    <w:p>
      <w:pPr>
        <w:pStyle w:val="BodyText"/>
      </w:pPr>
      <w:r>
        <w:rPr>
          <w:rFonts w:ascii="Arial" w:hAnsi="Arial" w:cs="Arial" w:eastAsia="Arial"/>
        </w:rPr>
        <w:t xml:space="preserve">Keyword ranking movement:</w:t>
      </w:r>
      <w:r>
        <w:rPr>
          <w:rFonts w:ascii="Arial" w:hAnsi="Arial" w:cs="Arial" w:eastAsia="Arial"/>
        </w:rPr>
        <w:t xml:space="preserve"> </w:t>
      </w:r>
      <w:r>
        <w:rPr>
          <w:rFonts w:ascii="Arial" w:hAnsi="Arial" w:cs="Arial" w:eastAsia="Arial"/>
        </w:rPr>
        <w:t xml:space="preserve">-</w:t>
      </w:r>
      <w:r>
        <w:rPr>
          <w:rFonts w:ascii="Arial" w:hAnsi="Arial" w:cs="Arial" w:eastAsia="Arial"/>
        </w:rPr>
        <w:t xml:space="preserve"> </w:t>
      </w:r>
      <w:r>
        <w:rPr>
          <w:rFonts w:ascii="Arial" w:hAnsi="Arial" w:cs="Arial" w:eastAsia="Arial"/>
          <w:b/>
          <w:bCs/>
        </w:rPr>
        <w:t xml:space="preserve">“lilin soya malaysia”</w:t>
      </w:r>
      <w:r>
        <w:rPr>
          <w:rFonts w:ascii="Arial" w:hAnsi="Arial" w:cs="Arial" w:eastAsia="Arial"/>
          <w:b/>
          <w:bCs/>
        </w:rPr>
        <w:t xml:space="preserve">: improved from position 11 (previous) to position 9 (current) — improvement of 2 positions.</w:t>
      </w:r>
      <w:r>
        <w:rPr>
          <w:rFonts w:ascii="Arial" w:hAnsi="Arial" w:cs="Arial" w:eastAsia="Arial"/>
        </w:rPr>
        <w:t xml:space="preserve"> </w:t>
      </w:r>
      <w:r>
        <w:rPr>
          <w:rFonts w:ascii="Arial" w:hAnsi="Arial" w:cs="Arial" w:eastAsia="Arial"/>
        </w:rPr>
        <w:t xml:space="preserve">-</w:t>
      </w:r>
      <w:r>
        <w:rPr>
          <w:rFonts w:ascii="Arial" w:hAnsi="Arial" w:cs="Arial" w:eastAsia="Arial"/>
        </w:rPr>
        <w:t xml:space="preserve"> </w:t>
      </w:r>
      <w:r>
        <w:rPr>
          <w:rFonts w:ascii="Arial" w:hAnsi="Arial" w:cs="Arial" w:eastAsia="Arial"/>
          <w:b/>
          <w:bCs/>
        </w:rPr>
        <w:t xml:space="preserve">“kopi tenom candle”</w:t>
      </w:r>
      <w:r>
        <w:rPr>
          <w:rFonts w:ascii="Arial" w:hAnsi="Arial" w:cs="Arial" w:eastAsia="Arial"/>
          <w:b/>
          <w:bCs/>
        </w:rPr>
        <w:t xml:space="preserve">: entered ranking at position 31 (previously unranked) — new keyword entry.</w:t>
      </w:r>
    </w:p>
    <w:p>
      <w:pPr>
        <w:pStyle w:val="BodyText"/>
      </w:pPr>
      <w:r>
        <w:rPr>
          <w:rFonts w:ascii="Arial" w:hAnsi="Arial" w:cs="Arial" w:eastAsia="Arial"/>
        </w:rPr>
        <w:t xml:space="preserve">Volume of traffic per day = 8,400 ÷ 30 =</w:t>
      </w:r>
      <w:r>
        <w:rPr>
          <w:rFonts w:ascii="Arial" w:hAnsi="Arial" w:cs="Arial" w:eastAsia="Arial"/>
        </w:rPr>
        <w:t xml:space="preserve"> </w:t>
      </w:r>
      <w:r>
        <w:rPr>
          <w:rFonts w:ascii="Arial" w:hAnsi="Arial" w:cs="Arial" w:eastAsia="Arial"/>
          <w:b/>
          <w:bCs/>
        </w:rPr>
        <w:t xml:space="preserve">280 visits per day</w:t>
      </w:r>
    </w:p>
    <w:p>
      <w:r>
        <w:rPr>
          <w:rFonts w:ascii="Arial" w:hAnsi="Arial" w:cs="Arial" w:eastAsia="Arial"/>
        </w:rPr>
        <w:pict>
          <v:rect style="width:0;height:1.5pt" o:hralign="center" o:hrstd="t" o:hr="t"/>
        </w:pict>
      </w:r>
    </w:p>
    <w:bookmarkEnd w:id="11"/>
    <w:bookmarkStart w:id="12" w:name="borang-c-search-engine-marketing-c03"/>
    <w:p>
      <w:pPr>
        <w:pStyle w:val="Heading2"/>
      </w:pPr>
      <w:r>
        <w:rPr>
          <w:rFonts w:ascii="Arial" w:hAnsi="Arial" w:cs="Arial" w:eastAsia="Arial"/>
        </w:rPr>
        <w:t xml:space="preserve">BORANG C — SEARCH ENGINE MARKETING (C03)</w:t>
      </w:r>
    </w:p>
    <w:p>
      <w:pPr>
        <w:pStyle w:val="FirstParagraph"/>
      </w:pPr>
      <w:r>
        <w:rPr>
          <w:rFonts w:ascii="Arial" w:hAnsi="Arial" w:cs="Arial" w:eastAsia="Arial"/>
          <w:b/>
          <w:bCs/>
        </w:rPr>
        <w:t xml:space="preserve">C1. Campaign data transfer</w:t>
      </w:r>
      <w:r>
        <w:rPr>
          <w:rFonts w:ascii="Arial" w:hAnsi="Arial" w:cs="Arial" w:eastAsia="Arial"/>
        </w:rPr>
        <w:t xml:space="preserve"> </w:t>
      </w:r>
      <w:r>
        <w:rPr>
          <w:rFonts w:ascii="Arial" w:hAnsi="Arial" w:cs="Arial" w:eastAsia="Arial"/>
          <w:i/>
          <w:iCs/>
        </w:rPr>
        <w:t xml:space="preserve">(dari Appendix 2)</w:t>
      </w:r>
    </w:p>
    <w:p>
      <w:pPr>
        <w:pStyle w:val="BodyText"/>
      </w:pPr>
      <w:r>
        <w:rPr>
          <w:rFonts w:ascii="Arial" w:hAnsi="Arial" w:cs="Arial" w:eastAsia="Arial"/>
        </w:rPr>
        <w:t xml:space="preserve">Campaign objective:</w:t>
      </w:r>
      <w:r>
        <w:rPr>
          <w:rFonts w:ascii="Arial" w:hAnsi="Arial" w:cs="Arial" w:eastAsia="Arial"/>
        </w:rPr>
        <w:t xml:space="preserve"> </w:t>
      </w:r>
      <w:r>
        <w:rPr>
          <w:rFonts w:ascii="Arial" w:hAnsi="Arial" w:cs="Arial" w:eastAsia="Arial"/>
          <w:b/>
          <w:bCs/>
        </w:rPr>
        <w:t xml:space="preserve">(1) Brand awareness for the new Kopi Tenom soy candle; (2) Conversion to online orders, with emphasis on the refill line.</w:t>
      </w:r>
    </w:p>
    <w:p>
      <w:pPr>
        <w:pStyle w:val="BodyText"/>
      </w:pPr>
      <w:r>
        <w:rPr>
          <w:rFonts w:ascii="Arial" w:hAnsi="Arial" w:cs="Arial" w:eastAsia="Arial"/>
        </w:rPr>
        <w:t xml:space="preserve">Allocated SEM budget: RM</w:t>
      </w:r>
      <w:r>
        <w:rPr>
          <w:rFonts w:ascii="Arial" w:hAnsi="Arial" w:cs="Arial" w:eastAsia="Arial"/>
        </w:rPr>
        <w:t xml:space="preserve"> </w:t>
      </w:r>
      <w:r>
        <w:rPr>
          <w:rFonts w:ascii="Arial" w:hAnsi="Arial" w:cs="Arial" w:eastAsia="Arial"/>
          <w:b/>
          <w:bCs/>
        </w:rPr>
        <w:t xml:space="preserve">1,200.00</w:t>
      </w:r>
      <w:r>
        <w:rPr>
          <w:rFonts w:ascii="Arial" w:hAnsi="Arial" w:cs="Arial" w:eastAsia="Arial"/>
        </w:rPr>
        <w:t xml:space="preserve"> </w:t>
      </w:r>
      <w:r>
        <w:rPr>
          <w:rFonts w:ascii="Arial" w:hAnsi="Arial" w:cs="Arial" w:eastAsia="Arial"/>
        </w:rPr>
        <w:t xml:space="preserve">  Campaign duration:</w:t>
      </w:r>
      <w:r>
        <w:rPr>
          <w:rFonts w:ascii="Arial" w:hAnsi="Arial" w:cs="Arial" w:eastAsia="Arial"/>
        </w:rPr>
        <w:t xml:space="preserve"> </w:t>
      </w:r>
      <w:r>
        <w:rPr>
          <w:rFonts w:ascii="Arial" w:hAnsi="Arial" w:cs="Arial" w:eastAsia="Arial"/>
          <w:b/>
          <w:bCs/>
        </w:rPr>
        <w:t xml:space="preserve">14 days — 1 September 2026 hingga 14 September 2026</w:t>
      </w:r>
    </w:p>
    <w:p>
      <w:pPr>
        <w:pStyle w:val="BodyText"/>
      </w:pPr>
      <w:r>
        <w:rPr>
          <w:rFonts w:ascii="Arial" w:hAnsi="Arial" w:cs="Arial" w:eastAsia="Arial"/>
          <w:b/>
          <w:bCs/>
        </w:rPr>
        <w:t xml:space="preserve">C2. Placement</w:t>
      </w:r>
    </w:p>
    <w:p>
      <w:pPr>
        <w:pStyle w:val="BodyText"/>
      </w:pPr>
      <w:r>
        <w:rPr>
          <w:rFonts w:ascii="Arial" w:hAnsi="Arial" w:cs="Arial" w:eastAsia="Arial"/>
        </w:rPr>
        <w:t xml:space="preserve">Selected placement: ☒</w:t>
      </w:r>
      <w:r>
        <w:rPr>
          <w:rFonts w:ascii="Arial" w:hAnsi="Arial" w:cs="Arial" w:eastAsia="Arial"/>
        </w:rPr>
        <w:t xml:space="preserve"> </w:t>
      </w:r>
      <w:r>
        <w:rPr>
          <w:rFonts w:ascii="Arial" w:hAnsi="Arial" w:cs="Arial" w:eastAsia="Arial"/>
          <w:b/>
          <w:bCs/>
        </w:rPr>
        <w:t xml:space="preserve">Search network</w:t>
      </w:r>
    </w:p>
    <w:p>
      <w:pPr>
        <w:pStyle w:val="BodyText"/>
      </w:pPr>
      <w:r>
        <w:rPr>
          <w:rFonts w:ascii="Arial" w:hAnsi="Arial" w:cs="Arial" w:eastAsia="Arial"/>
        </w:rPr>
        <w:t xml:space="preserve">Selection criterion applied:</w:t>
      </w:r>
      <w:r>
        <w:rPr>
          <w:rFonts w:ascii="Arial" w:hAnsi="Arial" w:cs="Arial" w:eastAsia="Arial"/>
        </w:rPr>
        <w:t xml:space="preserve"> </w:t>
      </w:r>
      <w:r>
        <w:rPr>
          <w:rFonts w:ascii="Arial" w:hAnsi="Arial" w:cs="Arial" w:eastAsia="Arial"/>
          <w:b/>
          <w:bCs/>
        </w:rPr>
        <w:t xml:space="preserve">To capture high purchase intent from users actively searching for soy candles and home fragrance products, in line with the campaign’s conversion objective.</w:t>
      </w:r>
    </w:p>
    <w:p>
      <w:pPr>
        <w:pStyle w:val="BodyText"/>
      </w:pPr>
      <w:r>
        <w:rPr>
          <w:rFonts w:ascii="Arial" w:hAnsi="Arial" w:cs="Arial" w:eastAsia="Arial"/>
          <w:b/>
          <w:bCs/>
        </w:rPr>
        <w:t xml:space="preserve">C3. Ad copy</w:t>
      </w:r>
    </w:p>
    <w:p>
      <w:pPr>
        <w:pStyle w:val="BodyText"/>
      </w:pPr>
      <w:r>
        <w:rPr>
          <w:rFonts w:ascii="Arial" w:hAnsi="Arial" w:cs="Arial" w:eastAsia="Arial"/>
        </w:rPr>
        <w:t xml:space="preserve">Headline 1:</w:t>
      </w:r>
      <w:r>
        <w:rPr>
          <w:rFonts w:ascii="Arial" w:hAnsi="Arial" w:cs="Arial" w:eastAsia="Arial"/>
        </w:rPr>
        <w:t xml:space="preserve"> </w:t>
      </w:r>
      <w:r>
        <w:rPr>
          <w:rFonts w:ascii="Arial" w:hAnsi="Arial" w:cs="Arial" w:eastAsia="Arial"/>
          <w:b/>
          <w:bCs/>
        </w:rPr>
        <w:t xml:space="preserve">Kopi Tenom Soy Candle — New</w:t>
      </w:r>
      <w:r>
        <w:rPr>
          <w:rFonts w:ascii="Arial" w:hAnsi="Arial" w:cs="Arial" w:eastAsia="Arial"/>
        </w:rPr>
        <w:t xml:space="preserve"> </w:t>
      </w:r>
      <w:r>
        <w:rPr>
          <w:rFonts w:ascii="Arial" w:hAnsi="Arial" w:cs="Arial" w:eastAsia="Arial"/>
        </w:rPr>
        <w:t xml:space="preserve">  Headline 2:</w:t>
      </w:r>
      <w:r>
        <w:rPr>
          <w:rFonts w:ascii="Arial" w:hAnsi="Arial" w:cs="Arial" w:eastAsia="Arial"/>
        </w:rPr>
        <w:t xml:space="preserve"> </w:t>
      </w:r>
      <w:r>
        <w:rPr>
          <w:rFonts w:ascii="Arial" w:hAnsi="Arial" w:cs="Arial" w:eastAsia="Arial"/>
          <w:b/>
          <w:bCs/>
        </w:rPr>
        <w:t xml:space="preserve">Natural Home Fragrance Malaysia</w:t>
      </w:r>
    </w:p>
    <w:p>
      <w:pPr>
        <w:pStyle w:val="BodyText"/>
      </w:pPr>
      <w:r>
        <w:rPr>
          <w:rFonts w:ascii="Arial" w:hAnsi="Arial" w:cs="Arial" w:eastAsia="Arial"/>
        </w:rPr>
        <w:t xml:space="preserve">Description:</w:t>
      </w:r>
      <w:r>
        <w:rPr>
          <w:rFonts w:ascii="Arial" w:hAnsi="Arial" w:cs="Arial" w:eastAsia="Arial"/>
        </w:rPr>
        <w:t xml:space="preserve"> </w:t>
      </w:r>
      <w:r>
        <w:rPr>
          <w:rFonts w:ascii="Arial" w:hAnsi="Arial" w:cs="Arial" w:eastAsia="Arial"/>
          <w:b/>
          <w:bCs/>
        </w:rPr>
        <w:t xml:space="preserve">Shop the new Aroma Lestari Kopi Tenom Soy Candle — 200g natural soy wax, 40-hour burn, reusable ceramic jar. Free delivery. Order now.</w:t>
      </w:r>
    </w:p>
    <w:p>
      <w:pPr>
        <w:pStyle w:val="BodyText"/>
      </w:pPr>
      <w:r>
        <w:rPr>
          <w:rFonts w:ascii="Arial" w:hAnsi="Arial" w:cs="Arial" w:eastAsia="Arial"/>
        </w:rPr>
        <w:t xml:space="preserve">Call-to-action text:</w:t>
      </w:r>
      <w:r>
        <w:rPr>
          <w:rFonts w:ascii="Arial" w:hAnsi="Arial" w:cs="Arial" w:eastAsia="Arial"/>
        </w:rPr>
        <w:t xml:space="preserve"> </w:t>
      </w:r>
      <w:r>
        <w:rPr>
          <w:rFonts w:ascii="Arial" w:hAnsi="Arial" w:cs="Arial" w:eastAsia="Arial"/>
          <w:b/>
          <w:bCs/>
        </w:rPr>
        <w:t xml:space="preserve">Shop Now</w:t>
      </w:r>
      <w:r>
        <w:rPr>
          <w:rFonts w:ascii="Arial" w:hAnsi="Arial" w:cs="Arial" w:eastAsia="Arial"/>
        </w:rPr>
        <w:t xml:space="preserve"> </w:t>
      </w:r>
      <w:r>
        <w:rPr>
          <w:rFonts w:ascii="Arial" w:hAnsi="Arial" w:cs="Arial" w:eastAsia="Arial"/>
        </w:rPr>
        <w:t xml:space="preserve">linked to destination URL:</w:t>
      </w:r>
      <w:r>
        <w:rPr>
          <w:rFonts w:ascii="Arial" w:hAnsi="Arial" w:cs="Arial" w:eastAsia="Arial"/>
        </w:rPr>
        <w:t xml:space="preserve"> </w:t>
      </w:r>
      <w:r>
        <w:rPr>
          <w:rFonts w:ascii="Arial" w:hAnsi="Arial" w:cs="Arial" w:eastAsia="Arial"/>
          <w:b/>
          <w:bCs/>
        </w:rPr>
        <w:t xml:space="preserve">www.aromalestari.example.my/kopi-tenom</w:t>
      </w:r>
    </w:p>
    <w:p>
      <w:pPr>
        <w:pStyle w:val="BodyText"/>
      </w:pPr>
      <w:r>
        <w:rPr>
          <w:rFonts w:ascii="Arial" w:hAnsi="Arial" w:cs="Arial" w:eastAsia="Arial"/>
          <w:b/>
          <w:bCs/>
        </w:rPr>
        <w:t xml:space="preserve">C4. SEM performance</w:t>
      </w:r>
      <w:r>
        <w:rPr>
          <w:rFonts w:ascii="Arial" w:hAnsi="Arial" w:cs="Arial" w:eastAsia="Arial"/>
        </w:rPr>
        <w:t xml:space="preserve"> </w:t>
      </w:r>
      <w:r>
        <w:rPr>
          <w:rFonts w:ascii="Arial" w:hAnsi="Arial" w:cs="Arial" w:eastAsia="Arial"/>
          <w:i/>
          <w:iCs/>
        </w:rPr>
        <w:t xml:space="preserve">(rujuk Appendix 3 Part C)</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827"/>
        <w:gridCol w:w="3294"/>
        <w:gridCol w:w="1948"/>
      </w:tblGrid>
      <w:tr>
        <w:trPr>
          <w:tblHeader w:val="on"/>
          <w:cantSplit/>
        </w:trPr>
        <w:tc>
          <w:tcPr>
            <w:tcW w:type="dxa" w:w="382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INDICATOR</w:t>
            </w:r>
          </w:p>
        </w:tc>
        <w:tc>
          <w:tcPr>
            <w:tcW w:type="dxa" w:w="329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WORKING / FORMULA</w:t>
            </w:r>
          </w:p>
        </w:tc>
        <w:tc>
          <w:tcPr>
            <w:tcW w:type="dxa" w:w="194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ANSWER</w:t>
            </w:r>
          </w:p>
        </w:tc>
      </w:tr>
      <w:tr>
        <w:trPr>
          <w:cantSplit/>
        </w:trPr>
        <w:tc>
          <w:tcPr>
            <w:tcW w:type="dxa" w:w="382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Impressions</w:t>
            </w:r>
          </w:p>
        </w:tc>
        <w:tc>
          <w:tcPr>
            <w:tcW w:type="dxa" w:w="32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Given</w:t>
            </w:r>
          </w:p>
        </w:tc>
        <w:tc>
          <w:tcPr>
            <w:tcW w:type="dxa" w:w="194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96,000</w:t>
            </w:r>
          </w:p>
        </w:tc>
      </w:tr>
      <w:tr>
        <w:trPr>
          <w:cantSplit/>
        </w:trPr>
        <w:tc>
          <w:tcPr>
            <w:tcW w:type="dxa" w:w="382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Total number of clicks</w:t>
            </w:r>
          </w:p>
        </w:tc>
        <w:tc>
          <w:tcPr>
            <w:tcW w:type="dxa" w:w="32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Given</w:t>
            </w:r>
          </w:p>
        </w:tc>
        <w:tc>
          <w:tcPr>
            <w:tcW w:type="dxa" w:w="194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2,880</w:t>
            </w:r>
          </w:p>
        </w:tc>
      </w:tr>
      <w:tr>
        <w:trPr>
          <w:cantSplit/>
        </w:trPr>
        <w:tc>
          <w:tcPr>
            <w:tcW w:type="dxa" w:w="382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Click-through rate (%)</w:t>
            </w:r>
          </w:p>
        </w:tc>
        <w:tc>
          <w:tcPr>
            <w:tcW w:type="dxa" w:w="32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2,880 ÷ 96,000 × 100</w:t>
            </w:r>
          </w:p>
        </w:tc>
        <w:tc>
          <w:tcPr>
            <w:tcW w:type="dxa" w:w="194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3.00%</w:t>
            </w:r>
          </w:p>
        </w:tc>
      </w:tr>
      <w:tr>
        <w:trPr>
          <w:cantSplit/>
        </w:trPr>
        <w:tc>
          <w:tcPr>
            <w:tcW w:type="dxa" w:w="382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Conversion rate (%)</w:t>
            </w:r>
          </w:p>
        </w:tc>
        <w:tc>
          <w:tcPr>
            <w:tcW w:type="dxa" w:w="32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72 ÷ 2,880 × 100</w:t>
            </w:r>
          </w:p>
        </w:tc>
        <w:tc>
          <w:tcPr>
            <w:tcW w:type="dxa" w:w="194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2.50%</w:t>
            </w:r>
          </w:p>
        </w:tc>
      </w:tr>
      <w:tr>
        <w:trPr>
          <w:cantSplit/>
        </w:trPr>
        <w:tc>
          <w:tcPr>
            <w:tcW w:type="dxa" w:w="382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Average cost per click (RM)</w:t>
            </w:r>
          </w:p>
        </w:tc>
        <w:tc>
          <w:tcPr>
            <w:tcW w:type="dxa" w:w="32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RM1,152.00 ÷ 2,880</w:t>
            </w:r>
          </w:p>
        </w:tc>
        <w:tc>
          <w:tcPr>
            <w:tcW w:type="dxa" w:w="194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RM0.40</w:t>
            </w:r>
          </w:p>
        </w:tc>
      </w:tr>
      <w:tr>
        <w:trPr>
          <w:cantSplit/>
        </w:trPr>
        <w:tc>
          <w:tcPr>
            <w:tcW w:type="dxa" w:w="382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Cost per acquisition (RM)</w:t>
            </w:r>
          </w:p>
        </w:tc>
        <w:tc>
          <w:tcPr>
            <w:tcW w:type="dxa" w:w="32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RM1,152.00 ÷ 72</w:t>
            </w:r>
          </w:p>
        </w:tc>
        <w:tc>
          <w:tcPr>
            <w:tcW w:type="dxa" w:w="194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RM16.00</w:t>
            </w:r>
          </w:p>
        </w:tc>
      </w:tr>
    </w:tbl>
    <w:p>
      <w:pPr>
        <w:pStyle w:val="BodyText"/>
      </w:pPr>
      <w:r>
        <w:rPr>
          <w:rFonts w:ascii="Arial" w:hAnsi="Arial" w:cs="Arial" w:eastAsia="Arial"/>
        </w:rPr>
        <w:t xml:space="preserve">One (1) optimisation method:</w:t>
      </w:r>
      <w:r>
        <w:rPr>
          <w:rFonts w:ascii="Arial" w:hAnsi="Arial" w:cs="Arial" w:eastAsia="Arial"/>
        </w:rPr>
        <w:t xml:space="preserve"> </w:t>
      </w:r>
      <w:r>
        <w:rPr>
          <w:rFonts w:ascii="Arial" w:hAnsi="Arial" w:cs="Arial" w:eastAsia="Arial"/>
          <w:b/>
          <w:bCs/>
        </w:rPr>
        <w:t xml:space="preserve">Refine keyword match types and add negative keywords to exclude irrelevant search queries, reducing wasted spend and improving click-through and conversion rates.</w:t>
      </w:r>
    </w:p>
    <w:p>
      <w:r>
        <w:rPr>
          <w:rFonts w:ascii="Arial" w:hAnsi="Arial" w:cs="Arial" w:eastAsia="Arial"/>
        </w:rPr>
        <w:pict>
          <v:rect style="width:0;height:1.5pt" o:hralign="center" o:hrstd="t" o:hr="t"/>
        </w:pict>
      </w:r>
    </w:p>
    <w:bookmarkEnd w:id="12"/>
    <w:bookmarkStart w:id="13" w:name="borang-d-e-commerce-marketing-c04"/>
    <w:p>
      <w:pPr>
        <w:pStyle w:val="Heading2"/>
      </w:pPr>
      <w:r>
        <w:rPr>
          <w:rFonts w:ascii="Arial" w:hAnsi="Arial" w:cs="Arial" w:eastAsia="Arial"/>
        </w:rPr>
        <w:t xml:space="preserve">BORANG D — E-COMMERCE MARKETING (C04)</w:t>
      </w:r>
    </w:p>
    <w:p>
      <w:pPr>
        <w:pStyle w:val="FirstParagraph"/>
      </w:pPr>
      <w:r>
        <w:rPr>
          <w:rFonts w:ascii="Arial" w:hAnsi="Arial" w:cs="Arial" w:eastAsia="Arial"/>
          <w:b/>
          <w:bCs/>
        </w:rPr>
        <w:t xml:space="preserve">D1. Product information key-in</w:t>
      </w:r>
      <w:r>
        <w:rPr>
          <w:rFonts w:ascii="Arial" w:hAnsi="Arial" w:cs="Arial" w:eastAsia="Arial"/>
        </w:rPr>
        <w:t xml:space="preserve"> </w:t>
      </w:r>
      <w:r>
        <w:rPr>
          <w:rFonts w:ascii="Arial" w:hAnsi="Arial" w:cs="Arial" w:eastAsia="Arial"/>
          <w:i/>
          <w:iCs/>
        </w:rPr>
        <w:t xml:space="preserve">(kedua-dua SKU dari Appendix 1)</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406"/>
        <w:gridCol w:w="4004"/>
        <w:gridCol w:w="3660"/>
      </w:tblGrid>
      <w:tr>
        <w:trPr>
          <w:tblHeader w:val="on"/>
          <w:cantSplit/>
        </w:trPr>
        <w:tc>
          <w:tcPr>
            <w:tcW w:type="dxa" w:w="140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FIELD</w:t>
            </w:r>
          </w:p>
        </w:tc>
        <w:tc>
          <w:tcPr>
            <w:tcW w:type="dxa" w:w="400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AL-SC200-KT</w:t>
            </w:r>
          </w:p>
        </w:tc>
        <w:tc>
          <w:tcPr>
            <w:tcW w:type="dxa" w:w="366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AL-RF100-PS</w:t>
            </w:r>
          </w:p>
        </w:tc>
      </w:tr>
      <w:tr>
        <w:trPr>
          <w:cantSplit/>
        </w:trPr>
        <w:tc>
          <w:tcPr>
            <w:tcW w:type="dxa" w:w="14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Category</w:t>
            </w:r>
          </w:p>
        </w:tc>
        <w:tc>
          <w:tcPr>
            <w:tcW w:type="dxa" w:w="400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Home Fragrance / Candle</w:t>
            </w:r>
          </w:p>
        </w:tc>
        <w:tc>
          <w:tcPr>
            <w:tcW w:type="dxa" w:w="366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Home Fragrance / Refill</w:t>
            </w:r>
          </w:p>
        </w:tc>
      </w:tr>
      <w:tr>
        <w:trPr>
          <w:cantSplit/>
        </w:trPr>
        <w:tc>
          <w:tcPr>
            <w:tcW w:type="dxa" w:w="14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Description</w:t>
            </w:r>
          </w:p>
        </w:tc>
        <w:tc>
          <w:tcPr>
            <w:tcW w:type="dxa" w:w="400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200g natural soy wax candle with cotton wick in a reusable ceramic jar. Burn time approximately 40 hours. Roasted Tenom coffee accord. New launch.</w:t>
            </w:r>
          </w:p>
        </w:tc>
        <w:tc>
          <w:tcPr>
            <w:tcW w:type="dxa" w:w="366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100ml refill pouch for the Lestari reed diffuser bottle. Uses approximately 70% less packaging material than a new bottle.</w:t>
            </w:r>
          </w:p>
        </w:tc>
      </w:tr>
      <w:tr>
        <w:trPr>
          <w:cantSplit/>
        </w:trPr>
        <w:tc>
          <w:tcPr>
            <w:tcW w:type="dxa" w:w="14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Shipping</w:t>
            </w:r>
          </w:p>
        </w:tc>
        <w:tc>
          <w:tcPr>
            <w:tcW w:type="dxa" w:w="400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West Malaysia RM6.00 / East Malaysia RM12.00</w:t>
            </w:r>
          </w:p>
        </w:tc>
        <w:tc>
          <w:tcPr>
            <w:tcW w:type="dxa" w:w="366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West Malaysia RM5.00 / East Malaysia RM10.00</w:t>
            </w:r>
          </w:p>
        </w:tc>
      </w:tr>
      <w:tr>
        <w:trPr>
          <w:cantSplit/>
        </w:trPr>
        <w:tc>
          <w:tcPr>
            <w:tcW w:type="dxa" w:w="14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Product price (RM)</w:t>
            </w:r>
          </w:p>
        </w:tc>
        <w:tc>
          <w:tcPr>
            <w:tcW w:type="dxa" w:w="400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RM69.90</w:t>
            </w:r>
          </w:p>
        </w:tc>
        <w:tc>
          <w:tcPr>
            <w:tcW w:type="dxa" w:w="366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RM29.90</w:t>
            </w:r>
          </w:p>
        </w:tc>
      </w:tr>
    </w:tbl>
    <w:p>
      <w:pPr>
        <w:pStyle w:val="BodyText"/>
      </w:pPr>
      <w:r>
        <w:rPr>
          <w:rFonts w:ascii="Arial" w:hAnsi="Arial" w:cs="Arial" w:eastAsia="Arial"/>
          <w:b/>
          <w:bCs/>
        </w:rPr>
        <w:t xml:space="preserve">D2. Order processing</w:t>
      </w:r>
      <w:r>
        <w:rPr>
          <w:rFonts w:ascii="Arial" w:hAnsi="Arial" w:cs="Arial" w:eastAsia="Arial"/>
        </w:rPr>
        <w:t xml:space="preserve"> </w:t>
      </w:r>
      <w:r>
        <w:rPr>
          <w:rFonts w:ascii="Arial" w:hAnsi="Arial" w:cs="Arial" w:eastAsia="Arial"/>
          <w:i/>
          <w:iCs/>
        </w:rPr>
        <w:t xml:space="preserve">(rujuk Appendix 4 Part B)</w:t>
      </w:r>
    </w:p>
    <w:p>
      <w:pPr>
        <w:pStyle w:val="BodyText"/>
      </w:pPr>
      <w:r>
        <w:rPr>
          <w:rFonts w:ascii="Arial" w:hAnsi="Arial" w:cs="Arial" w:eastAsia="Arial"/>
        </w:rPr>
        <w:t xml:space="preserve">Order AL-2609-001 — Fulfilment state:</w:t>
      </w:r>
      <w:r>
        <w:rPr>
          <w:rFonts w:ascii="Arial" w:hAnsi="Arial" w:cs="Arial" w:eastAsia="Arial"/>
        </w:rPr>
        <w:t xml:space="preserve"> </w:t>
      </w:r>
      <w:r>
        <w:rPr>
          <w:rFonts w:ascii="Arial" w:hAnsi="Arial" w:cs="Arial" w:eastAsia="Arial"/>
          <w:b/>
          <w:bCs/>
        </w:rPr>
        <w:t xml:space="preserve">Pick up</w:t>
      </w:r>
      <w:r>
        <w:rPr>
          <w:rFonts w:ascii="Arial" w:hAnsi="Arial" w:cs="Arial" w:eastAsia="Arial"/>
        </w:rPr>
        <w:t xml:space="preserve"> </w:t>
      </w:r>
      <w:r>
        <w:rPr>
          <w:rFonts w:ascii="Arial" w:hAnsi="Arial" w:cs="Arial" w:eastAsia="Arial"/>
          <w:i/>
          <w:iCs/>
        </w:rPr>
        <w:t xml:space="preserve">(Parcel packed and ready; courier has not collected yet.)</w:t>
      </w:r>
    </w:p>
    <w:p>
      <w:pPr>
        <w:pStyle w:val="BodyText"/>
      </w:pPr>
      <w:r>
        <w:rPr>
          <w:rFonts w:ascii="Arial" w:hAnsi="Arial" w:cs="Arial" w:eastAsia="Arial"/>
        </w:rPr>
        <w:t xml:space="preserve">Order AL-2609-002 — Fulfilment state:</w:t>
      </w:r>
      <w:r>
        <w:rPr>
          <w:rFonts w:ascii="Arial" w:hAnsi="Arial" w:cs="Arial" w:eastAsia="Arial"/>
        </w:rPr>
        <w:t xml:space="preserve"> </w:t>
      </w:r>
      <w:r>
        <w:rPr>
          <w:rFonts w:ascii="Arial" w:hAnsi="Arial" w:cs="Arial" w:eastAsia="Arial"/>
          <w:b/>
          <w:bCs/>
        </w:rPr>
        <w:t xml:space="preserve">Delivery 1st attempt</w:t>
      </w:r>
      <w:r>
        <w:rPr>
          <w:rFonts w:ascii="Arial" w:hAnsi="Arial" w:cs="Arial" w:eastAsia="Arial"/>
        </w:rPr>
        <w:t xml:space="preserve"> </w:t>
      </w:r>
      <w:r>
        <w:rPr>
          <w:rFonts w:ascii="Arial" w:hAnsi="Arial" w:cs="Arial" w:eastAsia="Arial"/>
          <w:i/>
          <w:iCs/>
        </w:rPr>
        <w:t xml:space="preserve">(Courier attempted delivery once; nobody was at the address.)</w:t>
      </w:r>
    </w:p>
    <w:p>
      <w:pPr>
        <w:pStyle w:val="BodyText"/>
      </w:pPr>
      <w:r>
        <w:rPr>
          <w:rFonts w:ascii="Arial" w:hAnsi="Arial" w:cs="Arial" w:eastAsia="Arial"/>
        </w:rPr>
        <w:t xml:space="preserve">Order AL-2609-003 — Fulfilment state:</w:t>
      </w:r>
      <w:r>
        <w:rPr>
          <w:rFonts w:ascii="Arial" w:hAnsi="Arial" w:cs="Arial" w:eastAsia="Arial"/>
        </w:rPr>
        <w:t xml:space="preserve"> </w:t>
      </w:r>
      <w:r>
        <w:rPr>
          <w:rFonts w:ascii="Arial" w:hAnsi="Arial" w:cs="Arial" w:eastAsia="Arial"/>
          <w:b/>
          <w:bCs/>
        </w:rPr>
        <w:t xml:space="preserve">Cancellation</w:t>
      </w:r>
      <w:r>
        <w:rPr>
          <w:rFonts w:ascii="Arial" w:hAnsi="Arial" w:cs="Arial" w:eastAsia="Arial"/>
        </w:rPr>
        <w:t xml:space="preserve"> </w:t>
      </w:r>
      <w:r>
        <w:rPr>
          <w:rFonts w:ascii="Arial" w:hAnsi="Arial" w:cs="Arial" w:eastAsia="Arial"/>
          <w:i/>
          <w:iCs/>
        </w:rPr>
        <w:t xml:space="preserve">(Buyer requested cancellation before parcel was shipped.)</w:t>
      </w:r>
    </w:p>
    <w:p>
      <w:pPr>
        <w:pStyle w:val="BodyText"/>
      </w:pPr>
      <w:r>
        <w:rPr>
          <w:rFonts w:ascii="Arial" w:hAnsi="Arial" w:cs="Arial" w:eastAsia="Arial"/>
          <w:b/>
          <w:bCs/>
        </w:rPr>
        <w:t xml:space="preserve">D3. Stock monitoring</w:t>
      </w:r>
      <w:r>
        <w:rPr>
          <w:rFonts w:ascii="Arial" w:hAnsi="Arial" w:cs="Arial" w:eastAsia="Arial"/>
        </w:rPr>
        <w:t xml:space="preserve"> </w:t>
      </w:r>
      <w:r>
        <w:rPr>
          <w:rFonts w:ascii="Arial" w:hAnsi="Arial" w:cs="Arial" w:eastAsia="Arial"/>
          <w:i/>
          <w:iCs/>
        </w:rPr>
        <w:t xml:space="preserve">(rujuk Appendix 4 Part C)</w:t>
      </w:r>
    </w:p>
    <w:p>
      <w:pPr>
        <w:pStyle w:val="BodyText"/>
      </w:pPr>
      <w:r>
        <w:rPr>
          <w:rFonts w:ascii="Arial" w:hAnsi="Arial" w:cs="Arial" w:eastAsia="Arial"/>
        </w:rPr>
        <w:t xml:space="preserve">AL-SC200-KT — Stock level:</w:t>
      </w:r>
      <w:r>
        <w:rPr>
          <w:rFonts w:ascii="Arial" w:hAnsi="Arial" w:cs="Arial" w:eastAsia="Arial"/>
        </w:rPr>
        <w:t xml:space="preserve"> </w:t>
      </w:r>
      <w:r>
        <w:rPr>
          <w:rFonts w:ascii="Arial" w:hAnsi="Arial" w:cs="Arial" w:eastAsia="Arial"/>
          <w:b/>
          <w:bCs/>
        </w:rPr>
        <w:t xml:space="preserve">22</w:t>
      </w:r>
      <w:r>
        <w:rPr>
          <w:rFonts w:ascii="Arial" w:hAnsi="Arial" w:cs="Arial" w:eastAsia="Arial"/>
        </w:rPr>
        <w:t xml:space="preserve"> </w:t>
      </w:r>
      <w:r>
        <w:rPr>
          <w:rFonts w:ascii="Arial" w:hAnsi="Arial" w:cs="Arial" w:eastAsia="Arial"/>
        </w:rPr>
        <w:t xml:space="preserve">Safety stock:</w:t>
      </w:r>
      <w:r>
        <w:rPr>
          <w:rFonts w:ascii="Arial" w:hAnsi="Arial" w:cs="Arial" w:eastAsia="Arial"/>
        </w:rPr>
        <w:t xml:space="preserve"> </w:t>
      </w:r>
      <w:r>
        <w:rPr>
          <w:rFonts w:ascii="Arial" w:hAnsi="Arial" w:cs="Arial" w:eastAsia="Arial"/>
          <w:b/>
          <w:bCs/>
        </w:rPr>
        <w:t xml:space="preserve">40</w:t>
      </w:r>
      <w:r>
        <w:rPr>
          <w:rFonts w:ascii="Arial" w:hAnsi="Arial" w:cs="Arial" w:eastAsia="Arial"/>
        </w:rPr>
        <w:t xml:space="preserve"> </w:t>
      </w:r>
      <w:r>
        <w:rPr>
          <w:rFonts w:ascii="Arial" w:hAnsi="Arial" w:cs="Arial" w:eastAsia="Arial"/>
        </w:rPr>
        <w:t xml:space="preserve">Status (above / below safety stock):</w:t>
      </w:r>
      <w:r>
        <w:rPr>
          <w:rFonts w:ascii="Arial" w:hAnsi="Arial" w:cs="Arial" w:eastAsia="Arial"/>
        </w:rPr>
        <w:t xml:space="preserve"> </w:t>
      </w:r>
      <w:r>
        <w:rPr>
          <w:rFonts w:ascii="Arial" w:hAnsi="Arial" w:cs="Arial" w:eastAsia="Arial"/>
          <w:b/>
          <w:bCs/>
        </w:rPr>
        <w:t xml:space="preserve">Below safety stock</w:t>
      </w:r>
    </w:p>
    <w:p>
      <w:pPr>
        <w:pStyle w:val="BodyText"/>
      </w:pPr>
      <w:r>
        <w:rPr>
          <w:rFonts w:ascii="Arial" w:hAnsi="Arial" w:cs="Arial" w:eastAsia="Arial"/>
        </w:rPr>
        <w:t xml:space="preserve">AL-RF100-PS — Stock level:</w:t>
      </w:r>
      <w:r>
        <w:rPr>
          <w:rFonts w:ascii="Arial" w:hAnsi="Arial" w:cs="Arial" w:eastAsia="Arial"/>
        </w:rPr>
        <w:t xml:space="preserve"> </w:t>
      </w:r>
      <w:r>
        <w:rPr>
          <w:rFonts w:ascii="Arial" w:hAnsi="Arial" w:cs="Arial" w:eastAsia="Arial"/>
          <w:b/>
          <w:bCs/>
        </w:rPr>
        <w:t xml:space="preserve">148</w:t>
      </w:r>
      <w:r>
        <w:rPr>
          <w:rFonts w:ascii="Arial" w:hAnsi="Arial" w:cs="Arial" w:eastAsia="Arial"/>
        </w:rPr>
        <w:t xml:space="preserve"> </w:t>
      </w:r>
      <w:r>
        <w:rPr>
          <w:rFonts w:ascii="Arial" w:hAnsi="Arial" w:cs="Arial" w:eastAsia="Arial"/>
        </w:rPr>
        <w:t xml:space="preserve">Safety stock:</w:t>
      </w:r>
      <w:r>
        <w:rPr>
          <w:rFonts w:ascii="Arial" w:hAnsi="Arial" w:cs="Arial" w:eastAsia="Arial"/>
        </w:rPr>
        <w:t xml:space="preserve"> </w:t>
      </w:r>
      <w:r>
        <w:rPr>
          <w:rFonts w:ascii="Arial" w:hAnsi="Arial" w:cs="Arial" w:eastAsia="Arial"/>
          <w:b/>
          <w:bCs/>
        </w:rPr>
        <w:t xml:space="preserve">60</w:t>
      </w:r>
      <w:r>
        <w:rPr>
          <w:rFonts w:ascii="Arial" w:hAnsi="Arial" w:cs="Arial" w:eastAsia="Arial"/>
        </w:rPr>
        <w:t xml:space="preserve"> </w:t>
      </w:r>
      <w:r>
        <w:rPr>
          <w:rFonts w:ascii="Arial" w:hAnsi="Arial" w:cs="Arial" w:eastAsia="Arial"/>
        </w:rPr>
        <w:t xml:space="preserve">Status (above / below safety stock):</w:t>
      </w:r>
      <w:r>
        <w:rPr>
          <w:rFonts w:ascii="Arial" w:hAnsi="Arial" w:cs="Arial" w:eastAsia="Arial"/>
        </w:rPr>
        <w:t xml:space="preserve"> </w:t>
      </w:r>
      <w:r>
        <w:rPr>
          <w:rFonts w:ascii="Arial" w:hAnsi="Arial" w:cs="Arial" w:eastAsia="Arial"/>
          <w:b/>
          <w:bCs/>
        </w:rPr>
        <w:t xml:space="preserve">Above safety stock</w:t>
      </w:r>
    </w:p>
    <w:p>
      <w:pPr>
        <w:pStyle w:val="BodyText"/>
      </w:pPr>
      <w:r>
        <w:rPr>
          <w:rFonts w:ascii="Arial" w:hAnsi="Arial" w:cs="Arial" w:eastAsia="Arial"/>
          <w:b/>
          <w:bCs/>
        </w:rPr>
        <w:t xml:space="preserve">D4. Store management report — list five (5) contents:</w:t>
      </w:r>
    </w:p>
    <w:p>
      <w:pPr>
        <w:pStyle w:val="BodyText"/>
      </w:pPr>
      <w:r>
        <w:rPr>
          <w:rFonts w:ascii="Arial" w:hAnsi="Arial" w:cs="Arial" w:eastAsia="Arial"/>
          <w:b/>
          <w:bCs/>
        </w:rPr>
        <w:t xml:space="preserve">(1) Sales performance summary (total orders and total sales value)</w:t>
      </w:r>
      <w:r>
        <w:rPr>
          <w:rFonts w:ascii="Arial" w:hAnsi="Arial" w:cs="Arial" w:eastAsia="Arial"/>
        </w:rPr>
        <w:t xml:space="preserve"> </w:t>
      </w:r>
      <w:r>
        <w:rPr>
          <w:rFonts w:ascii="Arial" w:hAnsi="Arial" w:cs="Arial" w:eastAsia="Arial"/>
          <w:b/>
          <w:bCs/>
        </w:rPr>
        <w:t xml:space="preserve">(2) Stock inventory report (stock level vs safety stock per SKU)</w:t>
      </w:r>
      <w:r>
        <w:rPr>
          <w:rFonts w:ascii="Arial" w:hAnsi="Arial" w:cs="Arial" w:eastAsia="Arial"/>
        </w:rPr>
        <w:t xml:space="preserve"> </w:t>
      </w:r>
      <w:r>
        <w:rPr>
          <w:rFonts w:ascii="Arial" w:hAnsi="Arial" w:cs="Arial" w:eastAsia="Arial"/>
          <w:b/>
          <w:bCs/>
        </w:rPr>
        <w:t xml:space="preserve">(3) Order fulfilment status report</w:t>
      </w:r>
      <w:r>
        <w:rPr>
          <w:rFonts w:ascii="Arial" w:hAnsi="Arial" w:cs="Arial" w:eastAsia="Arial"/>
        </w:rPr>
        <w:t xml:space="preserve"> </w:t>
      </w:r>
      <w:r>
        <w:rPr>
          <w:rFonts w:ascii="Arial" w:hAnsi="Arial" w:cs="Arial" w:eastAsia="Arial"/>
          <w:b/>
          <w:bCs/>
        </w:rPr>
        <w:t xml:space="preserve">(4) Customer ratings and reviews summary</w:t>
      </w:r>
      <w:r>
        <w:rPr>
          <w:rFonts w:ascii="Arial" w:hAnsi="Arial" w:cs="Arial" w:eastAsia="Arial"/>
        </w:rPr>
        <w:t xml:space="preserve"> </w:t>
      </w:r>
      <w:r>
        <w:rPr>
          <w:rFonts w:ascii="Arial" w:hAnsi="Arial" w:cs="Arial" w:eastAsia="Arial"/>
          <w:b/>
          <w:bCs/>
        </w:rPr>
        <w:t xml:space="preserve">(5) Conversion rate and store pageview analytics</w:t>
      </w:r>
    </w:p>
    <w:p>
      <w:pPr>
        <w:pStyle w:val="BodyText"/>
      </w:pPr>
      <w:r>
        <w:rPr>
          <w:rFonts w:ascii="Arial" w:hAnsi="Arial" w:cs="Arial" w:eastAsia="Arial"/>
          <w:i/>
          <w:iCs/>
        </w:rPr>
        <w:t xml:space="preserve">(Any five valid store management report contents accepted.)</w:t>
      </w:r>
    </w:p>
    <w:p>
      <w:pPr>
        <w:pStyle w:val="BodyText"/>
      </w:pPr>
      <w:r>
        <w:rPr>
          <w:rFonts w:ascii="Arial" w:hAnsi="Arial" w:cs="Arial" w:eastAsia="Arial"/>
          <w:b/>
          <w:bCs/>
        </w:rPr>
        <w:t xml:space="preserve">D5. E-commerce performance</w:t>
      </w:r>
      <w:r>
        <w:rPr>
          <w:rFonts w:ascii="Arial" w:hAnsi="Arial" w:cs="Arial" w:eastAsia="Arial"/>
        </w:rPr>
        <w:t xml:space="preserve"> </w:t>
      </w:r>
      <w:r>
        <w:rPr>
          <w:rFonts w:ascii="Arial" w:hAnsi="Arial" w:cs="Arial" w:eastAsia="Arial"/>
          <w:i/>
          <w:iCs/>
        </w:rPr>
        <w:t xml:space="preserve">(rujuk Appendix 3 Part D)</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4607"/>
        <w:gridCol w:w="2473"/>
        <w:gridCol w:w="1989"/>
      </w:tblGrid>
      <w:tr>
        <w:trPr>
          <w:tblHeader w:val="on"/>
          <w:cantSplit/>
        </w:trPr>
        <w:tc>
          <w:tcPr>
            <w:tcW w:type="dxa" w:w="460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INDICATOR</w:t>
            </w:r>
          </w:p>
        </w:tc>
        <w:tc>
          <w:tcPr>
            <w:tcW w:type="dxa" w:w="247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WORKING / FORMULA</w:t>
            </w:r>
          </w:p>
        </w:tc>
        <w:tc>
          <w:tcPr>
            <w:tcW w:type="dxa" w:w="199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ANSWER</w:t>
            </w:r>
          </w:p>
        </w:tc>
      </w:tr>
      <w:tr>
        <w:trPr>
          <w:cantSplit/>
        </w:trPr>
        <w:tc>
          <w:tcPr>
            <w:tcW w:type="dxa" w:w="46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Pageview</w:t>
            </w:r>
          </w:p>
        </w:tc>
        <w:tc>
          <w:tcPr>
            <w:tcW w:type="dxa" w:w="247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Given</w:t>
            </w:r>
          </w:p>
        </w:tc>
        <w:tc>
          <w:tcPr>
            <w:tcW w:type="dxa" w:w="199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15,000</w:t>
            </w:r>
          </w:p>
        </w:tc>
      </w:tr>
      <w:tr>
        <w:trPr>
          <w:cantSplit/>
        </w:trPr>
        <w:tc>
          <w:tcPr>
            <w:tcW w:type="dxa" w:w="46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Total orders</w:t>
            </w:r>
          </w:p>
        </w:tc>
        <w:tc>
          <w:tcPr>
            <w:tcW w:type="dxa" w:w="247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Given</w:t>
            </w:r>
          </w:p>
        </w:tc>
        <w:tc>
          <w:tcPr>
            <w:tcW w:type="dxa" w:w="199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240</w:t>
            </w:r>
          </w:p>
        </w:tc>
      </w:tr>
      <w:tr>
        <w:trPr>
          <w:cantSplit/>
        </w:trPr>
        <w:tc>
          <w:tcPr>
            <w:tcW w:type="dxa" w:w="46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Conversion rate (%) = total orders ÷ number of visits × 100</w:t>
            </w:r>
          </w:p>
        </w:tc>
        <w:tc>
          <w:tcPr>
            <w:tcW w:type="dxa" w:w="247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240 ÷ 6,000 × 100</w:t>
            </w:r>
          </w:p>
        </w:tc>
        <w:tc>
          <w:tcPr>
            <w:tcW w:type="dxa" w:w="199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4.00%</w:t>
            </w:r>
          </w:p>
        </w:tc>
      </w:tr>
      <w:tr>
        <w:trPr>
          <w:cantSplit/>
        </w:trPr>
        <w:tc>
          <w:tcPr>
            <w:tcW w:type="dxa" w:w="46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Shop rating</w:t>
            </w:r>
          </w:p>
        </w:tc>
        <w:tc>
          <w:tcPr>
            <w:tcW w:type="dxa" w:w="247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828 ÷ 180</w:t>
            </w:r>
          </w:p>
        </w:tc>
        <w:tc>
          <w:tcPr>
            <w:tcW w:type="dxa" w:w="199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4.60</w:t>
            </w:r>
          </w:p>
        </w:tc>
      </w:tr>
      <w:tr>
        <w:trPr>
          <w:cantSplit/>
        </w:trPr>
        <w:tc>
          <w:tcPr>
            <w:tcW w:type="dxa" w:w="46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Total sales (RM)</w:t>
            </w:r>
          </w:p>
        </w:tc>
        <w:tc>
          <w:tcPr>
            <w:tcW w:type="dxa" w:w="247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Given</w:t>
            </w:r>
          </w:p>
        </w:tc>
        <w:tc>
          <w:tcPr>
            <w:tcW w:type="dxa" w:w="199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RM12,456.00</w:t>
            </w:r>
          </w:p>
        </w:tc>
      </w:tr>
    </w:tbl>
    <w:p>
      <w:r>
        <w:rPr>
          <w:rFonts w:ascii="Arial" w:hAnsi="Arial" w:cs="Arial" w:eastAsia="Arial"/>
        </w:rPr>
        <w:pict>
          <v:rect style="width:0;height:1.5pt" o:hralign="center" o:hrstd="t" o:hr="t"/>
        </w:pict>
      </w:r>
    </w:p>
    <w:bookmarkEnd w:id="13"/>
    <w:bookmarkStart w:id="16" w:name="borang-e-mobile-email-marketing-c05-c06"/>
    <w:p>
      <w:pPr>
        <w:pStyle w:val="Heading2"/>
      </w:pPr>
      <w:r>
        <w:rPr>
          <w:rFonts w:ascii="Arial" w:hAnsi="Arial" w:cs="Arial" w:eastAsia="Arial"/>
        </w:rPr>
        <w:t xml:space="preserve">BORANG E — MOBILE &amp; EMAIL MARKETING (C05, C06)</w:t>
      </w:r>
    </w:p>
    <w:bookmarkStart w:id="14" w:name="bahagian-1-mobile-marketing-c05"/>
    <w:p>
      <w:pPr>
        <w:pStyle w:val="Heading3"/>
      </w:pPr>
      <w:r>
        <w:rPr>
          <w:rFonts w:ascii="Arial" w:hAnsi="Arial" w:cs="Arial" w:eastAsia="Arial"/>
        </w:rPr>
        <w:t xml:space="preserve">BAHAGIAN 1 — MOBILE MARKETING (C05)</w:t>
      </w:r>
    </w:p>
    <w:p>
      <w:pPr>
        <w:pStyle w:val="FirstParagraph"/>
      </w:pPr>
      <w:r>
        <w:rPr>
          <w:rFonts w:ascii="Arial" w:hAnsi="Arial" w:cs="Arial" w:eastAsia="Arial"/>
          <w:b/>
          <w:bCs/>
        </w:rPr>
        <w:t xml:space="preserve">E1. Broadcast message</w:t>
      </w:r>
      <w:r>
        <w:rPr>
          <w:rFonts w:ascii="Arial" w:hAnsi="Arial" w:cs="Arial" w:eastAsia="Arial"/>
        </w:rPr>
        <w:t xml:space="preserve"> </w:t>
      </w:r>
      <w:r>
        <w:rPr>
          <w:rFonts w:ascii="Arial" w:hAnsi="Arial" w:cs="Arial" w:eastAsia="Arial"/>
          <w:i/>
          <w:iCs/>
        </w:rPr>
        <w:t xml:space="preserve">(tidak melebihi 160 aksara)</w:t>
      </w:r>
    </w:p>
    <w:p>
      <w:pPr>
        <w:pStyle w:val="BodyText"/>
      </w:pPr>
      <w:r>
        <w:rPr>
          <w:rFonts w:ascii="Arial" w:hAnsi="Arial" w:cs="Arial" w:eastAsia="Arial"/>
          <w:b/>
          <w:bCs/>
        </w:rPr>
        <w:t xml:space="preserve">AROMA LESTARI: New Kopi Tenom Soy Candle — natural soy wax, 40-hr burn, reusable jar. RM69.90. Order now: www.aromalestari.example.my/kopi-tenom</w:t>
      </w:r>
    </w:p>
    <w:p>
      <w:pPr>
        <w:pStyle w:val="BodyText"/>
      </w:pPr>
      <w:r>
        <w:rPr>
          <w:rFonts w:ascii="Arial" w:hAnsi="Arial" w:cs="Arial" w:eastAsia="Arial"/>
          <w:i/>
          <w:iCs/>
        </w:rPr>
        <w:t xml:space="preserve">(Must not exceed 160 characters and must accurately reference the product from Appendix 1.)</w:t>
      </w:r>
    </w:p>
    <w:p>
      <w:pPr>
        <w:pStyle w:val="BodyText"/>
      </w:pPr>
      <w:r>
        <w:rPr>
          <w:rFonts w:ascii="Arial" w:hAnsi="Arial" w:cs="Arial" w:eastAsia="Arial"/>
        </w:rPr>
        <w:t xml:space="preserve">Mobile channel preference: ☒</w:t>
      </w:r>
      <w:r>
        <w:rPr>
          <w:rFonts w:ascii="Arial" w:hAnsi="Arial" w:cs="Arial" w:eastAsia="Arial"/>
        </w:rPr>
        <w:t xml:space="preserve"> </w:t>
      </w:r>
      <w:r>
        <w:rPr>
          <w:rFonts w:ascii="Arial" w:hAnsi="Arial" w:cs="Arial" w:eastAsia="Arial"/>
          <w:b/>
          <w:bCs/>
        </w:rPr>
        <w:t xml:space="preserve">WhatsApp blaster</w:t>
      </w:r>
    </w:p>
    <w:p>
      <w:pPr>
        <w:pStyle w:val="BodyText"/>
      </w:pPr>
      <w:r>
        <w:rPr>
          <w:rFonts w:ascii="Arial" w:hAnsi="Arial" w:cs="Arial" w:eastAsia="Arial"/>
          <w:i/>
          <w:iCs/>
        </w:rPr>
        <w:t xml:space="preserve">(SMS also acceptable with valid justification.)</w:t>
      </w:r>
    </w:p>
    <w:p>
      <w:pPr>
        <w:pStyle w:val="BodyText"/>
      </w:pPr>
      <w:r>
        <w:rPr>
          <w:rFonts w:ascii="Arial" w:hAnsi="Arial" w:cs="Arial" w:eastAsia="Arial"/>
          <w:b/>
          <w:bCs/>
        </w:rPr>
        <w:t xml:space="preserve">E2. Mobile performance</w:t>
      </w:r>
      <w:r>
        <w:rPr>
          <w:rFonts w:ascii="Arial" w:hAnsi="Arial" w:cs="Arial" w:eastAsia="Arial"/>
        </w:rPr>
        <w:t xml:space="preserve"> </w:t>
      </w:r>
      <w:r>
        <w:rPr>
          <w:rFonts w:ascii="Arial" w:hAnsi="Arial" w:cs="Arial" w:eastAsia="Arial"/>
          <w:i/>
          <w:iCs/>
        </w:rPr>
        <w:t xml:space="preserve">(rujuk Appendix 3 Part E)</w:t>
      </w:r>
    </w:p>
    <w:p>
      <w:pPr>
        <w:pStyle w:val="BodyText"/>
      </w:pPr>
      <w:r>
        <w:rPr>
          <w:rFonts w:ascii="Arial" w:hAnsi="Arial" w:cs="Arial" w:eastAsia="Arial"/>
        </w:rPr>
        <w:t xml:space="preserve">Reach (messages delivered):</w:t>
      </w:r>
      <w:r>
        <w:rPr>
          <w:rFonts w:ascii="Arial" w:hAnsi="Arial" w:cs="Arial" w:eastAsia="Arial"/>
        </w:rPr>
        <w:t xml:space="preserve"> </w:t>
      </w:r>
      <w:r>
        <w:rPr>
          <w:rFonts w:ascii="Arial" w:hAnsi="Arial" w:cs="Arial" w:eastAsia="Arial"/>
          <w:b/>
          <w:bCs/>
        </w:rPr>
        <w:t xml:space="preserve">1,900</w:t>
      </w:r>
    </w:p>
    <w:p>
      <w:pPr>
        <w:pStyle w:val="BodyText"/>
      </w:pPr>
      <w:r>
        <w:rPr>
          <w:rFonts w:ascii="Arial" w:hAnsi="Arial" w:cs="Arial" w:eastAsia="Arial"/>
        </w:rPr>
        <w:t xml:space="preserve">Open rate = 1,140 ÷ 1,900 × 100 =</w:t>
      </w:r>
      <w:r>
        <w:rPr>
          <w:rFonts w:ascii="Arial" w:hAnsi="Arial" w:cs="Arial" w:eastAsia="Arial"/>
        </w:rPr>
        <w:t xml:space="preserve"> </w:t>
      </w:r>
      <w:r>
        <w:rPr>
          <w:rFonts w:ascii="Arial" w:hAnsi="Arial" w:cs="Arial" w:eastAsia="Arial"/>
          <w:b/>
          <w:bCs/>
        </w:rPr>
        <w:t xml:space="preserve">60.00 %</w:t>
      </w:r>
    </w:p>
    <w:p>
      <w:pPr>
        <w:pStyle w:val="BodyText"/>
      </w:pPr>
      <w:r>
        <w:rPr>
          <w:rFonts w:ascii="Arial" w:hAnsi="Arial" w:cs="Arial" w:eastAsia="Arial"/>
        </w:rPr>
        <w:t xml:space="preserve">Response rate = 228 ÷ 1,900 × 100 =</w:t>
      </w:r>
      <w:r>
        <w:rPr>
          <w:rFonts w:ascii="Arial" w:hAnsi="Arial" w:cs="Arial" w:eastAsia="Arial"/>
        </w:rPr>
        <w:t xml:space="preserve"> </w:t>
      </w:r>
      <w:r>
        <w:rPr>
          <w:rFonts w:ascii="Arial" w:hAnsi="Arial" w:cs="Arial" w:eastAsia="Arial"/>
          <w:b/>
          <w:bCs/>
        </w:rPr>
        <w:t xml:space="preserve">12.00 %</w:t>
      </w:r>
    </w:p>
    <w:p>
      <w:pPr>
        <w:pStyle w:val="BodyText"/>
      </w:pPr>
      <w:r>
        <w:rPr>
          <w:rFonts w:ascii="Arial" w:hAnsi="Arial" w:cs="Arial" w:eastAsia="Arial"/>
        </w:rPr>
        <w:t xml:space="preserve">Conversion rate = 57 ÷ 1,900 × 100 =</w:t>
      </w:r>
      <w:r>
        <w:rPr>
          <w:rFonts w:ascii="Arial" w:hAnsi="Arial" w:cs="Arial" w:eastAsia="Arial"/>
        </w:rPr>
        <w:t xml:space="preserve"> </w:t>
      </w:r>
      <w:r>
        <w:rPr>
          <w:rFonts w:ascii="Arial" w:hAnsi="Arial" w:cs="Arial" w:eastAsia="Arial"/>
          <w:b/>
          <w:bCs/>
        </w:rPr>
        <w:t xml:space="preserve">3.00 %</w:t>
      </w:r>
    </w:p>
    <w:p>
      <w:pPr>
        <w:pStyle w:val="BodyText"/>
      </w:pPr>
      <w:r>
        <w:rPr>
          <w:rFonts w:ascii="Arial" w:hAnsi="Arial" w:cs="Arial" w:eastAsia="Arial"/>
        </w:rPr>
        <w:t xml:space="preserve">One (1) optimisation method:</w:t>
      </w:r>
      <w:r>
        <w:rPr>
          <w:rFonts w:ascii="Arial" w:hAnsi="Arial" w:cs="Arial" w:eastAsia="Arial"/>
        </w:rPr>
        <w:t xml:space="preserve"> </w:t>
      </w:r>
      <w:r>
        <w:rPr>
          <w:rFonts w:ascii="Arial" w:hAnsi="Arial" w:cs="Arial" w:eastAsia="Arial"/>
          <w:b/>
          <w:bCs/>
        </w:rPr>
        <w:t xml:space="preserve">Personalise the broadcast message with the recipient’s name or previous purchase interest to increase the open rate and response rate.</w:t>
      </w:r>
    </w:p>
    <w:bookmarkEnd w:id="14"/>
    <w:bookmarkStart w:id="15" w:name="bahagian-2-email-marketing-c06"/>
    <w:p>
      <w:pPr>
        <w:pStyle w:val="Heading3"/>
      </w:pPr>
      <w:r>
        <w:rPr>
          <w:rFonts w:ascii="Arial" w:hAnsi="Arial" w:cs="Arial" w:eastAsia="Arial"/>
        </w:rPr>
        <w:t xml:space="preserve">BAHAGIAN 2 — EMAIL MARKETING (C06)</w:t>
      </w:r>
    </w:p>
    <w:p>
      <w:pPr>
        <w:pStyle w:val="FirstParagraph"/>
      </w:pPr>
      <w:r>
        <w:rPr>
          <w:rFonts w:ascii="Arial" w:hAnsi="Arial" w:cs="Arial" w:eastAsia="Arial"/>
          <w:b/>
          <w:bCs/>
        </w:rPr>
        <w:t xml:space="preserve">E3. Audience segment</w:t>
      </w:r>
      <w:r>
        <w:rPr>
          <w:rFonts w:ascii="Arial" w:hAnsi="Arial" w:cs="Arial" w:eastAsia="Arial"/>
        </w:rPr>
        <w:t xml:space="preserve"> </w:t>
      </w:r>
      <w:r>
        <w:rPr>
          <w:rFonts w:ascii="Arial" w:hAnsi="Arial" w:cs="Arial" w:eastAsia="Arial"/>
          <w:i/>
          <w:iCs/>
        </w:rPr>
        <w:t xml:space="preserve">(dari Appendix 2)</w:t>
      </w:r>
    </w:p>
    <w:p>
      <w:pPr>
        <w:pStyle w:val="BodyText"/>
      </w:pPr>
      <w:r>
        <w:rPr>
          <w:rFonts w:ascii="Arial" w:hAnsi="Arial" w:cs="Arial" w:eastAsia="Arial"/>
        </w:rPr>
        <w:t xml:space="preserve">Selected segment: ☒</w:t>
      </w:r>
      <w:r>
        <w:rPr>
          <w:rFonts w:ascii="Arial" w:hAnsi="Arial" w:cs="Arial" w:eastAsia="Arial"/>
        </w:rPr>
        <w:t xml:space="preserve"> </w:t>
      </w:r>
      <w:r>
        <w:rPr>
          <w:rFonts w:ascii="Arial" w:hAnsi="Arial" w:cs="Arial" w:eastAsia="Arial"/>
          <w:b/>
          <w:bCs/>
        </w:rPr>
        <w:t xml:space="preserve">Segment A</w:t>
      </w:r>
      <w:r>
        <w:rPr>
          <w:rFonts w:ascii="Arial" w:hAnsi="Arial" w:cs="Arial" w:eastAsia="Arial"/>
        </w:rPr>
        <w:t xml:space="preserve"> </w:t>
      </w:r>
      <w:r>
        <w:rPr>
          <w:rFonts w:ascii="Arial" w:hAnsi="Arial" w:cs="Arial" w:eastAsia="Arial"/>
        </w:rPr>
        <w:t xml:space="preserve">(Existing customers, 5,000 contacts, historical open rate 32%)</w:t>
      </w:r>
    </w:p>
    <w:p>
      <w:pPr>
        <w:pStyle w:val="BodyText"/>
      </w:pPr>
      <w:r>
        <w:rPr>
          <w:rFonts w:ascii="Arial" w:hAnsi="Arial" w:cs="Arial" w:eastAsia="Arial"/>
        </w:rPr>
        <w:t xml:space="preserve">Reason:</w:t>
      </w:r>
      <w:r>
        <w:rPr>
          <w:rFonts w:ascii="Arial" w:hAnsi="Arial" w:cs="Arial" w:eastAsia="Arial"/>
        </w:rPr>
        <w:t xml:space="preserve"> </w:t>
      </w:r>
      <w:r>
        <w:rPr>
          <w:rFonts w:ascii="Arial" w:hAnsi="Arial" w:cs="Arial" w:eastAsia="Arial"/>
          <w:b/>
          <w:bCs/>
        </w:rPr>
        <w:t xml:space="preserve">Segment A consists of existing customers who purchased within the last 6 months and have a higher historical open rate (32%) compared to Segment B (14%). They are more likely to respond to a new product launch and convert to purchase.</w:t>
      </w:r>
    </w:p>
    <w:p>
      <w:pPr>
        <w:pStyle w:val="BodyText"/>
      </w:pPr>
      <w:r>
        <w:rPr>
          <w:rFonts w:ascii="Arial" w:hAnsi="Arial" w:cs="Arial" w:eastAsia="Arial"/>
          <w:i/>
          <w:iCs/>
        </w:rPr>
        <w:t xml:space="preserve">(Segment B also acceptable with valid justification, e.g. larger audience reach for brand awareness.)</w:t>
      </w:r>
    </w:p>
    <w:p>
      <w:pPr>
        <w:pStyle w:val="BodyText"/>
      </w:pPr>
      <w:r>
        <w:rPr>
          <w:rFonts w:ascii="Arial" w:hAnsi="Arial" w:cs="Arial" w:eastAsia="Arial"/>
          <w:b/>
          <w:bCs/>
        </w:rPr>
        <w:t xml:space="preserve">E4. Email content</w:t>
      </w:r>
    </w:p>
    <w:p>
      <w:pPr>
        <w:pStyle w:val="BodyText"/>
      </w:pPr>
      <w:r>
        <w:rPr>
          <w:rFonts w:ascii="Arial" w:hAnsi="Arial" w:cs="Arial" w:eastAsia="Arial"/>
        </w:rPr>
        <w:t xml:space="preserve">Subject line:</w:t>
      </w:r>
      <w:r>
        <w:rPr>
          <w:rFonts w:ascii="Arial" w:hAnsi="Arial" w:cs="Arial" w:eastAsia="Arial"/>
        </w:rPr>
        <w:t xml:space="preserve"> </w:t>
      </w:r>
      <w:r>
        <w:rPr>
          <w:rFonts w:ascii="Arial" w:hAnsi="Arial" w:cs="Arial" w:eastAsia="Arial"/>
          <w:b/>
          <w:bCs/>
        </w:rPr>
        <w:t xml:space="preserve">Introducing Kopi Tenom — Our Newest Soy Candle, Just for You</w:t>
      </w:r>
    </w:p>
    <w:p>
      <w:pPr>
        <w:pStyle w:val="BodyText"/>
      </w:pPr>
      <w:r>
        <w:rPr>
          <w:rFonts w:ascii="Arial" w:hAnsi="Arial" w:cs="Arial" w:eastAsia="Arial"/>
        </w:rPr>
        <w:t xml:space="preserve">Email body:</w:t>
      </w:r>
    </w:p>
    <w:p>
      <w:pPr>
        <w:pStyle w:val="BodyText"/>
      </w:pPr>
      <w:r>
        <w:rPr>
          <w:rFonts w:ascii="Arial" w:hAnsi="Arial" w:cs="Arial" w:eastAsia="Arial"/>
          <w:b/>
          <w:bCs/>
        </w:rPr>
        <w:t xml:space="preserve">Dear [Name],</w:t>
      </w:r>
    </w:p>
    <w:p>
      <w:pPr>
        <w:pStyle w:val="BodyText"/>
      </w:pPr>
      <w:r>
        <w:rPr>
          <w:rFonts w:ascii="Arial" w:hAnsi="Arial" w:cs="Arial" w:eastAsia="Arial"/>
          <w:b/>
          <w:bCs/>
        </w:rPr>
        <w:t xml:space="preserve">We are excited to introduce the new Kopi Tenom Soy Candle — a rich roasted Tenom coffee aroma in a 200g natural soy wax candle with a reusable ceramic jar. Burn time: approximately 40 hours.</w:t>
      </w:r>
    </w:p>
    <w:p>
      <w:pPr>
        <w:pStyle w:val="BodyText"/>
      </w:pPr>
      <w:r>
        <w:rPr>
          <w:rFonts w:ascii="Arial" w:hAnsi="Arial" w:cs="Arial" w:eastAsia="Arial"/>
          <w:b/>
          <w:bCs/>
        </w:rPr>
        <w:t xml:space="preserve">As one of our valued customers, you are among the first to know about this new launch. Order today and enjoy free delivery (West Malaysia) on your purchase.</w:t>
      </w:r>
    </w:p>
    <w:p>
      <w:pPr>
        <w:pStyle w:val="BodyText"/>
      </w:pPr>
      <w:r>
        <w:rPr>
          <w:rFonts w:ascii="Arial" w:hAnsi="Arial" w:cs="Arial" w:eastAsia="Arial"/>
        </w:rPr>
        <w:t xml:space="preserve">Call-to-action:</w:t>
      </w:r>
      <w:r>
        <w:rPr>
          <w:rFonts w:ascii="Arial" w:hAnsi="Arial" w:cs="Arial" w:eastAsia="Arial"/>
        </w:rPr>
        <w:t xml:space="preserve"> </w:t>
      </w:r>
      <w:r>
        <w:rPr>
          <w:rFonts w:ascii="Arial" w:hAnsi="Arial" w:cs="Arial" w:eastAsia="Arial"/>
          <w:b/>
          <w:bCs/>
        </w:rPr>
        <w:t xml:space="preserve">Shop Now — www.aromalestari.example.my/kopi-tenom</w:t>
      </w:r>
    </w:p>
    <w:p>
      <w:pPr>
        <w:pStyle w:val="BodyText"/>
      </w:pPr>
      <w:r>
        <w:rPr>
          <w:rFonts w:ascii="Arial" w:hAnsi="Arial" w:cs="Arial" w:eastAsia="Arial"/>
          <w:b/>
          <w:bCs/>
        </w:rPr>
        <w:t xml:space="preserve">E5. Email performance</w:t>
      </w:r>
      <w:r>
        <w:rPr>
          <w:rFonts w:ascii="Arial" w:hAnsi="Arial" w:cs="Arial" w:eastAsia="Arial"/>
        </w:rPr>
        <w:t xml:space="preserve"> </w:t>
      </w:r>
      <w:r>
        <w:rPr>
          <w:rFonts w:ascii="Arial" w:hAnsi="Arial" w:cs="Arial" w:eastAsia="Arial"/>
          <w:i/>
          <w:iCs/>
        </w:rPr>
        <w:t xml:space="preserve">(rujuk Appendix 3 Part F)</w:t>
      </w:r>
    </w:p>
    <w:p>
      <w:pPr>
        <w:pStyle w:val="BodyText"/>
      </w:pPr>
      <w:r>
        <w:rPr>
          <w:rFonts w:ascii="Arial" w:hAnsi="Arial" w:cs="Arial" w:eastAsia="Arial"/>
        </w:rPr>
        <w:t xml:space="preserve">Total number of emails sent:</w:t>
      </w:r>
      <w:r>
        <w:rPr>
          <w:rFonts w:ascii="Arial" w:hAnsi="Arial" w:cs="Arial" w:eastAsia="Arial"/>
        </w:rPr>
        <w:t xml:space="preserve"> </w:t>
      </w:r>
      <w:r>
        <w:rPr>
          <w:rFonts w:ascii="Arial" w:hAnsi="Arial" w:cs="Arial" w:eastAsia="Arial"/>
          <w:b/>
          <w:bCs/>
        </w:rPr>
        <w:t xml:space="preserve">5,000</w:t>
      </w:r>
    </w:p>
    <w:p>
      <w:pPr>
        <w:pStyle w:val="BodyText"/>
      </w:pPr>
      <w:r>
        <w:rPr>
          <w:rFonts w:ascii="Arial" w:hAnsi="Arial" w:cs="Arial" w:eastAsia="Arial"/>
        </w:rPr>
        <w:t xml:space="preserve">Open rate = 1,455 ÷ 4,850 × 100 =</w:t>
      </w:r>
      <w:r>
        <w:rPr>
          <w:rFonts w:ascii="Arial" w:hAnsi="Arial" w:cs="Arial" w:eastAsia="Arial"/>
        </w:rPr>
        <w:t xml:space="preserve"> </w:t>
      </w:r>
      <w:r>
        <w:rPr>
          <w:rFonts w:ascii="Arial" w:hAnsi="Arial" w:cs="Arial" w:eastAsia="Arial"/>
          <w:b/>
          <w:bCs/>
        </w:rPr>
        <w:t xml:space="preserve">30.00 %</w:t>
      </w:r>
    </w:p>
    <w:p>
      <w:pPr>
        <w:pStyle w:val="BodyText"/>
      </w:pPr>
      <w:r>
        <w:rPr>
          <w:rFonts w:ascii="Arial" w:hAnsi="Arial" w:cs="Arial" w:eastAsia="Arial"/>
        </w:rPr>
        <w:t xml:space="preserve">Click through rate = 291 ÷ 4,850 × 100 =</w:t>
      </w:r>
      <w:r>
        <w:rPr>
          <w:rFonts w:ascii="Arial" w:hAnsi="Arial" w:cs="Arial" w:eastAsia="Arial"/>
        </w:rPr>
        <w:t xml:space="preserve"> </w:t>
      </w:r>
      <w:r>
        <w:rPr>
          <w:rFonts w:ascii="Arial" w:hAnsi="Arial" w:cs="Arial" w:eastAsia="Arial"/>
          <w:b/>
          <w:bCs/>
        </w:rPr>
        <w:t xml:space="preserve">6.00 %</w:t>
      </w:r>
    </w:p>
    <w:p>
      <w:pPr>
        <w:pStyle w:val="BodyText"/>
      </w:pPr>
      <w:r>
        <w:rPr>
          <w:rFonts w:ascii="Arial" w:hAnsi="Arial" w:cs="Arial" w:eastAsia="Arial"/>
        </w:rPr>
        <w:t xml:space="preserve">Bounce rate = 150 ÷ 5,000 × 100 =</w:t>
      </w:r>
      <w:r>
        <w:rPr>
          <w:rFonts w:ascii="Arial" w:hAnsi="Arial" w:cs="Arial" w:eastAsia="Arial"/>
        </w:rPr>
        <w:t xml:space="preserve"> </w:t>
      </w:r>
      <w:r>
        <w:rPr>
          <w:rFonts w:ascii="Arial" w:hAnsi="Arial" w:cs="Arial" w:eastAsia="Arial"/>
          <w:b/>
          <w:bCs/>
        </w:rPr>
        <w:t xml:space="preserve">3.00 %</w:t>
      </w:r>
    </w:p>
    <w:p>
      <w:pPr>
        <w:pStyle w:val="BodyText"/>
      </w:pPr>
      <w:r>
        <w:rPr>
          <w:rFonts w:ascii="Arial" w:hAnsi="Arial" w:cs="Arial" w:eastAsia="Arial"/>
        </w:rPr>
        <w:t xml:space="preserve">Unsubscribe rate = 97 ÷ 4,850 × 100 =</w:t>
      </w:r>
      <w:r>
        <w:rPr>
          <w:rFonts w:ascii="Arial" w:hAnsi="Arial" w:cs="Arial" w:eastAsia="Arial"/>
        </w:rPr>
        <w:t xml:space="preserve"> </w:t>
      </w:r>
      <w:r>
        <w:rPr>
          <w:rFonts w:ascii="Arial" w:hAnsi="Arial" w:cs="Arial" w:eastAsia="Arial"/>
          <w:b/>
          <w:bCs/>
        </w:rPr>
        <w:t xml:space="preserve">2.00 %</w:t>
      </w:r>
    </w:p>
    <w:p>
      <w:pPr>
        <w:pStyle w:val="BodyText"/>
      </w:pPr>
      <w:r>
        <w:rPr>
          <w:rFonts w:ascii="Arial" w:hAnsi="Arial" w:cs="Arial" w:eastAsia="Arial"/>
        </w:rPr>
        <w:t xml:space="preserve">One (1) optimisation method:</w:t>
      </w:r>
      <w:r>
        <w:rPr>
          <w:rFonts w:ascii="Arial" w:hAnsi="Arial" w:cs="Arial" w:eastAsia="Arial"/>
        </w:rPr>
        <w:t xml:space="preserve"> </w:t>
      </w:r>
      <w:r>
        <w:rPr>
          <w:rFonts w:ascii="Arial" w:hAnsi="Arial" w:cs="Arial" w:eastAsia="Arial"/>
          <w:b/>
          <w:bCs/>
        </w:rPr>
        <w:t xml:space="preserve">Clean the email list regularly to reduce bounce rate and suppress unsubscribed contacts promptly to maintain list health and improve deliverability.</w: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M731-001-3:2021/2026/A/01 — TAMAT</w:t>
      </w:r>
    </w:p>
    <w:bookmarkEnd w:id="15"/>
    <w:bookmarkEnd w:id="16"/>
    <w:bookmarkEnd w:id="17"/>
    <w:sectPr w:rsidR="00FC693F" w:rsidRPr="0006063C" w:rsidSect="00034616">
      <w:headerReference w:type="default" r:id="rId9"/>
      <w:footerReference w:type="default" r:id="rId10"/>
      <w:pgSz w:h="16838" w:w="11906"/>
      <w:pgMar w:bottom="1417" w:footer="720" w:gutter="0" w:header="72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cs="Arial" w:eastAsia="Arial"/>
        <w:b/>
        <w:sz w:val="18"/>
      </w:rPr>
      <w:t>M731-001-3:2021/2026/A/01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jc w:val="left"/>
    </w:pPr>
    <w:rPr>
      <w:rFonts w:ascii="Arial" w:cs="Arial" w:eastAsia="Arial" w:hAnsi="Arial"/>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jc w:val="left"/>
      <w:outlineLvl w:val="0"/>
    </w:pPr>
    <w:rPr>
      <w:rFonts w:ascii="Arial" w:asciiTheme="majorHAnsi" w:cs="Arial" w:cstheme="majorBidi" w:eastAsia="Arial" w:eastAsiaTheme="majorEastAsia" w:hAnsi="Arial"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240"/>
      <w:jc w:val="left"/>
      <w:outlineLvl w:val="1"/>
    </w:pPr>
    <w:rPr>
      <w:rFonts w:ascii="Arial" w:asciiTheme="majorHAnsi" w:cs="Arial" w:cstheme="majorBidi" w:eastAsia="Arial" w:eastAsiaTheme="majorEastAsia" w:hAnsi="Arial"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20" w:before="240"/>
      <w:jc w:val="left"/>
      <w:outlineLvl w:val="2"/>
    </w:pPr>
    <w:rPr>
      <w:rFonts w:ascii="Arial" w:asciiTheme="majorHAnsi" w:cs="Arial" w:cstheme="majorBidi" w:eastAsia="Arial" w:eastAsiaTheme="majorEastAsia" w:hAnsi="Arial"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120" w:before="240"/>
      <w:jc w:val="left"/>
      <w:outlineLvl w:val="3"/>
    </w:pPr>
    <w:rPr>
      <w:rFonts w:ascii="Arial" w:asciiTheme="majorHAnsi" w:cs="Arial" w:cstheme="majorBidi" w:eastAsia="Arial" w:eastAsiaTheme="majorEastAsia" w:hAnsi="Arial"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2026-08-25T10:09:54Z</dcterms:created>
  <dcterms:modified xsi:type="dcterms:W3CDTF">2026-08-25T10:09:54Z</dcterms:modified>
</cp:coreProperties>
</file>

<file path=docProps/custom.xml><?xml version="1.0" encoding="utf-8"?>
<Properties xmlns="http://schemas.openxmlformats.org/officeDocument/2006/custom-properties" xmlns:vt="http://schemas.openxmlformats.org/officeDocument/2006/docPropsVTypes"/>
</file>