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UNTUK KEGUNAAN PEMERIKSA SAHAJA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AMARAN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SULIT. Kegunaannya khusus untuk pemeriksa yang berkenaan sahaja. Sebarang maklumat dalam Skema Pemarkahan ini tidak boleh dimaklumkan kepada sesiapa.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67"/>
        <w:gridCol w:w="6403"/>
      </w:tblGrid>
      <w:tr>
        <w:trPr>
          <w:tblHeader w:val="on"/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A)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FRONT OFFICE RECEPTION</w:t>
              <w:br/>
              <w:t xml:space="preserve">C02 OFFICE FINANCE HANDLING</w:t>
              <w:br/>
              <w:t xml:space="preserve">C03 OFFICE PROCUREMENT HANDLING</w:t>
              <w:br/>
              <w:t xml:space="preserve">C04 OFFICE INVENTORY HANDLING</w:t>
              <w:br/>
              <w:t xml:space="preserve">C05 OFFICE LOGISTIC HANDLING</w:t>
              <w:br/>
              <w:t xml:space="preserve">C06 OFFICE DOCUMENTATION PREPARATION</w:t>
              <w:br/>
              <w:t xml:space="preserve">C07 STAFF ADMINISTRATION SUPERVISION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SKEMA PEMARKAHAN INI MENGANDUNGI 13 MUKA SURAT BERCETAK TERMASUK MUKA HADAPAN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Markah diberikan mengikut kualiti jawapan calon seperti yang dinyatakan dalam setiap kriteria penilaian.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Markah lulus minimum: ≥ 70 markah keseluruhan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panduan-pemarkahan-keseluruhan"/>
    <w:p>
      <w:pPr>
        <w:pStyle w:val="Heading2"/>
      </w:pPr>
      <w:r>
        <w:rPr>
          <w:rFonts w:ascii="Arial" w:hAnsi="Arial" w:cs="Arial" w:eastAsia="Arial"/>
        </w:rPr>
        <w:t xml:space="preserve">PANDUAN PEMARKAHAN KESELURUHAN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94"/>
        <w:gridCol w:w="4282"/>
        <w:gridCol w:w="2394"/>
      </w:tblGrid>
      <w:tr>
        <w:trPr>
          <w:tblHeader w:val="on"/>
          <w:cantSplit/>
        </w:trPr>
        <w:tc>
          <w:tcPr>
            <w:tcW w:type="dxa" w:w="23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42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23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(%)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1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Maklumat Calon (diisi pemeriksa)</w:t>
            </w: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2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 (Process Work)</w:t>
            </w: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3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 (Output / Product)</w:t>
            </w: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4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Kerja (Work Attitude)</w:t>
            </w: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5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 (Oral Examination)</w:t>
            </w: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</w:t>
            </w:r>
          </w:p>
        </w:tc>
        <w:tc>
          <w:tcPr>
            <w:tcW w:type="dxa" w:w="42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3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Markah Lulus: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≥ 70% dalam jumlah keseluruhan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 Minimum per Bahagian (Proses Kerja):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Calon mesti memperoleh sekurang-kurangnya 50% dalam setiap sub-bahagian.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11" w:name="maklumat-calon"/>
    <w:p>
      <w:pPr>
        <w:pStyle w:val="Heading2"/>
      </w:pPr>
      <w:r>
        <w:rPr>
          <w:rFonts w:ascii="Arial" w:hAnsi="Arial" w:cs="Arial" w:eastAsia="Arial"/>
        </w:rPr>
        <w:t xml:space="preserve">MAKLUMAT CALON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337"/>
        <w:gridCol w:w="4732"/>
      </w:tblGrid>
      <w:tr>
        <w:trPr>
          <w:tblHeader w:val="true"/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Kad Pengenalan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Pemeriksa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type="dxa" w:w="43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Rujukan Pemeriksa</w:t>
            </w:r>
          </w:p>
        </w:tc>
        <w:tc>
          <w:tcPr>
            <w:tcW w:type="dxa" w:w="47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_________________________</w:t>
            </w: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p>
      <w:pPr>
        <w:pStyle w:val="FirstParagraph"/>
      </w:pPr>
      <w:r>
        <w:rPr>
          <w:rFonts w:ascii="Arial" w:hAnsi="Arial" w:cs="Arial" w:eastAsia="Arial"/>
        </w:rPr>
        <w:t xml:space="preserve">Tandakan (/) pada ruangan TERIMA atau TIDAK TERIMA bagi perkara kritikal berikut: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7"/>
        <w:gridCol w:w="5861"/>
        <w:gridCol w:w="1028"/>
        <w:gridCol w:w="1454"/>
      </w:tblGrid>
      <w:tr>
        <w:trPr>
          <w:tblHeader w:val="on"/>
          <w:cantSplit/>
        </w:trPr>
        <w:tc>
          <w:tcPr>
            <w:tcW w:type="dxa" w:w="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4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2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carries out all office administration tasks using only the information and data provided, without falsifying, inventing or materially altering any source document, record or figure.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4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21" w:name="bahagian-2-proses-kerja-60-markah"/>
    <w:p>
      <w:pPr>
        <w:pStyle w:val="Heading2"/>
      </w:pPr>
      <w:r>
        <w:rPr>
          <w:rFonts w:ascii="Arial" w:hAnsi="Arial" w:cs="Arial" w:eastAsia="Arial"/>
        </w:rPr>
        <w:t xml:space="preserve">BAHAGIAN 2 — PROSES KERJA (60 MARKAH)</w:t>
      </w:r>
    </w:p>
    <w:bookmarkStart w:id="13" w:name="c01-front-office-reception-10-markah"/>
    <w:p>
      <w:pPr>
        <w:pStyle w:val="Heading3"/>
      </w:pPr>
      <w:r>
        <w:rPr>
          <w:rFonts w:ascii="Arial" w:hAnsi="Arial" w:cs="Arial" w:eastAsia="Arial"/>
        </w:rPr>
        <w:t xml:space="preserve">2.1 — C01: Front Office Reception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1A — Visitor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20"/>
        <w:gridCol w:w="3075"/>
        <w:gridCol w:w="4647"/>
        <w:gridCol w:w="827"/>
      </w:tblGrid>
      <w:tr>
        <w:trPr>
          <w:tblHeader w:val="on"/>
          <w:cantSplit/>
        </w:trPr>
        <w:tc>
          <w:tcPr>
            <w:tcW w:type="dxa" w:w="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7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46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Visitor Log Book diisi dengan lengkap dan tepat: nama, nombor IC, syarikat, tujuan, masa masuk, masa keluar</w:t>
            </w:r>
          </w:p>
        </w:tc>
        <w:tc>
          <w:tcPr>
            <w:tcW w:type="dxa" w:w="4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medan diisi: Tan Boon Keat / IC berkenaan / Greenfield Engineering Sdn. Bhd. / Discuss secretarial proposal / 9:15 a.m. / masa keluar dicatatkan semasa beliau beredar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Tindakan yang sesuai diambil semasa tamu menunggu</w:t>
            </w:r>
          </w:p>
        </w:tc>
        <w:tc>
          <w:tcPr>
            <w:tcW w:type="dxa" w:w="4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Mempelawa tamu duduk di tempat menunggu / Tawarkan minuman / Maklumkan Ms. Priya melalui telefon dalaman atau WhatsApp / Berikan anggaran masa menunggu / Menawarkan bahan bacaan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07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DUA maklumat yang perlu disahkan sebelum merujuk tamu</w:t>
            </w:r>
          </w:p>
        </w:tc>
        <w:tc>
          <w:tcPr>
            <w:tcW w:type="dxa" w:w="46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Sahkan identiti tamu dengan IC atau kad nama ② Sahkan sama ada Ms. Priya sedia menerima tamu selepas mesyuarat ③ Dapatkan nama syarikat dan tujuan rasmi ④ Semak sama ada tamu ada temujanji atau perlu dijadualkan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1B — Incoming Communication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909"/>
        <w:gridCol w:w="4822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9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48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Rekod Barang Masuk diisi dengan lengkap: pengirim, penerima, jenis, klasifikasi, mod penghantaran dalaman</w:t>
            </w:r>
          </w:p>
        </w:tc>
        <w:tc>
          <w:tcPr>
            <w:tcW w:type="dxa" w:w="48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PKF Tax Consultants / Mr. Zulkifli bin Hassan / Parcel-Courier / CONFIDENTIAL / Manual delivery to recipient’s desk with signature acknowledgement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Prosedur notifikasi bagi bungkusan sulit diterangkan dengan betul</w:t>
            </w:r>
          </w:p>
        </w:tc>
        <w:tc>
          <w:tcPr>
            <w:tcW w:type="dxa" w:w="48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diterima: ① Hubungi Mr. Zulkifli melalui telefon dalaman / in-person untuk maklumkan kehadiran bungkusan ② Serahkan terus kepada beliau (bukan diletakkan di atas meja tanpa pengawasan) ③ Dapatkan tandatangan akuan terima (acknowledgement) daripada Mr. Zulkifli sebelum rekod ditutup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C01: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c02-office-finance-handling-10-markah"/>
    <w:p>
      <w:pPr>
        <w:pStyle w:val="Heading3"/>
      </w:pPr>
      <w:r>
        <w:rPr>
          <w:rFonts w:ascii="Arial" w:hAnsi="Arial" w:cs="Arial" w:eastAsia="Arial"/>
        </w:rPr>
        <w:t xml:space="preserve">2.2 — C02: Office Finance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2A — Petty Cash Payment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451"/>
        <w:gridCol w:w="5281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4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2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4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Kesemua 4 item diisi dengan betul dalam borang petty cash</w:t>
            </w:r>
          </w:p>
        </w:tc>
        <w:tc>
          <w:tcPr>
            <w:tcW w:type="dxa" w:w="5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RM62.50 + RM28.00 + RM95.00 + RM40.00 = RM225.50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4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Baki bersih dikira dengan betul dan status imprest dinyatakan</w:t>
            </w:r>
          </w:p>
        </w:tc>
        <w:tc>
          <w:tcPr>
            <w:tcW w:type="dxa" w:w="5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Opening: RM287.00 – RM225.50 = Closing: RM61.50. Imprest TIDAK diceroboh (RM61.50 &gt; RM0; had RM300.00 merujuk kepada jumlah tuntutan, bukan baki tunai)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4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Item yang memerlukan dokumentasi tambahan dikenal pasti dengan sebab yang tepat</w:t>
            </w:r>
          </w:p>
        </w:tc>
        <w:tc>
          <w:tcPr>
            <w:tcW w:type="dxa" w:w="5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Item 3: Water dispenser filter replacement (RM95.00) — memerlukan sebut harga (quotation) atau work order daripada Aqua Pure Service kerana ia adalah kerja perkhidmatan / penyelenggaraan, bukan pembelian barang semata-mata. ATAU Item 4: Repair by handyman — memerlukan sebut harga bertulis dan baucar bayaran, kerana pembaikan oleh pihak luar perlu kelulusan sebelum kerja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2B — Bills Collection Report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85"/>
        <w:gridCol w:w="2659"/>
        <w:gridCol w:w="4998"/>
        <w:gridCol w:w="827"/>
      </w:tblGrid>
      <w:tr>
        <w:trPr>
          <w:tblHeader w:val="on"/>
          <w:cantSplit/>
        </w:trPr>
        <w:tc>
          <w:tcPr>
            <w:tcW w:type="dxa" w:w="5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6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49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6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Ketiga-tiga bil direkod dengan lengkap dan tepat dalam laporan</w:t>
            </w:r>
          </w:p>
        </w:tc>
        <w:tc>
          <w:tcPr>
            <w:tcW w:type="dxa" w:w="49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TNB RM1,340.00 (30 Sep) / IWK RM87.50 (30 Sep) / Maxis RM680.00 (25 Sep) — semua medan: penerima, jenis bil, amaun, tarikh tamat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6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Bil paling mendesak dikenal pasti dengan sebab yang tepat</w:t>
            </w:r>
          </w:p>
        </w:tc>
        <w:tc>
          <w:tcPr>
            <w:tcW w:type="dxa" w:w="49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Maxis RM680.00 — Tarikh akhir 25 Sep 2026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(5 hari lebih awal berbanding TNB/IWK yang 30 Sep). Kegagalan bayar dalam tempoh boleh menyebabkan gangguan perkhidmatan internet dan telefon yang kritikal untuk operasi pejabat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C02: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c03-office-procurement-handling-8-markah"/>
    <w:p>
      <w:pPr>
        <w:pStyle w:val="Heading3"/>
      </w:pPr>
      <w:r>
        <w:rPr>
          <w:rFonts w:ascii="Arial" w:hAnsi="Arial" w:cs="Arial" w:eastAsia="Arial"/>
        </w:rPr>
        <w:t xml:space="preserve">2.3 — C03: Office Procurement Handling (8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3A — Purchase Requisition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409"/>
        <w:gridCol w:w="5323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4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3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Borang Requisisi diisi dengan lengkap: nombor rujukan format betul, semua 4 item, jumlah dikira tepat</w:t>
            </w:r>
          </w:p>
        </w:tc>
        <w:tc>
          <w:tcPr>
            <w:tcW w:type="dxa" w:w="53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NLK/REQ/2026/09/[nombor urutan bersesuaian]. Jumlah: (10×RM8.50)+(5×RM12.00)+(3×RM35.00)+(6×RM15.00) = RM85+RM60+RM105+RM90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RM340.00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DUA garis panduan green procurement dinyatakan dengan tepat</w:t>
            </w:r>
          </w:p>
        </w:tc>
        <w:tc>
          <w:tcPr>
            <w:tcW w:type="dxa" w:w="53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Utamakan pembekal yang mempunyai persijilan alam sekitar (eco-label/ISO 14001) ② Pilih produk yang boleh dikitar semula (recyclable) atau menggunakan bahan kitar semula ③ Elakkan pembungkusan berlebihan (over-packaging) ④ Pilih produk tempatan bagi mengurangkan jejak karbon pengangkutan ⑤ Gunakan pembelian pukal (bulk purchase) bagi mengurangkan perjalanan penghantaran berbilang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3B — Procurement Activities Report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07"/>
        <w:gridCol w:w="3155"/>
        <w:gridCol w:w="4449"/>
        <w:gridCol w:w="858"/>
      </w:tblGrid>
      <w:tr>
        <w:trPr>
          <w:tblHeader w:val="on"/>
          <w:cantSplit/>
        </w:trPr>
        <w:tc>
          <w:tcPr>
            <w:tcW w:type="dxa" w:w="6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15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44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1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Laporan aktiviti perolehan diisi dengan lengkap dan relevan</w:t>
            </w:r>
          </w:p>
        </w:tc>
        <w:tc>
          <w:tcPr>
            <w:tcW w:type="dxa" w:w="44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medan diisi: Nombor requisisi / Tarikh / Jabatan (Operations) / 4 item / RM340.00 / Approved (Puan Rohani) / status pembekal / Tarikh penghantaran dijangka</w:t>
            </w:r>
          </w:p>
        </w:tc>
        <w:tc>
          <w:tcPr>
            <w:tcW w:type="dxa" w:w="8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1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Laporan dikemukakan kepada pegawai bertanggungjawab yang tepat dengan tandatangan</w:t>
            </w:r>
          </w:p>
        </w:tc>
        <w:tc>
          <w:tcPr>
            <w:tcW w:type="dxa" w:w="44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Dikemukakan kepada: Puan Rohani binti Aziz (Office Manager)</w:t>
            </w:r>
          </w:p>
        </w:tc>
        <w:tc>
          <w:tcPr>
            <w:tcW w:type="dxa" w:w="8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C03: ____ / 8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c04-office-inventory-handling-10-markah"/>
    <w:p>
      <w:pPr>
        <w:pStyle w:val="Heading3"/>
      </w:pPr>
      <w:r>
        <w:rPr>
          <w:rFonts w:ascii="Arial" w:hAnsi="Arial" w:cs="Arial" w:eastAsia="Arial"/>
        </w:rPr>
        <w:t xml:space="preserve">2.4 — C04: Office Inventory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4 — Stock Check, Stock Card and Issuance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423"/>
        <w:gridCol w:w="5309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4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3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Variance dikenal pasti dengan betul untuk semua item berkenaan</w:t>
            </w:r>
          </w:p>
        </w:tc>
        <w:tc>
          <w:tcPr>
            <w:tcW w:type="dxa" w:w="53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Pengiraan baki (Opening + Received – Issued Prior): NLK-ST-001: 20+10–8=22 ✓ (tiada variance) / NLK-ST-002: 8+4–5=7 ✓ (tiada variance) / NLK-ST-003: 12+0–3=9 ✗ (Physical=10,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variance +1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lebihan 1 botol; kemungkinan: item dicatat sebagai keluar tetapi tidak ditarik, atau kesilapan entri) / NLK-ST-004: 5+2–1=6 ✓ / NLK-ST-005: 3+10–9=4 ✓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Card NLK-ST-001 dilengkap dengan betul termasuk issuance baru</w:t>
            </w:r>
          </w:p>
        </w:tc>
        <w:tc>
          <w:tcPr>
            <w:tcW w:type="dxa" w:w="53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Opening: 20 / IN: +10 = 30 / OUT (prior): –8 = 22 / OUT (15 Sep, NLK/ISS/2026/09/012): –5 =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Balance: 17 reams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Rekod Issuance diisi dengan betul untuk ketiga-tiga item</w:t>
            </w:r>
          </w:p>
        </w:tc>
        <w:tc>
          <w:tcPr>
            <w:tcW w:type="dxa" w:w="53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NLK-ST-001: Issued 5, Balance 17 / NLK-ST-002: Issued 2, Balance 5 / NLK-ST-003: Issued 3, Balance 7 (physical) atau 6 (per record) — pemeriksa menerima jawapan berdasarkan physical count OR rekod; calon mesti jelaskan mana yang digunakan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4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Tindakan yang sesuai dinyatakan untuk NLK-ST-003 (hampir tamat tempoh)</w:t>
            </w:r>
          </w:p>
        </w:tc>
        <w:tc>
          <w:tcPr>
            <w:tcW w:type="dxa" w:w="53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Semak tarikh luput setiap botol ② Asingkan item yang hampir luput dan tampal tanda / label ③ Laporkan kepada penyelia untuk tindakan pelupusan atau keputusan penggunaan mengikut FIFO/FEFO ④ Tidak mengeluarkan item yang sudah tamat tempoh untuk kegunaan pejabat ⑤ Kemaskini rekod / status kad stok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C04: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c05-office-logistic-handling-10-markah"/>
    <w:p>
      <w:pPr>
        <w:pStyle w:val="Heading3"/>
      </w:pPr>
      <w:r>
        <w:rPr>
          <w:rFonts w:ascii="Arial" w:hAnsi="Arial" w:cs="Arial" w:eastAsia="Arial"/>
        </w:rPr>
        <w:t xml:space="preserve">2.5 — C05: Office Logistic Handling (10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5A — Staff Travel Memo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291"/>
        <w:gridCol w:w="5441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2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44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2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Memo Perjalanan diisi dengan lengkap untuk kedua-dua kakitangan</w:t>
            </w:r>
          </w:p>
        </w:tc>
        <w:tc>
          <w:tcPr>
            <w:tcW w:type="dxa" w:w="54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A: Ms. Lim Hui Ting / Senior Admin Executive / 22 Sep / 24 Sep / JB Sentral / KL Sentral / KTM ETS Economy / Pullman KLCC / 2 malam / RM1,500. Staff B: Mr. Ahmad Firdaus / Admin Executive / (sama maklumat perjalanan)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2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TIGA perkara yang perlu disahkan sebelum menempah dinyatakan dengan tepat</w:t>
            </w:r>
          </w:p>
        </w:tc>
        <w:tc>
          <w:tcPr>
            <w:tcW w:type="dxa" w:w="54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3): ① Kelulusan bertulis daripada pengurusan ② Ketersediaan tiket KTM ETS pada tarikh berkenaan ③ Ketersediaan bilik di Pullman KLCC ④ Bajet individu tidak melebihi RM1,500 ⑤ Surat penyertaan / konfirmasi konferens diterima ⑥ Polisi perjalanan syarikat semak (kelas pengangkutan, kadar hotel dibenarkan)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2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DUA garis panduan Asian Green Logistics dinyatakan dengan tepat</w:t>
            </w:r>
          </w:p>
        </w:tc>
        <w:tc>
          <w:tcPr>
            <w:tcW w:type="dxa" w:w="54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 (mana-mana 2): ① Pilih pengangkutan awam (KTM ETS) berbanding kenderaan peribadi bagi mengurangkan pelepasan karbon ② Menumpang (carpooling) atau berkongsi kenderaan jika memerlukan pemindahan dari stesen ③ Pilih hotel dengan persijilan hijau (Green Mark / GBI) ④ Kurangkan bahan bercetak — gunakan e-itinerary / e-ticket ⑤ Pilih laluan langsung untuk mengurangkan jarak perjalanan dan masa persinggahan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TUGASAN 5B — Dispatch Assignment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7"/>
        <w:gridCol w:w="2599"/>
        <w:gridCol w:w="5125"/>
        <w:gridCol w:w="827"/>
      </w:tblGrid>
      <w:tr>
        <w:trPr>
          <w:tblHeader w:val="on"/>
          <w:cantSplit/>
        </w:trPr>
        <w:tc>
          <w:tcPr>
            <w:tcW w:type="dxa" w:w="51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6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1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Rekod Penghantaran Dispatch diisi dengan lengkap untuk kedua-dua penghantaran</w:t>
            </w:r>
          </w:p>
        </w:tc>
        <w:tc>
          <w:tcPr>
            <w:tcW w:type="dxa" w:w="51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Delivery 1: Messrs. Lee &amp; Partners / Mr. Lee Chin Wei / Jalan Tun Abdul Razak / Service Agreement / CONFIDENTIAL / Dispatch runner / ETA sebelum 5:00 p.m. Delivery 2: Cempaka Resources / Ms. Norzila / Jalan Bakar Batu / Invoice INV-2026-09-088 / General / Pos Laju / Tracking number diisi apabila dapat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C05: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1e44bda80cff28f2841acde20b678517b4240d8"/>
    <w:p>
      <w:pPr>
        <w:pStyle w:val="Heading3"/>
      </w:pPr>
      <w:r>
        <w:rPr>
          <w:rFonts w:ascii="Arial" w:hAnsi="Arial" w:cs="Arial" w:eastAsia="Arial"/>
        </w:rPr>
        <w:t xml:space="preserve">2.6 — C06: Office Documentation Preparation (6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6 — Formal Letter, Registration and Filing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176"/>
        <w:gridCol w:w="5556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1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5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1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Surat rasmi draf dengan format yang betul dan kandungan yang tepat</w:t>
            </w:r>
          </w:p>
        </w:tc>
        <w:tc>
          <w:tcPr>
            <w:tcW w:type="dxa" w:w="5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Surat mesti mengandungi: ① Kepala surat Nexalink ② Nombor rujukan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NLK/CS/2026/09/088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③ Tarikh: 15 September 2026 ④ Alamat penerima lengkap (Greenfield Engineering, Tan Boon Keat) ⑤ Salutasi: Dear Mr. Tan / Dear Sir ⑥ Subjek: Acknowledge enquiry + Confirm appointment 22 Sep 2026 10:00 a.m. ⑦ Body: minimum 3 perenggan — akuan, butiran temujanji, penutup profesional ⑧ Tandatangan: Ms. Priya Nair, Business Development Manager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1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Senarai Pendaftaran Dokumen diisi dengan betul</w:t>
            </w:r>
          </w:p>
        </w:tc>
        <w:tc>
          <w:tcPr>
            <w:tcW w:type="dxa" w:w="5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Klasifikasi: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G (General)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surat pengesahan temujanji perniagaan biasa, bukan sulit. Kod pemfailan: contoh NLK-CS-2026-09 / atau abjad-tarikh-urutan mengikut sistem syarikat.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1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Kaedah pemfailan dan sistem kod/label diterangkan dengan jelas</w:t>
            </w:r>
          </w:p>
        </w:tc>
        <w:tc>
          <w:tcPr>
            <w:tcW w:type="dxa" w:w="55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Jawapan diterima: ① Pemfailan kronologi atau subjek (alphabetical/chronological/subject filing) ② Kod: NLK/CS/2026 atau C-CS-26 atau bersesuaian dengan sistem pejabat ③ Label: tab fail bertanda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“Client Correspondence — Sep 2026”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atau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“CS — 2026”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pada bahagian hadapan fail ④ Disimpan di kabinet fail bertanda dan dikunci (untuk semi-confidential/confidential) atau rak terbuka (general)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C06: ____ / 6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9b945267cddf7ecd4d401360ed61fdb2d0279b5"/>
    <w:p>
      <w:pPr>
        <w:pStyle w:val="Heading3"/>
      </w:pPr>
      <w:r>
        <w:rPr>
          <w:rFonts w:ascii="Arial" w:hAnsi="Arial" w:cs="Arial" w:eastAsia="Arial"/>
        </w:rPr>
        <w:t xml:space="preserve">2.7 — C07: Staff Administration Supervision (6 Markah)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TUGASAN 7 — KPI Appraisal and Meeting Agenda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2362"/>
        <w:gridCol w:w="5370"/>
        <w:gridCol w:w="827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36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 Penilaian Proses</w:t>
            </w:r>
          </w:p>
        </w:tc>
        <w:tc>
          <w:tcPr>
            <w:tcW w:type="dxa" w:w="53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Diterima / Standard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Ringkasan Penilaian KPI diisi dengan betul untuk kedua-dua kakitangan</w:t>
            </w:r>
          </w:p>
        </w:tc>
        <w:tc>
          <w:tcPr>
            <w:tcW w:type="dxa" w:w="5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Ms. Lim: 5/5 ✓ semua KPI dipenuhi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EXCELLENT.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Mr. Ahmad: 0/5 ✗ semua KPI tidak dipenuhi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NEEDS IMPROVEMENT. Setiap ✓/✗ mesti betul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tidak dipenuhi oleh Mr. Ahmad dikenal pasti dan tindakan penambahbaikan diusulkan</w:t>
            </w:r>
          </w:p>
        </w:tc>
        <w:tc>
          <w:tcPr>
            <w:tcW w:type="dxa" w:w="5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5 KPI tidak dipenuhi. Jawapan diterima (mana-mana yang bersesuaian): ① Ketepatan pemfailan 88.5% → latihan semula sistem pemfailan, spot check mingguan ② Masa pengendalian pelawat 6.2 min → latihan customer service dan roleplay ③ Masa proses requisisi 3.1 hari → semak beban kerja, tetapkan SOP timeline ④ Kadar kehadiran 94% → sesi kaunseling, semak punca ketidakhadiran ⑤ Jam latihan 4 jam → wajibkan 4 jam latihan lagi di Q4, daftarkan kursus dalaman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Agenda Mesyuarat disiapkan dengan lengkap dan sistematik</w:t>
            </w:r>
          </w:p>
        </w:tc>
        <w:tc>
          <w:tcPr>
            <w:tcW w:type="dxa" w:w="5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Agenda mesti mengandungi: ① Tajuk: Monthly Admin Department Meeting ② Tarikh: 19 Sep 2026, Masa: 3:00 p.m., Tempat: Meeting Room 2 ③ Pengerusi: Puan Rohani ④ Senarai 8 peserta dengan nama dan jawatan ⑤ 5 item agenda dengan masa yang betul (15+10+5+10+5 = 45 min) ⑥ Ruangan minit untuk setiap agenda ⑦ Tandatangan penyediaan dan pengesahan</w:t>
            </w: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C07: ____ / 6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ringkasan-bahagian-2-proses-kerja"/>
    <w:p>
      <w:pPr>
        <w:pStyle w:val="Heading3"/>
      </w:pPr>
      <w:r>
        <w:rPr>
          <w:rFonts w:ascii="Arial" w:hAnsi="Arial" w:cs="Arial" w:eastAsia="Arial"/>
        </w:rPr>
        <w:t xml:space="preserve">RINGKASAN BAHAGIAN 2 — PROSES KERJA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38"/>
        <w:gridCol w:w="3071"/>
        <w:gridCol w:w="1880"/>
        <w:gridCol w:w="1880"/>
      </w:tblGrid>
      <w:tr>
        <w:trPr>
          <w:tblHeader w:val="on"/>
          <w:cantSplit/>
        </w:trPr>
        <w:tc>
          <w:tcPr>
            <w:tcW w:type="dxa" w:w="22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307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18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8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Front Office Reception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Finance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Procurement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Inventory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Logistic Handling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Documentation Preparation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C07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Administration Supervision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BAHAGIAN 2</w:t>
            </w:r>
          </w:p>
        </w:tc>
        <w:tc>
          <w:tcPr>
            <w:tcW w:type="dxa" w:w="30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60</w:t>
            </w:r>
          </w:p>
        </w:tc>
        <w:tc>
          <w:tcPr>
            <w:tcW w:type="dxa" w:w="18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End w:id="21"/>
    <w:bookmarkStart w:id="22" w:name="bahagian-3-hasil-kerja-output-10-markah"/>
    <w:p>
      <w:pPr>
        <w:pStyle w:val="Heading2"/>
      </w:pPr>
      <w:r>
        <w:rPr>
          <w:rFonts w:ascii="Arial" w:hAnsi="Arial" w:cs="Arial" w:eastAsia="Arial"/>
        </w:rPr>
        <w:t xml:space="preserve">BAHAGIAN 3 — HASIL KERJA / OUTPUT (10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menilai kualiti keseluruhan dokumen yang disiapkan oleh calon.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28"/>
        <w:gridCol w:w="3467"/>
        <w:gridCol w:w="2959"/>
        <w:gridCol w:w="1057"/>
        <w:gridCol w:w="1057"/>
      </w:tblGrid>
      <w:tr>
        <w:trPr>
          <w:tblHeader w:val="on"/>
          <w:cantSplit/>
        </w:trPr>
        <w:tc>
          <w:tcPr>
            <w:tcW w:type="dxa" w:w="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4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Kriteria</w:t>
            </w:r>
          </w:p>
        </w:tc>
        <w:tc>
          <w:tcPr>
            <w:tcW w:type="dxa" w:w="29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Standard Minimum untuk Markah Penuh</w:t>
            </w:r>
          </w:p>
        </w:tc>
        <w:tc>
          <w:tcPr>
            <w:tcW w:type="dxa" w:w="10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0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4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Kelengkapan dokumen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Semua 7 Appendix disiapkan tanpa ada yang dikosongkan</w:t>
            </w:r>
          </w:p>
        </w:tc>
        <w:tc>
          <w:tcPr>
            <w:tcW w:type="dxa" w:w="29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Semua borang diisi; tiada ruangan wajib yang dibiarkan kosong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4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Ketepatan format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Dokumen menggunakan format dan rujukan yang betul (nombor rujukan, tarikh, pengelasan)</w:t>
            </w:r>
          </w:p>
        </w:tc>
        <w:tc>
          <w:tcPr>
            <w:tcW w:type="dxa" w:w="29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Nombor rujukan menggunakan format yang ditetapkan; tarikh konsisten; klasifikasi dokumen betul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4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Kemas dan sistematik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Tulisan tangan / pembentangan dokumen boleh dibaca dan teratur</w:t>
            </w:r>
          </w:p>
        </w:tc>
        <w:tc>
          <w:tcPr>
            <w:tcW w:type="dxa" w:w="29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Tulisan jelas; tiada coretan berlebihan; susunan kronologi atau mengikut urutan yang logik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4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Bahasa dan komunikasi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Surat rasmi (Appendix 6A) menggunakan bahasa Inggeris perniagaan yang betul dengan tatabahasa yang sesuai</w:t>
            </w:r>
          </w:p>
        </w:tc>
        <w:tc>
          <w:tcPr>
            <w:tcW w:type="dxa" w:w="29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Tiada kesalahan tatabahasa yang kritikal; nada profesional; format perniagaan standard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3: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bahagian-4-sikap-kerja-10-markah"/>
    <w:p>
      <w:pPr>
        <w:pStyle w:val="Heading2"/>
      </w:pPr>
      <w:r>
        <w:rPr>
          <w:rFonts w:ascii="Arial" w:hAnsi="Arial" w:cs="Arial" w:eastAsia="Arial"/>
        </w:rPr>
        <w:t xml:space="preserve">BAHAGIAN 4 — SIKAP KERJA (10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memerhati tingkah laku calon sepanjang tempoh penilaian (3 jam).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3"/>
        <w:gridCol w:w="3077"/>
        <w:gridCol w:w="3328"/>
        <w:gridCol w:w="1066"/>
        <w:gridCol w:w="1066"/>
      </w:tblGrid>
      <w:tr>
        <w:trPr>
          <w:tblHeader w:val="on"/>
          <w:cantSplit/>
        </w:trPr>
        <w:tc>
          <w:tcPr>
            <w:tcW w:type="dxa" w:w="5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7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Aspek Sikap</w:t>
            </w:r>
          </w:p>
        </w:tc>
        <w:tc>
          <w:tcPr>
            <w:tcW w:type="dxa" w:w="33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Indikator Pemerhatian</w:t>
            </w:r>
          </w:p>
        </w:tc>
        <w:tc>
          <w:tcPr>
            <w:tcW w:type="dxa" w:w="10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0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</w:tr>
      <w:tr>
        <w:trPr>
          <w:cantSplit/>
        </w:trPr>
        <w:tc>
          <w:tcPr>
            <w:tcW w:type="dxa" w:w="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0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Pengurusan masa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mengurus masa dengan berkesan</w:t>
            </w:r>
          </w:p>
        </w:tc>
        <w:tc>
          <w:tcPr>
            <w:tcW w:type="dxa" w:w="3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Menyelesaikan sekurang-kurangnya 5 daripada 7 tugasan dalam masa yang ditetapkan; tidak tergesa-gesa pada minit akhir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0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Kerapian dan penjagaan peralatan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menjaga tempat kerja dan menggunakan peralatan dengan betul</w:t>
            </w:r>
          </w:p>
        </w:tc>
        <w:tc>
          <w:tcPr>
            <w:tcW w:type="dxa" w:w="3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Meja kerja teratur; peralatan dikembalikan ke tempat asal; dokumen tidak berselerak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0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Keyakinan diri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bertindak balas dengan yakin semasa penilaian</w:t>
            </w:r>
          </w:p>
        </w:tc>
        <w:tc>
          <w:tcPr>
            <w:tcW w:type="dxa" w:w="3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terlalu kerap bertanya kepada pemeriksa; mampu membuat keputusan sendiri berdasarkan arahan yang diberikan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0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Kepatuhan kepada SOP dan arahan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mengikut arahan soalan dengan teliti</w:t>
            </w:r>
          </w:p>
        </w:tc>
        <w:tc>
          <w:tcPr>
            <w:tcW w:type="dxa" w:w="3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Membaca arahan sebelum menjawab; tidak melangkau mana-mana tugasan; mengikut urutan yang logik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0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Etika dan integriti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— Calon tidak meniru atau menggunakan bahan yang tidak dibenarkan</w:t>
            </w:r>
          </w:p>
        </w:tc>
        <w:tc>
          <w:tcPr>
            <w:tcW w:type="dxa" w:w="3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Tiada peniruan; tiada penggunaan telefon atau bahan tambahan tanpa kebenaran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4: ____ / 10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6" w:name="Xce1d662154433bda6c08fef1c4979a31cc7466d"/>
    <w:p>
      <w:pPr>
        <w:pStyle w:val="Heading2"/>
      </w:pPr>
      <w:r>
        <w:rPr>
          <w:rFonts w:ascii="Arial" w:hAnsi="Arial" w:cs="Arial" w:eastAsia="Arial"/>
        </w:rPr>
        <w:t xml:space="preserve">BAHAGIAN 5 — SOAL JAWAB / ORAL EXAMINATION (20 MARKAH)</w:t>
      </w:r>
    </w:p>
    <w:p>
      <w:pPr>
        <w:pStyle w:val="FirstParagraph"/>
      </w:pPr>
      <w:r>
        <w:rPr>
          <w:rFonts w:ascii="Arial" w:hAnsi="Arial" w:cs="Arial" w:eastAsia="Arial"/>
        </w:rPr>
        <w:t xml:space="preserve">Pemeriksa mengemukakan 10 soalan secara lisan kepada calon. Setiap soalan membawa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 markah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Panduan: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Pemeriksa boleh memilih mana-mana 10 soalan daripada senarai di bawah berdasarkan tugasan yang dilengkap oleh calon. Jawapan yang diterima dinyatakan dalam kurungan [ ].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24" w:name="soalan-soal-jawab-dan-jawapan-diterima"/>
    <w:p>
      <w:pPr>
        <w:pStyle w:val="Heading3"/>
      </w:pPr>
      <w:r>
        <w:rPr>
          <w:rFonts w:ascii="Arial" w:hAnsi="Arial" w:cs="Arial" w:eastAsia="Arial"/>
        </w:rPr>
        <w:t xml:space="preserve">Soalan Soal Jawab dan Jawapan Diterima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 (C01 — Reception):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TIGA elemen utama yang perlu ada dalam Visitor Log Book bagi memastikan ia memenuhi piawaian SOP penerimaan tetamu pejabat?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[Nama dan IC/kad nama pelawat / Nama syarikat / Tujuan lawatan / Nama orang yang ditemui / Masa masuk dan keluar / Nombor lencana / Nama petugas kaunter yang merekod]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(Mana-mana 3 elemen diterima — 2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2 (C01 — Communication):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Jelaskan PERBEZAAN antara prosedur pengendalian mel masuk bertanda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“CONFIDENTIAL”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berbanding mel biasa di sesebuah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[CONFIDENTIAL: ① tidak dibuka oleh staf kaunter ② diserahkan terus kepada penerima / dengan menggunakan sampul tertutup ③ memerlukan tandatangan akuan terima ④ dicatat dengan klasifikasi Sulit dalam rekod dalaman. Mel biasa: boleh diasingkan dan dihantar kepada jabatan berkenaan melalui mel dalaman biasa tanpa prosedur khas]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(Perbezaan yang jelas dan tepat — 2 markah; jawapan separa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3 (C02 — Petty Cash):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had imprest petty cash dan apakah tindakan yang perlu diambil apabila baki hampir mencapai paras minimum?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[Had imprest = jumlah maksimum yang boleh dipegang dalam tabung petty cash (contoh RM300). Apabila baki rendah: ① Sediakan tuntutan reimbursement dengan appendix semua resit ② Kemukakan kepada pengurus kewangan untuk kelulusan ③ Dapatkan cek atau pindahan wang untuk menambah semula tabung ke had imprest]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jawapan lengkap)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4 (C02 — Bills):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risiko kepada pejabat jika bil utiliti seperti bil elektrik tidak dibayar dalam tempoh yang ditetapkan?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[① Penalti lewat bayar (late payment charges) ② Pemutusan bekalan elektrik/internet yang mengganggu operasi ③ Reputasi syarikat terjejas jika bayaran lalai berulang kali ④ Kredit syarikat terjejas ⑤ Kos penyambungan semula (reconnection fee)]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(Mana-mana 2 risiko yang relevan — 2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5 (C03 — Procurement):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perbezaan antara Purchase Requisition dan Purchase Order? Siapa yang bertanggungjawab menyediakan setiap satu?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[Purchase Requisition (PR): dokumen dalaman yang disiapkan oleh jabatan pemohon untuk meminta kelulusan membeli barang — tanggungjawab staf jabatan tersebut. Purchase Order (PO): dokumen rasmi yang dikeluarkan oleh jabatan perolehan/kewangan kepada pembekal selepas PR diluluskan — tanggungjawab Pegawai Perolehan / Pengurus]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perbezaan yang jelas)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6 (C03 — Green Procurement):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Mengapakah green procurement penting dalam pengurusan pejabat pada masa kini? Berikan SATU contoh aplikasi praktikal.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[Kepentingan: mengurangkan kesan alam sekitar, menepati dasar kerajaan/korporat, menjimatkan kos jangka panjang, meningkatkan imej syarikat. Contoh praktikal: ① Beli kertas kitar semula (recycled paper) daripada pembekal bersijil ② Pilih printer dengan mod jimat elektrik ③ Gunakan bekalan yang boleh diisi semula (refillable toner) ④ Beli dalam kuantiti besar untuk kurangkan pembungkusan dan penghantaran]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jawapan dengan kepentingan + contoh yang tepat)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7 (C04 — Inventory):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kaedah FIFO dan FEFO dalam pengurusan inventori? Bilakah FEFO lebih sesuai digunakan?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[FIFO (First In First Out): barang yang masuk lebih awal dikeluarkan dahulu — sesuai untuk barang am. FEFO (First Expire First Out): barang yang mempunyai tarikh luput lebih awal dikeluarkan dahulu — sesuai untuk barang yang mempunyai tarikh luput seperti cecair pembetulan (correction fluid), bateri, makanan/minuman pejabat, ubat-ubatan. FEFO lebih sesuai apabila tarikh luput adalah faktor kritikal keselamatan atau kualiti]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definisi + situasi yang tepat)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8 (C05 — Logistics):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maklumat yang perlu disertakan dalam Memo Perjalanan Kakitangan (Staff Travel Memo) bagi memastikan perjalanan dapat diatur dengan sempurna?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[Nama dan jawatan kakitangan / Tarikh dan masa perjalanan (pergi dan balik) / Destinasi / Mod pengangkutan dan kelas / Nama dan alamat hotel / Tempoh penginapan / Bajet diluluskan / Tujuan perjalanan / Nombor akaun atau kaedah bayaran balik (reimbursement) / Nombor telefon kecemasan]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(Mana-mana 5 maklumat — 2 markah; 3–4 — 1 markah)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9 (C06 — Documentation):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tiga peringkat klasifikasi dokumen pejabat yang biasa digunakan? Berikan SATU contoh bagi setiap peringkat.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[① General (Umum): surat pengesahan temujanji biasa, notis mesyuarat, buletin ② Semi-Confidential (Semi Sulit): laporan kewangan dalaman, data kakitangan, perjanjian dengan pelanggan ③ Confidential (Sulit): rekod gaji, dokumen undang-undang, audit dalaman, pelan perniagaan strategik]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3 peringkat dengan contoh yang tepat; 1 markah untuk 2 peringkat)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10 (C06 — Filing):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kaedah pemfailan kronologi (chronological filing) dan nyatakan DUA kelebihannya berbanding kaedah abjad.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[Kaedah kronologi: dokumen disusun mengikut urutan tarikh dari yang terbaru (atau terlama) — biasanya terbaru di hadapan. Kelebihan berbanding abjad: ① Mudah untuk mengesan dokumen berdasarkan tempoh masa (contoh: semua surat September 2026 bersama-sama) ② Sesuai untuk dokumen yang mempunyai kitaran masa (bil, laporan bulanan) ③ Tidak perlu tahu nama pengirim/penerima untuk mencari dokumen ④ Lebih ringkas untuk dokumen yang berjenis sama dari tempoh yang sama]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definisi + 2 kelebihan yang tepat)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11 (C07 — Appraisal):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tujuan utama penilaian prestasi (performance appraisal) kakitangan dalam organisasi? Bagaimana keputusan penilaian ini boleh digunakan untuk pembangunan kakitangan?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[Tujuan: ① Mengukur pencapaian kakitangan berbanding sasaran ② Mengenal pasti kekuatan dan kelemahan ③ Menjadi asas kenaikan pangkat, bonus, atau tindakan tatatertib. Penggunaan untuk pembangunan: ① Rancang program latihan untuk kemahiran yang lemah ② Susun pelan pembangunan kerjaya (career development plan) ③ Tetapkan KPI baharu yang lebih realistik untuk tempoh seterusnya ④ Kenalpasti calon untuk kenaikan pangkat atau tanggungjawab tambahan]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jawapan yang merangkumi tujuan dan penggunaan)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Soalan 12 (C07 — Meeting):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LIMA elemen asas yang mesti ada dalam Agenda Mesyuarat rasmi? Jelaskan kepentingan mendokumentasikan minit mesyuarat.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[Lima elemen: ① Tajuk/jenis mesyuarat ② Tarikh, masa, tempat ③ Nama pengerusi dan peserta ④ Senarai agenda dengan masa dan orang bertanggungjawab ⑤ Ruangan minit/nota perbincangan. Kepentingan minit: ① Rekod rasmi keputusan dan tindakan yang dipersetujui ② Rujukan untuk tindakan susulan ③ Bukti yang boleh digunakan jika timbul pertikaian ④ Memastikan akauntabiliti]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(2 markah untuk 5 elemen + penjelasan kepentingan yang tepat)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markah-soal-jawab"/>
    <w:p>
      <w:pPr>
        <w:pStyle w:val="Heading3"/>
      </w:pPr>
      <w:r>
        <w:rPr>
          <w:rFonts w:ascii="Arial" w:hAnsi="Arial" w:cs="Arial" w:eastAsia="Arial"/>
        </w:rPr>
        <w:t xml:space="preserve">MARKAH SOAL JAWAB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91"/>
        <w:gridCol w:w="3105"/>
        <w:gridCol w:w="2195"/>
        <w:gridCol w:w="2278"/>
      </w:tblGrid>
      <w:tr>
        <w:trPr>
          <w:tblHeader w:val="on"/>
          <w:cantSplit/>
        </w:trPr>
        <w:tc>
          <w:tcPr>
            <w:tcW w:type="dxa" w:w="14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31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 Dipilih (Tulis No.)</w:t>
            </w:r>
          </w:p>
        </w:tc>
        <w:tc>
          <w:tcPr>
            <w:tcW w:type="dxa" w:w="21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Calon</w:t>
            </w:r>
          </w:p>
        </w:tc>
        <w:tc>
          <w:tcPr>
            <w:tcW w:type="dxa" w:w="22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(0/1/2)</w:t>
            </w: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4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3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Sub-total Bahagian 5: ____ / 20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End w:id="26"/>
    <w:bookmarkStart w:id="27" w:name="ringkasan-markah-akhir"/>
    <w:p>
      <w:pPr>
        <w:pStyle w:val="Heading2"/>
      </w:pPr>
      <w:r>
        <w:rPr>
          <w:rFonts w:ascii="Arial" w:hAnsi="Arial" w:cs="Arial" w:eastAsia="Arial"/>
        </w:rPr>
        <w:t xml:space="preserve">RINGKASAN MARKAH AKHIR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00"/>
        <w:gridCol w:w="1862"/>
        <w:gridCol w:w="1862"/>
        <w:gridCol w:w="1862"/>
        <w:gridCol w:w="1783"/>
      </w:tblGrid>
      <w:tr>
        <w:trPr>
          <w:tblHeader w:val="on"/>
          <w:cantSplit/>
        </w:trPr>
        <w:tc>
          <w:tcPr>
            <w:tcW w:type="dxa" w:w="17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18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Komponen</w:t>
            </w:r>
          </w:p>
        </w:tc>
        <w:tc>
          <w:tcPr>
            <w:tcW w:type="dxa" w:w="18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Penuh</w:t>
            </w:r>
          </w:p>
        </w:tc>
        <w:tc>
          <w:tcPr>
            <w:tcW w:type="dxa" w:w="18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Calon</w:t>
            </w:r>
          </w:p>
        </w:tc>
        <w:tc>
          <w:tcPr>
            <w:tcW w:type="dxa" w:w="17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Peratus (%)</w:t>
            </w: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2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3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4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Kerja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Bahagian 5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</w:t>
            </w:r>
          </w:p>
        </w:tc>
        <w:tc>
          <w:tcPr>
            <w:tcW w:type="dxa" w:w="18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Keputusan: LULUS / GAGAL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(Tandakan yang berkenaan)</w:t>
      </w:r>
    </w:p>
    <w:p>
      <w:pPr>
        <w:pStyle w:val="BlockText"/>
      </w:pPr>
      <w:r>
        <w:rPr>
          <w:rFonts w:ascii="Arial" w:hAnsi="Arial" w:cs="Arial" w:eastAsia="Arial"/>
        </w:rPr>
        <w:t xml:space="preserve">Lulus = Jumlah ≥ 70 markah</w:t>
      </w:r>
    </w:p>
    <w:p>
      <w:pPr>
        <w:pStyle w:val="FirstParagraph"/>
      </w:pPr>
      <w:r>
        <w:rPr>
          <w:rFonts w:ascii="Arial" w:hAnsi="Arial" w:cs="Arial" w:eastAsia="Arial"/>
        </w:rPr>
        <w:t xml:space="preserve">Komen Pemeriksa: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Tandatangan Pemeriksa: __________________ Tarikh: 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Tandatangan Ketua Pemeriksa: __________________ Tarikh: 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SKEMA INI ADALAH SULIT DAN HANYA UNTUK KEGUNAAN PEMERIKSA / PPL SAHAJA.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N821-001-3:2020/2026/A/01</w:t>
      </w:r>
    </w:p>
    <w:bookmarkEnd w:id="27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N821-001-3:2020/2026/A/01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2026-08-25T15:29:27Z</dcterms:created>
  <dcterms:modified xsi:type="dcterms:W3CDTF">2026-08-25T15:29:27Z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