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P851-002-4:2025-C05-W01 / Carry out preschool parental-community activities</w:t>
            </w:r>
          </w:p>
          <w:p>
            <w:r>
              <w:rPr>
                <w:b/>
              </w:rPr>
              <w:t>P851-002-4:2025-C05-W02 / Engage relationship with family and community</w:t>
            </w:r>
          </w:p>
          <w:p>
            <w: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P851-002-4:2025-C05/NP(2/3)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spacing w:before="160" w:after="60"/>
      </w:pPr>
      <w:r>
        <w:rPr>
          <w:rFonts w:ascii="Arial" w:hAnsi="Arial"/>
          <w:b/>
          <w:color w:val="1F4E79"/>
        </w:rPr>
        <w:t>PROSES KERJA BERKAITAN:</w:t>
      </w:r>
    </w:p>
    <w:p>
      <w:r>
        <w:t>P12</w:t>
      </w:r>
    </w:p>
    <w:p>
      <w:pPr>
        <w:spacing w:before="160" w:after="60"/>
      </w:pPr>
      <w:r>
        <w:rPr>
          <w:rFonts w:ascii="Arial" w:hAnsi="Arial"/>
          <w:b/>
          <w:color w:val="1F4E79"/>
        </w:rPr>
        <w:t>JAM PENGETAHUAN:</w:t>
      </w:r>
    </w:p>
    <w:p>
      <w:r>
        <w:t>67.2 j (168 j x 40% pemberat WA)</w:t>
      </w:r>
    </w:p>
    <w:p/>
    <w:p>
      <w:pPr>
        <w:spacing w:before="160" w:after="60"/>
      </w:pPr>
      <w:r>
        <w:rPr>
          <w:rFonts w:ascii="Arial" w:hAnsi="Arial"/>
          <w:b/>
          <w:color w:val="1F4E79"/>
        </w:rPr>
        <w:t>TAJUK:</w:t>
      </w:r>
    </w:p>
    <w:p>
      <w:r>
        <w:t>Menjalin Hubungan dengan Keluarga dan Komuniti (Engaging Relationship with Family and Community)</w:t>
      </w:r>
    </w:p>
    <w:p/>
    <w:p>
      <w:pPr>
        <w:spacing w:before="160" w:after="60"/>
      </w:pPr>
      <w:r>
        <w:rPr>
          <w:rFonts w:ascii="Arial" w:hAnsi="Arial"/>
          <w:b/>
          <w:color w:val="1F4E79"/>
        </w:rPr>
        <w:t>TUJUAN:</w:t>
      </w:r>
    </w:p>
    <w:p>
      <w:r>
        <w:t>Nota Pembelajaran ini bertujuan untuk membimbing Bakat memahami dan menguasai proses menjalin hubungan berkesan dengan keluarga dan komuniti setempat, merangkumi (Bab 1) pemahaman maklumat kawasan sekitar (locality), (Bab 2) teknik komunikasi berkesan dengan pelbagai pihak, serta (Bab 3) prosedur menyelaraskan aktiviti mengikut garis panduan yang diluluskan. Kesemua topik ini penting kerana hubungan yang kukuh antara tadika, keluarga dan komuniti membantu memperkasakan sokongan terhadap perkembangan murid dan mengukuhkan imej tadika dalam masyarakat setempat. Selepas melalui nota ini, Bakat akan berupaya untuk:</w:t>
      </w:r>
    </w:p>
    <w:p>
      <w:pPr>
        <w:spacing w:after="60"/>
        <w:ind w:left="360" w:hanging="360"/>
      </w:pPr>
      <w:r>
        <w:rPr>
          <w:rFonts w:ascii="Arial" w:hAnsi="Arial"/>
          <w:color w:val="2E75B6"/>
          <w:sz w:val="22"/>
        </w:rPr>
        <w:t>●</w:t>
        <w:tab/>
      </w:r>
      <w:r>
        <w:rPr>
          <w:rFonts w:ascii="Arial" w:hAnsi="Arial"/>
          <w:sz w:val="22"/>
        </w:rPr>
        <w:t>Mengenal pasti maklumat latar belakang komuniti dan peserta program.</w:t>
      </w:r>
    </w:p>
    <w:p>
      <w:pPr>
        <w:spacing w:after="60"/>
        <w:ind w:left="360" w:hanging="360"/>
      </w:pPr>
      <w:r>
        <w:rPr>
          <w:rFonts w:ascii="Arial" w:hAnsi="Arial"/>
          <w:color w:val="2E75B6"/>
          <w:sz w:val="22"/>
        </w:rPr>
        <w:t>●</w:t>
        <w:tab/>
      </w:r>
      <w:r>
        <w:rPr>
          <w:rFonts w:ascii="Arial" w:hAnsi="Arial"/>
          <w:sz w:val="22"/>
        </w:rPr>
        <w:t>Berkomunikasi secara berkesan dengan ibu bapa, komuniti, murid dan tetamu khas.</w:t>
      </w:r>
    </w:p>
    <w:p>
      <w:pPr>
        <w:spacing w:after="60"/>
        <w:ind w:left="360" w:hanging="360"/>
      </w:pPr>
      <w:r>
        <w:rPr>
          <w:rFonts w:ascii="Arial" w:hAnsi="Arial"/>
          <w:color w:val="2E75B6"/>
          <w:sz w:val="22"/>
        </w:rPr>
        <w:t>●</w:t>
        <w:tab/>
      </w:r>
      <w:r>
        <w:rPr>
          <w:rFonts w:ascii="Arial" w:hAnsi="Arial"/>
          <w:sz w:val="22"/>
        </w:rPr>
        <w:t>Menyelaraskan aktiviti dan program ibu bapa-komuniti mengikut garis panduan yang diluluskan.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Information of locality</w:t>
      </w:r>
    </w:p>
    <w:p>
      <w:pPr>
        <w:spacing w:after="60"/>
        <w:ind w:left="360" w:hanging="360"/>
      </w:pPr>
      <w:r>
        <w:rPr>
          <w:rFonts w:ascii="Arial" w:hAnsi="Arial"/>
          <w:color w:val="2E75B6"/>
          <w:sz w:val="22"/>
        </w:rPr>
        <w:t>●</w:t>
        <w:tab/>
      </w:r>
      <w:r>
        <w:rPr>
          <w:rFonts w:ascii="Arial" w:hAnsi="Arial"/>
          <w:sz w:val="22"/>
        </w:rPr>
        <w:t>Bab 2: Effective communication</w:t>
      </w:r>
    </w:p>
    <w:p>
      <w:pPr>
        <w:spacing w:after="60"/>
        <w:ind w:left="360" w:hanging="360"/>
      </w:pPr>
      <w:r>
        <w:rPr>
          <w:rFonts w:ascii="Arial" w:hAnsi="Arial"/>
          <w:color w:val="2E75B6"/>
          <w:sz w:val="22"/>
        </w:rPr>
        <w:t>●</w:t>
        <w:tab/>
      </w:r>
      <w:r>
        <w:rPr>
          <w:rFonts w:ascii="Arial" w:hAnsi="Arial"/>
          <w:sz w:val="22"/>
        </w:rPr>
        <w:t>Bab 3: Activity procedure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Information of locality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memahami latar belakang komuniti sekitar tadika.</w:t>
            </w:r>
          </w:p>
          <w:p>
            <w:pPr>
              <w:spacing w:after="40"/>
              <w:ind w:left="320" w:hanging="320"/>
            </w:pPr>
            <w:r>
              <w:rPr>
                <w:rFonts w:ascii="Arial" w:hAnsi="Arial"/>
                <w:color w:val="2E75B6"/>
                <w:sz w:val="22"/>
              </w:rPr>
              <w:t>●</w:t>
              <w:tab/>
            </w:r>
            <w:r>
              <w:rPr>
                <w:rFonts w:ascii="Arial" w:hAnsi="Arial"/>
                <w:sz w:val="22"/>
              </w:rPr>
              <w:t>Mengenal pasti profil peserta program ibu bapa-komuniti.</w:t>
            </w:r>
          </w:p>
          <w:p>
            <w:pPr>
              <w:spacing w:after="40"/>
              <w:ind w:left="320" w:hanging="320"/>
            </w:pPr>
            <w:r>
              <w:rPr>
                <w:rFonts w:ascii="Arial" w:hAnsi="Arial"/>
                <w:color w:val="2E75B6"/>
                <w:sz w:val="22"/>
              </w:rPr>
              <w:t>●</w:t>
              <w:tab/>
            </w:r>
            <w:r>
              <w:rPr>
                <w:rFonts w:ascii="Arial" w:hAnsi="Arial"/>
                <w:sz w:val="22"/>
              </w:rPr>
              <w:t>Menghubungkaitkan maklumat kawasan dengan perancangan aktiviti yang relevan.</w:t>
            </w:r>
          </w:p>
        </w:tc>
      </w:tr>
    </w:tbl>
    <w:p>
      <w:pPr>
        <w:keepNext/>
        <w:spacing w:before="160" w:after="60"/>
      </w:pPr>
      <w:r>
        <w:rPr>
          <w:rFonts w:ascii="Arial" w:hAnsi="Arial"/>
          <w:b/>
          <w:color w:val="1F4E79"/>
          <w:sz w:val="24"/>
        </w:rPr>
        <w:t>1. Background Community (Latar Belakang Komuniti)</w:t>
      </w:r>
    </w:p>
    <w:p>
      <w:r>
        <w:t>Setiap tadika terletak dalam persekitaran komuniti yang berbeza — ada yang di kawasan bandar dengan penduduk pelbagai kaum dan latar belakang sosioekonomi, ada pula di kawasan luar bandar yang lebih rapat dengan agensi seperti KEMAS. Guru prasekolah perlu memahami latar belakang ini agar program yang dirancang benar-benar relevan dan diterima oleh komuniti setempat.</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Aspek Latar Belakang</w:t>
            </w:r>
          </w:p>
        </w:tc>
        <w:tc>
          <w:tcPr>
            <w:tcW w:type="dxa" w:w="4656"/>
            <w:shd w:val="clear" w:color="auto" w:fill="DCE6F1"/>
          </w:tcPr>
          <w:p>
            <w:pPr>
              <w:spacing w:after="40"/>
            </w:pPr>
            <w:r>
              <w:rPr>
                <w:rFonts w:ascii="Arial" w:hAnsi="Arial"/>
                <w:b/>
                <w:color w:val="1F4E79"/>
                <w:sz w:val="20"/>
              </w:rPr>
              <w:t>Contoh Pertimbangan</w:t>
            </w:r>
          </w:p>
        </w:tc>
      </w:tr>
      <w:tr>
        <w:tc>
          <w:tcPr>
            <w:tcW w:type="dxa" w:w="4656"/>
          </w:tcPr>
          <w:p>
            <w:pPr>
              <w:spacing w:after="40"/>
            </w:pPr>
            <w:r>
              <w:rPr>
                <w:rFonts w:ascii="Arial" w:hAnsi="Arial"/>
                <w:sz w:val="20"/>
              </w:rPr>
              <w:t>Kaum dan agama</w:t>
            </w:r>
          </w:p>
        </w:tc>
        <w:tc>
          <w:tcPr>
            <w:tcW w:type="dxa" w:w="4656"/>
          </w:tcPr>
          <w:p>
            <w:pPr>
              <w:spacing w:after="40"/>
            </w:pPr>
            <w:r>
              <w:rPr>
                <w:rFonts w:ascii="Arial" w:hAnsi="Arial"/>
                <w:sz w:val="20"/>
              </w:rPr>
              <w:t>Kesesuaian tarikh/menu semasa perayaan pelbagai kaum</w:t>
            </w:r>
          </w:p>
        </w:tc>
      </w:tr>
      <w:tr>
        <w:tc>
          <w:tcPr>
            <w:tcW w:type="dxa" w:w="4656"/>
          </w:tcPr>
          <w:p>
            <w:pPr>
              <w:spacing w:after="40"/>
            </w:pPr>
            <w:r>
              <w:rPr>
                <w:rFonts w:ascii="Arial" w:hAnsi="Arial"/>
                <w:sz w:val="20"/>
              </w:rPr>
              <w:t>Sosioekonomi</w:t>
            </w:r>
          </w:p>
        </w:tc>
        <w:tc>
          <w:tcPr>
            <w:tcW w:type="dxa" w:w="4656"/>
          </w:tcPr>
          <w:p>
            <w:pPr>
              <w:spacing w:after="40"/>
            </w:pPr>
            <w:r>
              <w:rPr>
                <w:rFonts w:ascii="Arial" w:hAnsi="Arial"/>
                <w:sz w:val="20"/>
              </w:rPr>
              <w:t>Bajet aktiviti yang mampu ditanggung ibu bapa</w:t>
            </w:r>
          </w:p>
        </w:tc>
      </w:tr>
      <w:tr>
        <w:tc>
          <w:tcPr>
            <w:tcW w:type="dxa" w:w="4656"/>
          </w:tcPr>
          <w:p>
            <w:pPr>
              <w:spacing w:after="40"/>
            </w:pPr>
            <w:r>
              <w:rPr>
                <w:rFonts w:ascii="Arial" w:hAnsi="Arial"/>
                <w:sz w:val="20"/>
              </w:rPr>
              <w:t>Lokasi (bandar/luar bandar)</w:t>
            </w:r>
          </w:p>
        </w:tc>
        <w:tc>
          <w:tcPr>
            <w:tcW w:type="dxa" w:w="4656"/>
          </w:tcPr>
          <w:p>
            <w:pPr>
              <w:spacing w:after="40"/>
            </w:pPr>
            <w:r>
              <w:rPr>
                <w:rFonts w:ascii="Arial" w:hAnsi="Arial"/>
                <w:sz w:val="20"/>
              </w:rPr>
              <w:t>Kemudahan pengangkutan dan akses ke tempat aktiviti</w:t>
            </w:r>
          </w:p>
        </w:tc>
      </w:tr>
      <w:tr>
        <w:tc>
          <w:tcPr>
            <w:tcW w:type="dxa" w:w="4656"/>
          </w:tcPr>
          <w:p>
            <w:pPr>
              <w:spacing w:after="40"/>
            </w:pPr>
            <w:r>
              <w:rPr>
                <w:rFonts w:ascii="Arial" w:hAnsi="Arial"/>
                <w:sz w:val="20"/>
              </w:rPr>
              <w:t>Bahasa pertuturan</w:t>
            </w:r>
          </w:p>
        </w:tc>
        <w:tc>
          <w:tcPr>
            <w:tcW w:type="dxa" w:w="4656"/>
          </w:tcPr>
          <w:p>
            <w:pPr>
              <w:spacing w:after="40"/>
            </w:pPr>
            <w:r>
              <w:rPr>
                <w:rFonts w:ascii="Arial" w:hAnsi="Arial"/>
                <w:sz w:val="20"/>
              </w:rPr>
              <w:t>Penggunaan bahasa yang sesuai dalam komunikasi (BM, BI, dialek tempatan)</w:t>
            </w:r>
          </w:p>
        </w:tc>
      </w:tr>
    </w:tbl>
    <w:p>
      <w:pPr>
        <w:keepNext/>
        <w:spacing w:before="160" w:after="60"/>
      </w:pPr>
      <w:r>
        <w:rPr>
          <w:rFonts w:ascii="Arial" w:hAnsi="Arial"/>
          <w:b/>
          <w:color w:val="1F4E79"/>
          <w:sz w:val="24"/>
        </w:rPr>
        <w:t>2. Participant (Peserta)</w:t>
      </w:r>
    </w:p>
    <w:p>
      <w:r>
        <w:t>Selain ibu bapa dan murid, peserta program boleh melibatkan datuk/nenek (penjaga), jiran komuniti, wakil agensi (KEMAS, JKM, PERPADUAN) dan kadangkala pihak berkuasa tempatan. Mengenal pasti profil peserta membantu guru merancang aktiviti yang sesuai dengan keperluan dan minat kumpulan sasaran.</w:t>
      </w:r>
    </w:p>
    <w:p>
      <w:pPr>
        <w:keepNext/>
        <w:spacing w:before="160" w:after="60"/>
      </w:pPr>
      <w:r>
        <w:rPr>
          <w:rFonts w:ascii="Arial" w:hAnsi="Arial"/>
          <w:b/>
          <w:color w:val="1F4E79"/>
          <w:sz w:val="24"/>
        </w:rPr>
        <w:t>3. Contoh Amalan di Tadika</w:t>
      </w:r>
    </w:p>
    <w:p>
      <w:r>
        <w:t>Sebagai contoh, tadika yang terletak berhampiran kawasan perumahan kos rendah mungkin mengutamakan aktiviti percuma atau kos rendah seperti gotong-royong dan ceramah kesihatan komuniti bersama JKM, berbanding aktiviti berbayar seperti lawatan luar.</w:t>
      </w:r>
    </w:p>
    <w:p>
      <w:pPr>
        <w:keepNext/>
        <w:spacing w:before="160" w:after="60"/>
      </w:pPr>
      <w:r>
        <w:rPr>
          <w:rFonts w:ascii="Arial" w:hAnsi="Arial"/>
          <w:b/>
          <w:color w:val="1F4E79"/>
          <w:sz w:val="24"/>
        </w:rPr>
        <w:t>4. Prosedur Mengumpul Maklumat Latar Belakang Komuniti</w:t>
      </w:r>
    </w:p>
    <w:p>
      <w:r>
        <w:t>Guru boleh mengumpul maklumat latar belakang komuniti melalui beberapa kaedah: (i) menyemak rekod pendaftaran murid (alamat, bahasa pertuturan di rumah, latar belakang keluarga); (ii) berbincang dengan guru kanan/pengetua yang lebih lama berkhidmat di kawasan tersebut; (iii) melawat/memerhati kawasan sekitar tadika (jenis perumahan, kemudahan awam, pusat komuniti berdekatan); (iv) berhubung dengan pegawai KEMAS/JKM/PERPADUAN kawasan untuk mendapatkan gambaran demografi setempat. Maklumat ini dikumpul sekali sahaja pada awal tahun persekolahan dan dikemas kini sekiranya terdapat perubahan ketara pada profil murid baharu.</w:t>
      </w:r>
    </w:p>
    <w:p>
      <w:pPr>
        <w:keepNext/>
        <w:spacing w:before="160" w:after="60"/>
      </w:pPr>
      <w:r>
        <w:rPr>
          <w:rFonts w:ascii="Arial" w:hAnsi="Arial"/>
          <w:b/>
          <w:color w:val="1F4E79"/>
          <w:sz w:val="24"/>
        </w:rPr>
        <w:t>5. Templat Profil Komuniti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Aspek</w:t>
            </w:r>
          </w:p>
        </w:tc>
        <w:tc>
          <w:tcPr>
            <w:tcW w:type="dxa" w:w="4656"/>
            <w:shd w:val="clear" w:color="auto" w:fill="DCE6F1"/>
          </w:tcPr>
          <w:p>
            <w:pPr>
              <w:spacing w:after="40"/>
            </w:pPr>
            <w:r>
              <w:rPr>
                <w:rFonts w:ascii="Arial" w:hAnsi="Arial"/>
                <w:b/>
                <w:color w:val="1F4E79"/>
                <w:sz w:val="20"/>
              </w:rPr>
              <w:t>Maklumat</w:t>
            </w:r>
          </w:p>
        </w:tc>
      </w:tr>
      <w:tr>
        <w:tc>
          <w:tcPr>
            <w:tcW w:type="dxa" w:w="4656"/>
          </w:tcPr>
          <w:p>
            <w:pPr>
              <w:spacing w:after="40"/>
            </w:pPr>
            <w:r>
              <w:rPr>
                <w:rFonts w:ascii="Arial" w:hAnsi="Arial"/>
                <w:sz w:val="20"/>
              </w:rPr>
              <w:t>Lokasi tadika</w:t>
            </w:r>
          </w:p>
        </w:tc>
        <w:tc>
          <w:tcPr>
            <w:tcW w:type="dxa" w:w="4656"/>
          </w:tcPr>
          <w:p>
            <w:pPr>
              <w:spacing w:after="40"/>
            </w:pPr>
            <w:r>
              <w:rPr>
                <w:rFonts w:ascii="Arial" w:hAnsi="Arial"/>
                <w:sz w:val="20"/>
              </w:rPr>
              <w:t>⟪bandar / pinggir bandar / luar bandar⟫</w:t>
            </w:r>
          </w:p>
        </w:tc>
      </w:tr>
      <w:tr>
        <w:tc>
          <w:tcPr>
            <w:tcW w:type="dxa" w:w="4656"/>
          </w:tcPr>
          <w:p>
            <w:pPr>
              <w:spacing w:after="40"/>
            </w:pPr>
            <w:r>
              <w:rPr>
                <w:rFonts w:ascii="Arial" w:hAnsi="Arial"/>
                <w:sz w:val="20"/>
              </w:rPr>
              <w:t>Majoriti kaum/agama murid</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Julat sosioekonomi</w:t>
            </w:r>
          </w:p>
        </w:tc>
        <w:tc>
          <w:tcPr>
            <w:tcW w:type="dxa" w:w="4656"/>
          </w:tcPr>
          <w:p>
            <w:pPr>
              <w:spacing w:after="40"/>
            </w:pPr>
            <w:r>
              <w:rPr>
                <w:rFonts w:ascii="Arial" w:hAnsi="Arial"/>
                <w:sz w:val="20"/>
              </w:rPr>
              <w:t>⟪rendah / sederhana / campuran⟫</w:t>
            </w:r>
          </w:p>
        </w:tc>
      </w:tr>
      <w:tr>
        <w:tc>
          <w:tcPr>
            <w:tcW w:type="dxa" w:w="4656"/>
          </w:tcPr>
          <w:p>
            <w:pPr>
              <w:spacing w:after="40"/>
            </w:pPr>
            <w:r>
              <w:rPr>
                <w:rFonts w:ascii="Arial" w:hAnsi="Arial"/>
                <w:sz w:val="20"/>
              </w:rPr>
              <w:t>Bahasa utama di rumah</w:t>
            </w:r>
          </w:p>
        </w:tc>
        <w:tc>
          <w:tcPr>
            <w:tcW w:type="dxa" w:w="4656"/>
          </w:tcPr>
          <w:p>
            <w:pPr>
              <w:spacing w:after="40"/>
            </w:pPr>
            <w:r>
              <w:rPr>
                <w:rFonts w:ascii="Arial" w:hAnsi="Arial"/>
                <w:sz w:val="20"/>
              </w:rPr>
              <w:t>⟪BM / BI / dialek / bahasa ibunda lain⟫</w:t>
            </w:r>
          </w:p>
        </w:tc>
      </w:tr>
      <w:tr>
        <w:tc>
          <w:tcPr>
            <w:tcW w:type="dxa" w:w="4656"/>
          </w:tcPr>
          <w:p>
            <w:pPr>
              <w:spacing w:after="40"/>
            </w:pPr>
            <w:r>
              <w:rPr>
                <w:rFonts w:ascii="Arial" w:hAnsi="Arial"/>
                <w:sz w:val="20"/>
              </w:rPr>
              <w:t>Agensi komuniti berdekatan</w:t>
            </w:r>
          </w:p>
        </w:tc>
        <w:tc>
          <w:tcPr>
            <w:tcW w:type="dxa" w:w="4656"/>
          </w:tcPr>
          <w:p>
            <w:pPr>
              <w:spacing w:after="40"/>
            </w:pPr>
            <w:r>
              <w:rPr>
                <w:rFonts w:ascii="Arial" w:hAnsi="Arial"/>
                <w:sz w:val="20"/>
              </w:rPr>
              <w:t>⟪KEMAS / JKM / PERPADUAN / klinik kesihatan⟫</w:t>
            </w:r>
          </w:p>
        </w:tc>
      </w:tr>
      <w:tr>
        <w:tc>
          <w:tcPr>
            <w:tcW w:type="dxa" w:w="4656"/>
          </w:tcPr>
          <w:p>
            <w:pPr>
              <w:spacing w:after="40"/>
            </w:pPr>
            <w:r>
              <w:rPr>
                <w:rFonts w:ascii="Arial" w:hAnsi="Arial"/>
                <w:sz w:val="20"/>
              </w:rPr>
              <w:t>Cabaran biasa ibu bapa</w:t>
            </w:r>
          </w:p>
        </w:tc>
        <w:tc>
          <w:tcPr>
            <w:tcW w:type="dxa" w:w="4656"/>
          </w:tcPr>
          <w:p>
            <w:pPr>
              <w:spacing w:after="40"/>
            </w:pPr>
            <w:r>
              <w:rPr>
                <w:rFonts w:ascii="Arial" w:hAnsi="Arial"/>
                <w:sz w:val="20"/>
              </w:rPr>
              <w:t>⟪waktu kerja syif / pengangkutan / bahasa⟫</w:t>
            </w:r>
          </w:p>
        </w:tc>
      </w:tr>
    </w:tbl>
    <w:p>
      <w:pPr>
        <w:keepNext/>
        <w:spacing w:before="160" w:after="60"/>
      </w:pPr>
      <w:r>
        <w:rPr>
          <w:rFonts w:ascii="Arial" w:hAnsi="Arial"/>
          <w:b/>
          <w:color w:val="1F4E79"/>
          <w:sz w:val="24"/>
        </w:rPr>
        <w:t>6. Kepentingan Maklumat Locality terhadap Pemilihan Aktiviti</w:t>
      </w:r>
    </w:p>
    <w:p>
      <w:r>
        <w:t>Maklumat latar belakang komuniti secara langsung mempengaruhi jenis, tarikh, masa dan kaedah pelaksanaan aktiviti ibu bapa-komuniti. Contohnya, tadika di kawasan dengan ramai ibu bapa bekerja syif kilang perlu mengelak menganjurkan aktiviti pada waktu tengah hari kerja, manakala tadika di kawasan pelbagai kaum perlu peka terhadap tarikh perayaan dan jenis makanan yang sesuai disediakan semasa jamuan bersama.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Salah Anggaran Latar Belakang Komuniti</w:t>
            </w:r>
          </w:p>
          <w:p>
            <w:pPr>
              <w:spacing w:after="40"/>
            </w:pPr>
            <w:r>
              <w:rPr>
                <w:rFonts w:ascii="Arial" w:hAnsi="Arial"/>
                <w:sz w:val="22"/>
              </w:rPr>
              <w:t>Seorang guru baharu di sebuah tadika bandar merancang aktiviti "Hari Membeli-belah Bersama Ibu Bapa" tanpa menyemak latar belakang sosioekonomi murid terlebih dahulu, menyebabkan beberapa keluarga berpendapatan rendah berasa tertekan untuk turut membelanjakan wang. Selepas guru besar menjelaskan profil sosioekonomi sebenar komuniti tadika tersebut, aktiviti digantikan dengan "Hari Kraf Tangan Bersama Ibu Bapa" yang tidak memerlukan sebarang perbelanjaan tambahan daripada keluarga, dan mendapat sambutan lebih baik tanpa membebankan mana-mana keluarga dari segi kewangan.</w:t>
            </w:r>
          </w:p>
        </w:tc>
      </w:tr>
    </w:tbl>
    <w:p>
      <w:pPr>
        <w:keepNext/>
        <w:spacing w:before="160" w:after="60"/>
      </w:pPr>
      <w:r>
        <w:rPr>
          <w:rFonts w:ascii="Arial" w:hAnsi="Arial"/>
          <w:b/>
          <w:color w:val="1F4E79"/>
          <w:sz w:val="24"/>
        </w:rPr>
        <w:t>8. Kesilapan Lazim dan Cara Mengelak</w:t>
      </w:r>
    </w:p>
    <w:p>
      <w:r>
        <w:t>Kesilapan lazim ialah menganggap semua ibu bapa mempunyai latar belakang dan keupayaan kewangan yang sama, menyebabkan aktiviti yang dirancang tidak inklusif. Kesilapan lain ialah tidak mengambil kira bahasa pertuturan pelbagai kaum semasa merancang komunikasi bertulis. Cara mengelak: sentiasa rujuk templat profil komuniti sebelum merancang sebarang aktiviti, dan sediakan versi komunikasi ringkas dalam lebih daripada satu bahasa jika perlu (contoh: BM dan BI).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Menyemak Maklumat Locality Sebelum Merancang</w:t>
            </w:r>
          </w:p>
          <w:p>
            <w:pPr>
              <w:spacing w:after="40"/>
              <w:ind w:left="320" w:hanging="320"/>
            </w:pPr>
            <w:r>
              <w:rPr>
                <w:rFonts w:ascii="Arial" w:hAnsi="Arial"/>
                <w:color w:val="2E75B6"/>
                <w:sz w:val="22"/>
              </w:rPr>
              <w:t>●</w:t>
              <w:tab/>
            </w:r>
            <w:r>
              <w:rPr>
                <w:rFonts w:ascii="Arial" w:hAnsi="Arial"/>
                <w:sz w:val="22"/>
              </w:rPr>
              <w:t>[ ] Rekod pendaftaran murid disemak untuk latar belakang keluarga.</w:t>
            </w:r>
          </w:p>
          <w:p>
            <w:pPr>
              <w:spacing w:after="40"/>
              <w:ind w:left="320" w:hanging="320"/>
            </w:pPr>
            <w:r>
              <w:rPr>
                <w:rFonts w:ascii="Arial" w:hAnsi="Arial"/>
                <w:color w:val="2E75B6"/>
                <w:sz w:val="22"/>
              </w:rPr>
              <w:t>●</w:t>
              <w:tab/>
            </w:r>
            <w:r>
              <w:rPr>
                <w:rFonts w:ascii="Arial" w:hAnsi="Arial"/>
                <w:sz w:val="22"/>
              </w:rPr>
              <w:t>[ ] Profil sosioekonomi kawasan tadika diambil kira dalam anggaran kos aktiviti.</w:t>
            </w:r>
          </w:p>
          <w:p>
            <w:pPr>
              <w:spacing w:after="40"/>
              <w:ind w:left="320" w:hanging="320"/>
            </w:pPr>
            <w:r>
              <w:rPr>
                <w:rFonts w:ascii="Arial" w:hAnsi="Arial"/>
                <w:color w:val="2E75B6"/>
                <w:sz w:val="22"/>
              </w:rPr>
              <w:t>●</w:t>
              <w:tab/>
            </w:r>
            <w:r>
              <w:rPr>
                <w:rFonts w:ascii="Arial" w:hAnsi="Arial"/>
                <w:sz w:val="22"/>
              </w:rPr>
              <w:t>[ ] Bahasa pertuturan pelbagai kaum diambil kira dalam komunikasi.</w:t>
            </w:r>
          </w:p>
          <w:p>
            <w:pPr>
              <w:spacing w:after="40"/>
              <w:ind w:left="320" w:hanging="320"/>
            </w:pPr>
            <w:r>
              <w:rPr>
                <w:rFonts w:ascii="Arial" w:hAnsi="Arial"/>
                <w:color w:val="2E75B6"/>
                <w:sz w:val="22"/>
              </w:rPr>
              <w:t>●</w:t>
              <w:tab/>
            </w:r>
            <w:r>
              <w:rPr>
                <w:rFonts w:ascii="Arial" w:hAnsi="Arial"/>
                <w:sz w:val="22"/>
              </w:rPr>
              <w:t>[ ] Agensi komuniti berdekatan dikenal pasti untuk kemungkinan kerjasama.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Lengkapkan templat profil komuniti ringkas bagi tadika di tempat latihan/kerja sendiri.</w:t>
            </w:r>
          </w:p>
          <w:p>
            <w:pPr>
              <w:spacing w:after="40"/>
              <w:ind w:left="320" w:hanging="320"/>
            </w:pPr>
            <w:r>
              <w:rPr>
                <w:rFonts w:ascii="Arial" w:hAnsi="Arial"/>
                <w:sz w:val="22"/>
              </w:rPr>
              <w:t>2.</w:t>
              <w:tab/>
            </w:r>
            <w:r>
              <w:rPr>
                <w:rFonts w:ascii="Arial" w:hAnsi="Arial"/>
                <w:sz w:val="22"/>
              </w:rPr>
              <w:t>Bincangkan satu contoh aktiviti yang perlu diubah suai berdasarkan profil sosioekonomi komuniti tadika tersebut.</w:t>
            </w:r>
          </w:p>
        </w:tc>
      </w:tr>
    </w:tbl>
    <w:p>
      <w:pPr>
        <w:keepNext/>
        <w:spacing w:before="160" w:after="60"/>
      </w:pPr>
      <w:r>
        <w:rPr>
          <w:rFonts w:ascii="Arial" w:hAnsi="Arial"/>
          <w:b/>
          <w:color w:val="1F4E79"/>
          <w:sz w:val="24"/>
        </w:rPr>
        <w:t>11. Kepelbagaian Profil Peserta dalam Satu Program</w:t>
      </w:r>
    </w:p>
    <w:p>
      <w:r>
        <w:t>Guru perlu menyedari bahawa dalam satu-satu program, peserta boleh terdiri daripada gabungan pelbagai profil sekaligus — ibu bapa muda yang baharu menghantar anak sulung, datuk/nenek yang menjadi penjaga utama, ibu bapa tunggal, atau ibu bapa yang mempunyai anak berkeperluan khas. Setiap kategori ini mungkin memerlukan pertimbangan berbeza dari segi jenis aktiviti, bahasa komunikasi dan tahap sokongan yang diperlukan. Contohnya, program yang melibatkan datuk/nenek sebagai penjaga utama mungkin memerlukan bahasa penerangan yang lebih ringkas dan aktiviti yang tidak terlalu memerlukan penggunaan telefon pintar untuk pendaftaran dalam talian.</w:t>
      </w:r>
    </w:p>
    <w:p>
      <w:pPr>
        <w:keepNext/>
        <w:spacing w:before="160" w:after="60"/>
      </w:pPr>
      <w:r>
        <w:rPr>
          <w:rFonts w:ascii="Arial" w:hAnsi="Arial"/>
          <w:b/>
          <w:color w:val="1F4E79"/>
          <w:sz w:val="24"/>
        </w:rPr>
        <w:t>12. Kaedah Mengesahkan Ketepatan Maklumat Locality</w:t>
      </w:r>
    </w:p>
    <w:p>
      <w:r>
        <w:t>Maklumat latar belakang komuniti yang dikumpul perlu disahkan semula secara berkala (sekurang-kurangnya sekali setahun) kerana profil komuniti boleh berubah dari semasa ke semasa — contohnya kawasan yang dahulunya didominasi satu kaum mungkin kini lebih pelbagai akibat pembangunan perumahan baharu berdekatan. Guru boleh mengesahkan maklumat melalui borang pendaftaran murid tahunan yang dikemas kini, atau melalui soalan ringkas semasa sesi taklimat ibu bapa pada awal tahun persekolahan, bagi memastikan profil komuniti yang digunakan untuk perancangan aktiviti sentiasa terkini dan relevan.</w:t>
      </w:r>
    </w:p>
    <w:p>
      <w:pPr>
        <w:keepNext/>
        <w:spacing w:before="160" w:after="60"/>
      </w:pPr>
      <w:r>
        <w:rPr>
          <w:rFonts w:ascii="Arial" w:hAnsi="Arial"/>
          <w:b/>
          <w:color w:val="1F4E79"/>
          <w:sz w:val="24"/>
        </w:rPr>
        <w:t>13. Membina Peta Komuniti Ringkas (Community Mapping)</w:t>
      </w:r>
    </w:p>
    <w:p>
      <w:r>
        <w:t>Sebagai alat bantu visual, guru boleh membina satu "peta komuniti" ringkas yang menandakan lokasi penting berhampiran tadika — pusat komuniti, klinik kesihatan, balai polis, masjid/gereja/tokong, pasar, dan sekolah rendah berdekatan. Peta ringkas ini membantu guru mengenal pasti bakal rakan kerjasama (contoh: pusat komuniti untuk tempat aktiviti luar, klinik kesihatan untuk ceramah kesihatan) dan turut berguna semasa merancang laluan selamat bagi aktiviti yang melibatkan pergerakan murid/ibu bapa ke luar kawasan tadika, seperti lawatan sambil belajar ke taman berdekatan.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Lokasi Penting</w:t>
            </w:r>
          </w:p>
        </w:tc>
        <w:tc>
          <w:tcPr>
            <w:tcW w:type="dxa" w:w="4656"/>
            <w:shd w:val="clear" w:color="auto" w:fill="DCE6F1"/>
          </w:tcPr>
          <w:p>
            <w:pPr>
              <w:spacing w:after="40"/>
            </w:pPr>
            <w:r>
              <w:rPr>
                <w:rFonts w:ascii="Arial" w:hAnsi="Arial"/>
                <w:b/>
                <w:color w:val="1F4E79"/>
                <w:sz w:val="20"/>
              </w:rPr>
              <w:t>Kegunaan dalam Perancangan Aktiviti</w:t>
            </w:r>
          </w:p>
        </w:tc>
      </w:tr>
      <w:tr>
        <w:tc>
          <w:tcPr>
            <w:tcW w:type="dxa" w:w="4656"/>
          </w:tcPr>
          <w:p>
            <w:pPr>
              <w:spacing w:after="40"/>
            </w:pPr>
            <w:r>
              <w:rPr>
                <w:rFonts w:ascii="Arial" w:hAnsi="Arial"/>
                <w:sz w:val="20"/>
              </w:rPr>
              <w:t>Pusat komuniti/dewan orang ramai</w:t>
            </w:r>
          </w:p>
        </w:tc>
        <w:tc>
          <w:tcPr>
            <w:tcW w:type="dxa" w:w="4656"/>
          </w:tcPr>
          <w:p>
            <w:pPr>
              <w:spacing w:after="40"/>
            </w:pPr>
            <w:r>
              <w:rPr>
                <w:rFonts w:ascii="Arial" w:hAnsi="Arial"/>
                <w:sz w:val="20"/>
              </w:rPr>
              <w:t>Tempat alternatif bagi program berskala besar</w:t>
            </w:r>
          </w:p>
        </w:tc>
      </w:tr>
      <w:tr>
        <w:tc>
          <w:tcPr>
            <w:tcW w:type="dxa" w:w="4656"/>
          </w:tcPr>
          <w:p>
            <w:pPr>
              <w:spacing w:after="40"/>
            </w:pPr>
            <w:r>
              <w:rPr>
                <w:rFonts w:ascii="Arial" w:hAnsi="Arial"/>
                <w:sz w:val="20"/>
              </w:rPr>
              <w:t>Klinik kesihatan/hospital berdekatan</w:t>
            </w:r>
          </w:p>
        </w:tc>
        <w:tc>
          <w:tcPr>
            <w:tcW w:type="dxa" w:w="4656"/>
          </w:tcPr>
          <w:p>
            <w:pPr>
              <w:spacing w:after="40"/>
            </w:pPr>
            <w:r>
              <w:rPr>
                <w:rFonts w:ascii="Arial" w:hAnsi="Arial"/>
                <w:sz w:val="20"/>
              </w:rPr>
              <w:t>Rujukan kecemasan, jemputan ceramah kesihatan</w:t>
            </w:r>
          </w:p>
        </w:tc>
      </w:tr>
      <w:tr>
        <w:tc>
          <w:tcPr>
            <w:tcW w:type="dxa" w:w="4656"/>
          </w:tcPr>
          <w:p>
            <w:pPr>
              <w:spacing w:after="40"/>
            </w:pPr>
            <w:r>
              <w:rPr>
                <w:rFonts w:ascii="Arial" w:hAnsi="Arial"/>
                <w:sz w:val="20"/>
              </w:rPr>
              <w:t>Tempat ibadat pelbagai agama</w:t>
            </w:r>
          </w:p>
        </w:tc>
        <w:tc>
          <w:tcPr>
            <w:tcW w:type="dxa" w:w="4656"/>
          </w:tcPr>
          <w:p>
            <w:pPr>
              <w:spacing w:after="40"/>
            </w:pPr>
            <w:r>
              <w:rPr>
                <w:rFonts w:ascii="Arial" w:hAnsi="Arial"/>
                <w:sz w:val="20"/>
              </w:rPr>
              <w:t>Kepekaan tarikh perayaan semasa merancang kalendar</w:t>
            </w:r>
          </w:p>
        </w:tc>
      </w:tr>
      <w:tr>
        <w:tc>
          <w:tcPr>
            <w:tcW w:type="dxa" w:w="4656"/>
          </w:tcPr>
          <w:p>
            <w:pPr>
              <w:spacing w:after="40"/>
            </w:pPr>
            <w:r>
              <w:rPr>
                <w:rFonts w:ascii="Arial" w:hAnsi="Arial"/>
                <w:sz w:val="20"/>
              </w:rPr>
              <w:t>Balai polis/bomba berdekatan</w:t>
            </w:r>
          </w:p>
        </w:tc>
        <w:tc>
          <w:tcPr>
            <w:tcW w:type="dxa" w:w="4656"/>
          </w:tcPr>
          <w:p>
            <w:pPr>
              <w:spacing w:after="40"/>
            </w:pPr>
            <w:r>
              <w:rPr>
                <w:rFonts w:ascii="Arial" w:hAnsi="Arial"/>
                <w:sz w:val="20"/>
              </w:rPr>
              <w:t>Rujukan kecemasan, jemputan program keselamatan</w:t>
            </w:r>
          </w:p>
        </w:tc>
      </w:tr>
      <w:tr>
        <w:tc>
          <w:tcPr>
            <w:tcW w:type="dxa" w:w="4656"/>
          </w:tcPr>
          <w:p>
            <w:pPr>
              <w:spacing w:after="40"/>
            </w:pPr>
            <w:r>
              <w:rPr>
                <w:rFonts w:ascii="Arial" w:hAnsi="Arial"/>
                <w:sz w:val="20"/>
              </w:rPr>
              <w:t>Pasar/pekan sehari</w:t>
            </w:r>
          </w:p>
        </w:tc>
        <w:tc>
          <w:tcPr>
            <w:tcW w:type="dxa" w:w="4656"/>
          </w:tcPr>
          <w:p>
            <w:pPr>
              <w:spacing w:after="40"/>
            </w:pPr>
            <w:r>
              <w:rPr>
                <w:rFonts w:ascii="Arial" w:hAnsi="Arial"/>
                <w:sz w:val="20"/>
              </w:rPr>
              <w:t>Peluang kerjasama vendor untuk jamuan program</w:t>
            </w:r>
          </w:p>
        </w:tc>
      </w:tr>
    </w:tbl>
    <w:p>
      <w:pPr>
        <w:keepNext/>
        <w:spacing w:before="160" w:after="60"/>
      </w:pPr>
      <w:r>
        <w:rPr>
          <w:rFonts w:ascii="Arial" w:hAnsi="Arial"/>
          <w:b/>
          <w:color w:val="1F4E79"/>
          <w:sz w:val="24"/>
        </w:rPr>
        <w:t>14. Perbezaan Pendekatan Komuniti Bandar dan Luar Bandar</w:t>
      </w:r>
    </w:p>
    <w:p>
      <w:r>
        <w:t>Secara amnya, komuniti bandar cenderung lebih pelbagai dari segi kaum dan sosioekonomi tetapi mempunyai ikatan sosial yang lebih longgar antara jiran, manakala komuniti luar bandar biasanya lebih homogen tetapi mempunyai ikatan sosial yang lebih rapat dan bergantung kepada agensi seperti KEMAS untuk penyelarasan aktiviti komuniti. Guru prasekolah di kawasan bandar mungkin perlu berusaha lebih untuk membina hubungan komuniti secara aktif (contoh: melalui pertubuhan penduduk/RA), manakala guru di kawasan luar bandar boleh memanfaatkan struktur komuniti sedia ada seperti jawatankuasa kampung atau persatuan penduduk yang sudah mantap.</w:t>
      </w:r>
    </w:p>
    <w:p>
      <w:pPr>
        <w:keepNext/>
        <w:spacing w:before="160" w:after="60"/>
      </w:pPr>
      <w:r>
        <w:rPr>
          <w:rFonts w:ascii="Arial" w:hAnsi="Arial"/>
          <w:b/>
          <w:color w:val="1F4E79"/>
          <w:sz w:val="24"/>
        </w:rPr>
        <w:t>16. Peranan Dasar KPM dan KEMAS dalam Memandu Penglibatan Komuniti</w:t>
      </w:r>
    </w:p>
    <w:p>
      <w:r>
        <w:t>Guru prasekolah perlu memahami bahawa penglibatan komuniti bukan inisiatif bebas sepenuhnya, tetapi turut dipandu oleh dasar rasmi seperti Kurikulum Standard Prasekolah Kebangsaan (KSPK) terbitan KPM yang menekankan kesepaduan antara sekolah, keluarga dan masyarakat sebagai salah satu tunjang perkembangan holistik kanak-kanak, serta modul latihan KEMAS yang turut menekankan kerjasama komuniti bagi tadika di bawah pentadbiran KEMAS. Memahami rangka dasar ini membantu guru menjustifikasikan kepentingan aktiviti ibu bapa-komuniti kepada pihak pengurusan tadika, bukan sekadar berdasarkan tanggapan peribadi guru semata-mata.</w:t>
      </w:r>
    </w:p>
    <w:p>
      <w:pPr>
        <w:keepNext/>
        <w:spacing w:before="160" w:after="60"/>
      </w:pPr>
      <w:r>
        <w:rPr>
          <w:rFonts w:ascii="Arial" w:hAnsi="Arial"/>
          <w:b/>
          <w:color w:val="1F4E79"/>
          <w:sz w:val="24"/>
        </w:rPr>
        <w:t>17. Menyesuaikan Bahasa Risalah/Notis Mengikut Tahap Literasi Komuniti</w:t>
      </w:r>
    </w:p>
    <w:p>
      <w:r>
        <w:t>Sesetengah kawasan komuniti mempunyai tahap literasi dan celik digital yang berbeza-beza. Guru perlu peka terhadap perkara ini apabila menyediakan risalah atau notis program — kawasan dengan ramai ibu bapa kurang celik digital mungkin memerlukan notis kertas fizikal diedarkan melalui murid, manakala kawasan bandar dengan ibu bapa celik digital lebih sesuai menggunakan Google Form atau WhatsApp Broadcast. Kegagalan menyesuaikan kaedah penyampaian maklumat mengikut tahap literasi komuniti boleh menyebabkan sebahagian ibu bapa tertinggal maklumat penting walaupun notis telah "dihantar" secara rasmi.</w:t>
      </w:r>
    </w:p>
    <w:p>
      <w:pPr>
        <w:keepNext/>
        <w:spacing w:before="160" w:after="60"/>
      </w:pPr>
      <w:r>
        <w:rPr>
          <w:rFonts w:ascii="Arial" w:hAnsi="Arial"/>
          <w:b/>
          <w:color w:val="1F4E79"/>
          <w:sz w:val="24"/>
        </w:rPr>
        <w:t>19. Menghubungkaitkan Maklumat Locality dengan Bab-Bab Seterusnya</w:t>
      </w:r>
    </w:p>
    <w:p>
      <w:r>
        <w:t>Maklumat latar belakang komuniti dan profil peserta yang dikumpul dalam Bab ini menjadi input penting kepada Bab 2 (menentukan pendekatan komunikasi yang sesuai mengikut budaya dan bahasa komuniti) dan Bab 3 (menentukan jenis sumber dan langkah kawalan keselamatan yang sesuai dengan bilangan dan profil peserta dijangka). Guru yang mengabaikan langkah memahami locality pada peringkat awal sering mendapati keputusan yang dibuat pada Bab 2 dan 3 kurang tepat — contohnya merancang komunikasi sepenuhnya dalam talian tanpa menyedari sebahagian besar komuniti tidak celik digital, atau menganggarkan sumber tanpa mengambil kira bilangan sebenar keluarga di kawasan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20. Kajian Kes Tambahan: Tadika di Kawasan Perumahan Campuran</w:t>
            </w:r>
          </w:p>
          <w:p>
            <w:pPr>
              <w:spacing w:after="40"/>
            </w:pPr>
            <w:r>
              <w:rPr>
                <w:rFonts w:ascii="Arial" w:hAnsi="Arial"/>
                <w:sz w:val="22"/>
              </w:rPr>
              <w:t>Sebuah tadika baharu dibuka di kawasan perumahan campuran yang menggabungkan flet kos rendah dan rumah teres kos sederhana. Guru besar mendapati aktiviti awal yang dirancang (program membeli-belah amal) hanya menarik penyertaan daripada keluarga rumah teres, manakala keluarga flet kos rendah kurang menyertai kerana faktor kewangan dan rasa tidak selesa. Selepas menyemak semula profil komuniti secara menyeluruh dan berbincang dengan wakil kedua-dua kumpulan perumahan, tadika memperkenalkan aktiviti alternatif "Hari Kongsi Kemahiran" di mana setiap keluarga menyumbang kemahiran (bukan wang) — contohnya seorang bapa mengajar asas mekanik basikal, seorang ibu mengajar jahitan ringkas. Pendekatan ini berjaya menarik penyertaan seimbang daripada kedua-dua kumpulan sosioekonomi kerana ia tidak membezakan berdasarkan keupayaan kewangan.</w:t>
            </w:r>
          </w:p>
        </w:tc>
      </w:tr>
    </w:tbl>
    <w:p>
      <w:pPr>
        <w:keepNext/>
        <w:spacing w:before="160" w:after="60"/>
      </w:pPr>
      <w:r>
        <w:rPr>
          <w:rFonts w:ascii="Arial" w:hAnsi="Arial"/>
          <w:b/>
          <w:color w:val="1F4E79"/>
          <w:sz w:val="24"/>
        </w:rPr>
        <w:t>22. Etika Menghormati Kepelbagaian Budaya dalam Aktiviti Komuniti</w:t>
      </w:r>
    </w:p>
    <w:p>
      <w:r>
        <w:t>Malaysia sebagai negara berbilang kaum menuntut guru prasekolah sentiasa peka dan menghormati kepelbagaian budaya, agama dan adat resam komuniti setempat semasa merancang aktiviti ibu bapa-komuniti. Ini termasuk mengelak menjadualkan aktiviti utama bertepatan dengan tarikh perayaan agama tertentu tanpa kesedaran, menyediakan pilihan makanan yang sesuai dengan pantang larang pelbagai agama (contoh: makanan halal, pilihan vegetarian), dan mengelak stereotaip budaya semasa merancang tema aktiviti. Guru yang peka terhadap aspek ini membina persekitaran tadika yang inklusif dan dihormati oleh semua lapisan komuniti, selaras dengan semangat perpaduan yang digalakkan KPM dan PERPADUAN.</w:t>
      </w:r>
    </w:p>
    <w:p>
      <w:pPr>
        <w:keepNext/>
        <w:spacing w:before="160" w:after="60"/>
      </w:pPr>
      <w:r>
        <w:rPr>
          <w:rFonts w:ascii="Arial" w:hAnsi="Arial"/>
          <w:b/>
          <w:color w:val="1F4E79"/>
          <w:sz w:val="24"/>
        </w:rPr>
        <w:t>23. Menilai Keberkesanan Pemahaman Locality Selepas Satu Tahun</w:t>
      </w:r>
    </w:p>
    <w:p>
      <w:r>
        <w:t>Pada akhir setiap tahun persekolahan, guru digalakkan membuat penilaian ringkas terhadap sejauh mana pemahaman locality yang dikumpul pada awal tahun benar-benar membantu perancangan aktiviti sepanjang tahun tersebut — adakah aktiviti yang dirancang mendapat sambutan baik daripada pelbagai lapisan komuniti, atau adakah terdapat kumpulan tertentu yang masih kurang terlibat walaupun profil mereka telah dikenal pasti. Penilaian ini membantu guru memperhalusi pemahaman locality untuk tahun persekolahan berikutnya, menjadikannya proses yang berterusan bukan sekadar tugasan satu kali sahaja pada awal tahun.</w:t>
      </w:r>
    </w:p>
    <w:p>
      <w:pPr>
        <w:keepNext/>
        <w:spacing w:before="160" w:after="60"/>
      </w:pPr>
      <w:r>
        <w:rPr>
          <w:rFonts w:ascii="Arial" w:hAnsi="Arial"/>
          <w:b/>
          <w:color w:val="1F4E79"/>
          <w:sz w:val="24"/>
        </w:rPr>
        <w:t>25. Mengintegrasikan Maklumat Locality ke dalam Fail Program Tadika</w:t>
      </w:r>
    </w:p>
    <w:p>
      <w:r>
        <w:t>Sebagai amalan pengurusan rekod yang baik, maklumat profil komuniti dan locality yang telah dikumpul dan disahkan perlu disimpan dalam satu fail rujukan pusat tadika (fizikal atau digital) yang boleh diakses oleh semua guru, bukan hanya disimpan secara peribadi oleh guru yang mengumpulnya. Fail rujukan ini membolehkan guru baharu yang berkhidmat kemudian hari terus memahami konteks komuniti tadika tanpa perlu memulakan proses pengumpulan maklumat dari kosong, sekali gus memastikan kesinambungan pemahaman komuniti walaupun berlaku pertukaran kakitangan.</w:t>
      </w:r>
    </w:p>
    <w:p>
      <w:pPr>
        <w:keepNext/>
        <w:spacing w:before="160" w:after="60"/>
      </w:pPr>
      <w:r>
        <w:rPr>
          <w:rFonts w:ascii="Arial" w:hAnsi="Arial"/>
          <w:b/>
          <w:color w:val="1F4E79"/>
          <w:sz w:val="24"/>
        </w:rPr>
        <w:t>27. Kepekaan terhadap Keluarga Berkeperluan Khas</w:t>
      </w:r>
    </w:p>
    <w:p>
      <w:r>
        <w:t>Sebahagian keluarga di sesetengah komuniti mungkin mempunyai murid atau ahli keluarga berkeperluan khas. Guru perlu peka semasa merancang aktiviti supaya ia mudah diakses — contohnya laluan yang sesuai untuk kerusi roda semasa program luar, aktiviti yang tidak mengecualikan murid dengan keperluan sensori tertentu, dan komunikasi yang mengambil kira sebarang keperluan tambahan yang dimaklumkan oleh ibu bapa. Kepekaan ini selaras dengan semangat inklusif yang digalakkan dalam KSPK dan memastikan tiada mana-mana keluarga berasa tersisih daripada aktiviti ibu bapa-komuniti tadika.</w:t>
      </w:r>
    </w:p>
    <w:p>
      <w:pPr>
        <w:keepNext/>
        <w:spacing w:before="160" w:after="60"/>
      </w:pPr>
      <w:r>
        <w:rPr>
          <w:rFonts w:ascii="Arial" w:hAnsi="Arial"/>
          <w:b/>
          <w:color w:val="1F4E79"/>
          <w:sz w:val="24"/>
        </w:rPr>
        <w:t>29. Kaitan Locality dengan Penilaian Kompetensi Calon</w:t>
      </w:r>
    </w:p>
    <w:p>
      <w:r>
        <w:t>Semasa penilaian kompetensi bagi CU ini, penilai boleh menyoal calon untuk menunjukkan bagaimana maklumat locality tadika tertentu (contoh: dalam senario penilaian) mempengaruhi pemilihan jenis aktiviti, saluran komunikasi dan sumber yang perlu disediakan. Calon perlu mampu menghubungkaitkan ketiga-tiga Bab dalam Nota Pembelajaran ini secara logik — bermula daripada pemahaman locality (Bab 1), diterjemahkan kepada strategi komunikasi (Bab 2), dan akhirnya kepada penyelarasan aktiviti praktikal (Bab 3) — sebagai bukti penguasaan Work Activity "Engage relationship with family and community" secara menyeluruh.</w:t>
      </w:r>
    </w:p>
    <w:p>
      <w:pPr>
        <w:keepNext/>
        <w:spacing w:before="160" w:after="60"/>
      </w:pPr>
      <w:r>
        <w:rPr>
          <w:rFonts w:ascii="Arial" w:hAnsi="Arial"/>
          <w:b/>
          <w:color w:val="1F4E79"/>
          <w:sz w:val="24"/>
        </w:rPr>
        <w:t>31. Ringkasan Amalan Terbaik Bab 1</w:t>
      </w:r>
    </w:p>
    <w:p>
      <w:r>
        <w:t>Sebagai penutup Bab ini, tiga amalan terbaik yang perlu dijadikan tabiat guru prasekolah ialah: (i) sentiasa mengumpul dan mengesahkan semula maklumat locality secara berkala, bukan sekali sahaja; (ii) menggunakan maklumat tersebut secara aktif untuk menyesuaikan setiap keputusan perancangan aktiviti, bukan sekadar mengumpul data tanpa tindakan; dan (iii) menyimpan maklumat ini dalam fail rujukan pusat tadika supaya kesinambungan pemahaman komuniti terus terpelihara walaupun berlaku pertukaran guru dari semasa ke semasa.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33. Aktiviti Pengukuhan Tambahan</w:t>
            </w:r>
          </w:p>
          <w:p>
            <w:pPr>
              <w:spacing w:after="40"/>
              <w:ind w:left="320" w:hanging="320"/>
            </w:pPr>
            <w:r>
              <w:rPr>
                <w:rFonts w:ascii="Arial" w:hAnsi="Arial"/>
                <w:sz w:val="22"/>
              </w:rPr>
              <w:t>1.</w:t>
              <w:tab/>
            </w:r>
            <w:r>
              <w:rPr>
                <w:rFonts w:ascii="Arial" w:hAnsi="Arial"/>
                <w:sz w:val="22"/>
              </w:rPr>
              <w:t>Bincangkan dalam kumpulan bagaimana peta komuniti ringkas (community mapping) boleh membantu guru merancang lawatan sambil belajar yang selamat bagi murid prasekolah.</w:t>
            </w:r>
          </w:p>
        </w:tc>
      </w:tr>
    </w:tbl>
    <w:p>
      <w:pPr>
        <w:keepNext/>
        <w:spacing w:before="160" w:after="60"/>
      </w:pPr>
      <w:r>
        <w:rPr>
          <w:rFonts w:ascii="Arial" w:hAnsi="Arial"/>
          <w:b/>
          <w:color w:val="1F4E79"/>
          <w:sz w:val="24"/>
        </w:rPr>
        <w:t>35. Nota Tambahan: Locality sebagai Asas Perancangan Jangka Panjang</w:t>
      </w:r>
    </w:p>
    <w:p>
      <w:r>
        <w:t>Sebagai penutup Bab ini, guru perlu menyedari bahawa pemahaman locality bukan sekadar keperluan untuk satu-satu program tunggal, tetapi asas kepada perancangan jangka panjang tadika secara keseluruhan — termasuk perancangan kurikulum tambahan, pemilihan tema tahunan, dan strategi pemasaran/pendaftaran murid baharu yang turut mengambil kira profil komuniti setempat. Guru yang menguasai kemahiran memahami locality dengan baik menyumbang bukan sahaja kepada CU ini, tetapi kepada pengurusan tadika secara menyeluruh.</w:t>
      </w:r>
    </w:p>
    <w:p>
      <w:pPr>
        <w:keepNext/>
        <w:spacing w:before="160" w:after="60"/>
      </w:pPr>
      <w:r>
        <w:rPr>
          <w:rFonts w:ascii="Arial" w:hAnsi="Arial"/>
          <w:b/>
          <w:color w:val="1F4E79"/>
          <w:sz w:val="24"/>
        </w:rPr>
        <w:t>37. Penutup Bab 1</w:t>
      </w:r>
    </w:p>
    <w:p>
      <w:r>
        <w:t>Dengan menguasai pemahaman locality secara mendalam, guru prasekolah meletakkan asas kukuh untuk kejayaan keseluruhan Work Activity "Engage relationship with family and community" — asas ini kemudiannya diperkukuh melalui kemahiran komunikasi (Bab 2) dan diterjemahkan kepada tindakan praktikal melalui penyelarasan aktiviti (Bab 3), membentuk satu rantaian pembelajaran yang saling berkait dan tidak boleh dipisahkan antara satu sama lain.</w:t>
      </w:r>
    </w:p>
    <w:p>
      <w:pPr>
        <w:keepNext/>
        <w:spacing w:before="160" w:after="60"/>
      </w:pPr>
      <w:r>
        <w:rPr>
          <w:rFonts w:ascii="Arial" w:hAnsi="Arial"/>
          <w:b/>
          <w:color w:val="1F4E79"/>
          <w:sz w:val="24"/>
        </w:rPr>
        <w:t>39. Nota Akhir untuk Bakat</w:t>
      </w:r>
    </w:p>
    <w:p>
      <w:r>
        <w:t>Sebelum meneruskan pembelajaran ke Bab 2, pastikan Bakat dapat menerangkan dengan jelas mengapa dua tadika yang terletak hanya beberapa kilometer berjauhan boleh memerlukan pendekatan penglibatan komuniti yang sama sekali berbeza — jawapan kepada persoalan ini terletak pada penguasaan konsep locality yang telah dibincangkan sepanjang Bab ini.</w:t>
      </w:r>
    </w:p>
    <w:p>
      <w:pPr>
        <w:keepNext/>
        <w:spacing w:before="160" w:after="60"/>
      </w:pPr>
      <w:r>
        <w:rPr>
          <w:rFonts w:ascii="Arial" w:hAnsi="Arial"/>
          <w:b/>
          <w:color w:val="1F4E79"/>
          <w:sz w:val="24"/>
        </w:rPr>
        <w:t>41. Rujukan Silang Akhir</w:t>
      </w:r>
    </w:p>
    <w:p>
      <w:r>
        <w:t>Bakat digalakkan menyemak semula Bab 1 C05-W01.md (teori penglibatan ibu bapa-komuniti) sebelum meneruskan pembelajaran ke Bab 2 nota ini, kerana pemahaman locality sebenarnya adalah lanjutan praktikal daripada teori ecological system Bronfenbrenner — komuniti setempat merupakan lapisan eksosistem dan makrosistem yang secara langsung membentuk konteks pelaksanaan setiap aktiviti ibu bapa-komuniti di sesebuah tadika.</w:t>
      </w:r>
    </w:p>
    <w:p>
      <w:pPr>
        <w:keepNext/>
        <w:spacing w:before="160" w:after="60"/>
      </w:pPr>
      <w:r>
        <w:rPr>
          <w:rFonts w:ascii="Arial" w:hAnsi="Arial"/>
          <w:b/>
          <w:color w:val="1F4E79"/>
          <w:sz w:val="24"/>
        </w:rPr>
        <w:t>43. Penutup Akhir Nota Pembelajaran</w:t>
      </w:r>
    </w:p>
    <w:p>
      <w:r>
        <w:t>Dengan ini, tamatlah Bab 1 Nota Pembelajaran C05-W02. Bakat digalakkan meneruskan pembelajaran ke Bab 2 dengan membawa bersama pemahaman locality yang telah dibina, kerana setiap keputusan komunikasi yang akan dipelajari seterusnya perlu sentiasa dirujuk kembali kepada profil komuniti sebenar tadika masing-masing.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44. Rumusan</w:t>
            </w:r>
          </w:p>
          <w:p>
            <w:pPr>
              <w:spacing w:after="40"/>
            </w:pPr>
            <w:r>
              <w:rPr>
                <w:rFonts w:ascii="Arial" w:hAnsi="Arial"/>
                <w:sz w:val="22"/>
              </w:rPr>
              <w:t>Pemahaman mendalam tentang latar belakang komuniti dan profil peserta membolehkan guru prasekolah merancang aktiviti ibu bapa-komuniti yang benar-benar relevan, inklusif dan diterima baik oleh persekitaran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Effective communication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pihak berkepentingan dalam komunikasi program ibu bapa-komuniti.</w:t>
            </w:r>
          </w:p>
          <w:p>
            <w:pPr>
              <w:spacing w:after="40"/>
              <w:ind w:left="320" w:hanging="320"/>
            </w:pPr>
            <w:r>
              <w:rPr>
                <w:rFonts w:ascii="Arial" w:hAnsi="Arial"/>
                <w:color w:val="2E75B6"/>
                <w:sz w:val="22"/>
              </w:rPr>
              <w:t>●</w:t>
              <w:tab/>
            </w:r>
            <w:r>
              <w:rPr>
                <w:rFonts w:ascii="Arial" w:hAnsi="Arial"/>
                <w:sz w:val="22"/>
              </w:rPr>
              <w:t>Mengaplikasikan teknik komunikasi berkesan mengikut jenis penerima.</w:t>
            </w:r>
          </w:p>
          <w:p>
            <w:pPr>
              <w:spacing w:after="40"/>
              <w:ind w:left="320" w:hanging="320"/>
            </w:pPr>
            <w:r>
              <w:rPr>
                <w:rFonts w:ascii="Arial" w:hAnsi="Arial"/>
                <w:color w:val="2E75B6"/>
                <w:sz w:val="22"/>
              </w:rPr>
              <w:t>●</w:t>
              <w:tab/>
            </w:r>
            <w:r>
              <w:rPr>
                <w:rFonts w:ascii="Arial" w:hAnsi="Arial"/>
                <w:sz w:val="22"/>
              </w:rPr>
              <w:t>Mengendalikan komunikasi dengan tetamu khas secara profesional.</w:t>
            </w:r>
          </w:p>
        </w:tc>
      </w:tr>
    </w:tbl>
    <w:p>
      <w:pPr>
        <w:keepNext/>
        <w:spacing w:before="160" w:after="60"/>
      </w:pPr>
      <w:r>
        <w:rPr>
          <w:rFonts w:ascii="Arial" w:hAnsi="Arial"/>
          <w:b/>
          <w:color w:val="1F4E79"/>
          <w:sz w:val="24"/>
        </w:rPr>
        <w:t>1. Pihak Berkepentingan dalam Komunikasi</w:t>
      </w:r>
    </w:p>
    <w:p>
      <w:r>
        <w:t>Guru prasekolah perlu berkomunikasi dengan pelbagai pihak: ibu bapa (parents), komuniti setempat, murid, serta tetamu khas seperti Very Important People (VIP) dan pegawai kerajaan (government officer). Setiap kumpulan memerlukan pendekatan komunikasi yang berbeza dari segi nada, bahasa dan tahap formaliti.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Penerima</w:t>
            </w:r>
          </w:p>
        </w:tc>
        <w:tc>
          <w:tcPr>
            <w:tcW w:type="dxa" w:w="4656"/>
            <w:shd w:val="clear" w:color="auto" w:fill="DCE6F1"/>
          </w:tcPr>
          <w:p>
            <w:pPr>
              <w:spacing w:after="40"/>
            </w:pPr>
            <w:r>
              <w:rPr>
                <w:rFonts w:ascii="Arial" w:hAnsi="Arial"/>
                <w:b/>
                <w:color w:val="1F4E79"/>
                <w:sz w:val="20"/>
              </w:rPr>
              <w:t>Pendekatan Komunikasi</w:t>
            </w:r>
          </w:p>
        </w:tc>
      </w:tr>
      <w:tr>
        <w:tc>
          <w:tcPr>
            <w:tcW w:type="dxa" w:w="4656"/>
          </w:tcPr>
          <w:p>
            <w:pPr>
              <w:spacing w:after="40"/>
            </w:pPr>
            <w:r>
              <w:rPr>
                <w:rFonts w:ascii="Arial" w:hAnsi="Arial"/>
                <w:sz w:val="20"/>
              </w:rPr>
              <w:t>Ibu bapa</w:t>
            </w:r>
          </w:p>
        </w:tc>
        <w:tc>
          <w:tcPr>
            <w:tcW w:type="dxa" w:w="4656"/>
          </w:tcPr>
          <w:p>
            <w:pPr>
              <w:spacing w:after="40"/>
            </w:pPr>
            <w:r>
              <w:rPr>
                <w:rFonts w:ascii="Arial" w:hAnsi="Arial"/>
                <w:sz w:val="20"/>
              </w:rPr>
              <w:t>Mesra, jelas, guna WhatsApp/surat pekeliling untuk maklumat rutin</w:t>
            </w:r>
          </w:p>
        </w:tc>
      </w:tr>
      <w:tr>
        <w:tc>
          <w:tcPr>
            <w:tcW w:type="dxa" w:w="4656"/>
          </w:tcPr>
          <w:p>
            <w:pPr>
              <w:spacing w:after="40"/>
            </w:pPr>
            <w:r>
              <w:rPr>
                <w:rFonts w:ascii="Arial" w:hAnsi="Arial"/>
                <w:sz w:val="20"/>
              </w:rPr>
              <w:t>Komuniti</w:t>
            </w:r>
          </w:p>
        </w:tc>
        <w:tc>
          <w:tcPr>
            <w:tcW w:type="dxa" w:w="4656"/>
          </w:tcPr>
          <w:p>
            <w:pPr>
              <w:spacing w:after="40"/>
            </w:pPr>
            <w:r>
              <w:rPr>
                <w:rFonts w:ascii="Arial" w:hAnsi="Arial"/>
                <w:sz w:val="20"/>
              </w:rPr>
              <w:t>Sopan, ringkas, sertakan tujuan dan manfaat aktiviti</w:t>
            </w:r>
          </w:p>
        </w:tc>
      </w:tr>
      <w:tr>
        <w:tc>
          <w:tcPr>
            <w:tcW w:type="dxa" w:w="4656"/>
          </w:tcPr>
          <w:p>
            <w:pPr>
              <w:spacing w:after="40"/>
            </w:pPr>
            <w:r>
              <w:rPr>
                <w:rFonts w:ascii="Arial" w:hAnsi="Arial"/>
                <w:sz w:val="20"/>
              </w:rPr>
              <w:t>Murid</w:t>
            </w:r>
          </w:p>
        </w:tc>
        <w:tc>
          <w:tcPr>
            <w:tcW w:type="dxa" w:w="4656"/>
          </w:tcPr>
          <w:p>
            <w:pPr>
              <w:spacing w:after="40"/>
            </w:pPr>
            <w:r>
              <w:rPr>
                <w:rFonts w:ascii="Arial" w:hAnsi="Arial"/>
                <w:sz w:val="20"/>
              </w:rPr>
              <w:t>Bahasa mudah, guna gambar/visual sesuai umur</w:t>
            </w:r>
          </w:p>
        </w:tc>
      </w:tr>
      <w:tr>
        <w:tc>
          <w:tcPr>
            <w:tcW w:type="dxa" w:w="4656"/>
          </w:tcPr>
          <w:p>
            <w:pPr>
              <w:spacing w:after="40"/>
            </w:pPr>
            <w:r>
              <w:rPr>
                <w:rFonts w:ascii="Arial" w:hAnsi="Arial"/>
                <w:sz w:val="20"/>
              </w:rPr>
              <w:t>VIP/pegawai kerajaan</w:t>
            </w:r>
          </w:p>
        </w:tc>
        <w:tc>
          <w:tcPr>
            <w:tcW w:type="dxa" w:w="4656"/>
          </w:tcPr>
          <w:p>
            <w:pPr>
              <w:spacing w:after="40"/>
            </w:pPr>
            <w:r>
              <w:rPr>
                <w:rFonts w:ascii="Arial" w:hAnsi="Arial"/>
                <w:sz w:val="20"/>
              </w:rPr>
              <w:t>Formal, guna surat rasmi dan protokol jemputan yang betul</w:t>
            </w:r>
          </w:p>
        </w:tc>
      </w:tr>
    </w:tbl>
    <w:p>
      <w:pPr>
        <w:keepNext/>
        <w:spacing w:before="160" w:after="60"/>
      </w:pPr>
      <w:r>
        <w:rPr>
          <w:rFonts w:ascii="Arial" w:hAnsi="Arial"/>
          <w:b/>
          <w:color w:val="1F4E79"/>
          <w:sz w:val="24"/>
        </w:rPr>
        <w:t>2. Etika Komunikasi dan Kerahsiaan</w:t>
      </w:r>
    </w:p>
    <w:p>
      <w:r>
        <w:t>Guru perlu memastikan sebarang maklumat peribadi murid dan keluarga (nombor telefon, alamat, keadaan kesihatan) dikendalikan dengan berhemah selaras dengan prinsip perlindungan data peribadi seperti yang termaktub dalam Akta Perlindungan Data Peribadi 2010 (PDPA) — maklumat sedemikian tidak dikongsi kepada pihak luar tanpa kebenaran ibu bapa.</w:t>
      </w:r>
    </w:p>
    <w:p>
      <w:pPr>
        <w:keepNext/>
        <w:spacing w:before="160" w:after="60"/>
      </w:pPr>
      <w:r>
        <w:rPr>
          <w:rFonts w:ascii="Arial" w:hAnsi="Arial"/>
          <w:b/>
          <w:color w:val="1F4E79"/>
          <w:sz w:val="24"/>
        </w:rPr>
        <w:t>3. Contoh Amalan di Tadika</w:t>
      </w:r>
    </w:p>
    <w:p>
      <w:r>
        <w:t>Semasa menjemput pegawai KEMAS atau wakil PPD untuk hadir sebagai tetamu khas dalam program tadika, guru perlu menghantar surat jemputan rasmi lengkap dengan aturcara, dan memastikan layanan protokol (tempat duduk, ucapan alu-aluan) disediakan dengan sewajarnya.</w:t>
      </w:r>
    </w:p>
    <w:p>
      <w:pPr>
        <w:keepNext/>
        <w:spacing w:before="160" w:after="60"/>
      </w:pPr>
      <w:r>
        <w:rPr>
          <w:rFonts w:ascii="Arial" w:hAnsi="Arial"/>
          <w:b/>
          <w:color w:val="1F4E79"/>
          <w:sz w:val="24"/>
        </w:rPr>
        <w:t>4. Prosedur Mengendalikan Komunikasi Mengikut Jenis Penerima Langkah demi Langkah</w:t>
      </w:r>
    </w:p>
    <w:p>
      <w:r>
        <w:t>(i) Kenal pasti penerima (ibu bapa, komuniti, murid, tetamu khas); (ii) tentukan saluran paling sesuai (WhatsApp, surat rasmi, papan kenyataan, penerangan lisan); (iii) sesuaikan nada dan tahap formaliti mengikut penerima; (iv) semak semula kandungan sebelum dihantar (ketepatan tarikh, ejaan, kesopanan bahasa); (v) bagi tetamu khas, sertakan protokol tambahan seperti jadual layanan dan tempat duduk khas.</w:t>
      </w:r>
    </w:p>
    <w:p>
      <w:pPr>
        <w:keepNext/>
        <w:spacing w:before="160" w:after="60"/>
      </w:pPr>
      <w:r>
        <w:rPr>
          <w:rFonts w:ascii="Arial" w:hAnsi="Arial"/>
          <w:b/>
          <w:color w:val="1F4E79"/>
          <w:sz w:val="24"/>
        </w:rPr>
        <w:t>5. Contoh Surat Jemputan Rasmi kepada Tetamu Khas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Kepala Surat</w:t>
            </w:r>
          </w:p>
        </w:tc>
        <w:tc>
          <w:tcPr>
            <w:tcW w:type="dxa" w:w="4656"/>
          </w:tcPr>
          <w:p>
            <w:pPr>
              <w:spacing w:after="40"/>
            </w:pPr>
            <w:r>
              <w:rPr>
                <w:rFonts w:ascii="Arial" w:hAnsi="Arial"/>
                <w:sz w:val="20"/>
              </w:rPr>
              <w:t>Nama &amp; logo tadika</w:t>
            </w:r>
          </w:p>
        </w:tc>
      </w:tr>
      <w:tr>
        <w:tc>
          <w:tcPr>
            <w:tcW w:type="dxa" w:w="4656"/>
          </w:tcPr>
          <w:p>
            <w:pPr>
              <w:spacing w:after="40"/>
            </w:pPr>
            <w:r>
              <w:rPr>
                <w:rFonts w:ascii="Arial" w:hAnsi="Arial"/>
                <w:sz w:val="20"/>
              </w:rPr>
              <w:t>Rujukan &amp; Tarikh</w:t>
            </w:r>
          </w:p>
        </w:tc>
        <w:tc>
          <w:tcPr>
            <w:tcW w:type="dxa" w:w="4656"/>
          </w:tcPr>
          <w:p>
            <w:pPr>
              <w:spacing w:after="40"/>
            </w:pPr>
            <w:r>
              <w:rPr>
                <w:rFonts w:ascii="Arial" w:hAnsi="Arial"/>
                <w:sz w:val="20"/>
              </w:rPr>
              <w:t>⟪No. rujukan⟫ / ⟪tarikh surat⟫</w:t>
            </w:r>
          </w:p>
        </w:tc>
      </w:tr>
      <w:tr>
        <w:tc>
          <w:tcPr>
            <w:tcW w:type="dxa" w:w="4656"/>
          </w:tcPr>
          <w:p>
            <w:pPr>
              <w:spacing w:after="40"/>
            </w:pPr>
            <w:r>
              <w:rPr>
                <w:rFonts w:ascii="Arial" w:hAnsi="Arial"/>
                <w:sz w:val="20"/>
              </w:rPr>
              <w:t>Alamat Penerima</w:t>
            </w:r>
          </w:p>
        </w:tc>
        <w:tc>
          <w:tcPr>
            <w:tcW w:type="dxa" w:w="4656"/>
          </w:tcPr>
          <w:p>
            <w:pPr>
              <w:spacing w:after="40"/>
            </w:pPr>
            <w:r>
              <w:rPr>
                <w:rFonts w:ascii="Arial" w:hAnsi="Arial"/>
                <w:sz w:val="20"/>
              </w:rPr>
              <w:t>⟪nama &amp; jawatan pegawai/agensi⟫</w:t>
            </w:r>
          </w:p>
        </w:tc>
      </w:tr>
      <w:tr>
        <w:tc>
          <w:tcPr>
            <w:tcW w:type="dxa" w:w="4656"/>
          </w:tcPr>
          <w:p>
            <w:pPr>
              <w:spacing w:after="40"/>
            </w:pPr>
            <w:r>
              <w:rPr>
                <w:rFonts w:ascii="Arial" w:hAnsi="Arial"/>
                <w:sz w:val="20"/>
              </w:rPr>
              <w:t>Perkara</w:t>
            </w:r>
          </w:p>
        </w:tc>
        <w:tc>
          <w:tcPr>
            <w:tcW w:type="dxa" w:w="4656"/>
          </w:tcPr>
          <w:p>
            <w:pPr>
              <w:spacing w:after="40"/>
            </w:pPr>
            <w:r>
              <w:rPr>
                <w:rFonts w:ascii="Arial" w:hAnsi="Arial"/>
                <w:sz w:val="20"/>
              </w:rPr>
              <w:t>Jemputan Menghadiri ⟪nama program⟫</w:t>
            </w:r>
          </w:p>
        </w:tc>
      </w:tr>
      <w:tr>
        <w:tc>
          <w:tcPr>
            <w:tcW w:type="dxa" w:w="4656"/>
          </w:tcPr>
          <w:p>
            <w:pPr>
              <w:spacing w:after="40"/>
            </w:pPr>
            <w:r>
              <w:rPr>
                <w:rFonts w:ascii="Arial" w:hAnsi="Arial"/>
                <w:sz w:val="20"/>
              </w:rPr>
              <w:t>Isi Surat</w:t>
            </w:r>
          </w:p>
        </w:tc>
        <w:tc>
          <w:tcPr>
            <w:tcW w:type="dxa" w:w="4656"/>
          </w:tcPr>
          <w:p>
            <w:pPr>
              <w:spacing w:after="40"/>
            </w:pPr>
            <w:r>
              <w:rPr>
                <w:rFonts w:ascii="Arial" w:hAnsi="Arial"/>
                <w:sz w:val="20"/>
              </w:rPr>
              <w:t>Tarikh, masa, tempat, tujuan jemputan, aturcara ringkas</w:t>
            </w:r>
          </w:p>
        </w:tc>
      </w:tr>
      <w:tr>
        <w:tc>
          <w:tcPr>
            <w:tcW w:type="dxa" w:w="4656"/>
          </w:tcPr>
          <w:p>
            <w:pPr>
              <w:spacing w:after="40"/>
            </w:pPr>
            <w:r>
              <w:rPr>
                <w:rFonts w:ascii="Arial" w:hAnsi="Arial"/>
                <w:sz w:val="20"/>
              </w:rPr>
              <w:t>Penutup</w:t>
            </w:r>
          </w:p>
        </w:tc>
        <w:tc>
          <w:tcPr>
            <w:tcW w:type="dxa" w:w="4656"/>
          </w:tcPr>
          <w:p>
            <w:pPr>
              <w:spacing w:after="40"/>
            </w:pPr>
            <w:r>
              <w:rPr>
                <w:rFonts w:ascii="Arial" w:hAnsi="Arial"/>
                <w:sz w:val="20"/>
              </w:rPr>
              <w:t>Ucapan terima kasih, nama &amp; tandatangan pengetua</w:t>
            </w:r>
          </w:p>
        </w:tc>
      </w:tr>
    </w:tbl>
    <w:p>
      <w:pPr>
        <w:keepNext/>
        <w:spacing w:before="160" w:after="60"/>
      </w:pPr>
      <w:r>
        <w:rPr>
          <w:rFonts w:ascii="Arial" w:hAnsi="Arial"/>
          <w:b/>
          <w:color w:val="1F4E79"/>
          <w:sz w:val="24"/>
        </w:rPr>
        <w:t>6. Etika Komunikasi Digital (WhatsApp/Media Sosial)</w:t>
      </w:r>
    </w:p>
    <w:p>
      <w:r>
        <w:t>Selain PDPA 2010, guru perlu mematuhi etika komunikasi digital seperti tidak berkongsi gambar murid tanpa kebenaran ibu bapa (terutamanya di media sosial umum), mengelak berkongsi maklumat sensitif dalam kumpulan WhatsApp besar, dan memastikan mesej dihantar pada waktu yang munasabah (bukan lewat malam) demi menghormati masa peribadi ibu bapa. Sebarang gambar/video program yang ingin dikongsi secara umum perlu mendapat kebenaran bertulis daripada ibu bapa terlebih dahulu (borang kebenaran media).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Komunikasi Tidak Sesuai dengan VIP</w:t>
            </w:r>
          </w:p>
          <w:p>
            <w:pPr>
              <w:spacing w:after="40"/>
            </w:pPr>
            <w:r>
              <w:rPr>
                <w:rFonts w:ascii="Arial" w:hAnsi="Arial"/>
                <w:sz w:val="22"/>
              </w:rPr>
              <w:t>Semasa lawatan Pegawai PPD ke sebuah tadika, guru menghantar mesej WhatsApp ringkas dan tidak formal untuk memaklumkan tarikh lawatan, menyebabkan pegawai berasa kurang dihormati dari segi protokol. Selepas kejadian ini, tadika menetapkan dasar baharu: sebarang jemputan/pemberitahuan kepada pegawai kerajaan atau VIP mesti melalui surat rasmi bertandatangan pengetua, manakala WhatsApp hanya digunakan untuk urusan teknikal ringkas seperti pengesahan logistik selepas surat rasmi dihantar.</w:t>
            </w:r>
          </w:p>
        </w:tc>
      </w:tr>
    </w:tbl>
    <w:p>
      <w:pPr>
        <w:keepNext/>
        <w:spacing w:before="160" w:after="60"/>
      </w:pPr>
      <w:r>
        <w:rPr>
          <w:rFonts w:ascii="Arial" w:hAnsi="Arial"/>
          <w:b/>
          <w:color w:val="1F4E79"/>
          <w:sz w:val="24"/>
        </w:rPr>
        <w:t>8. Kesilapan Lazim dan Cara Mengelak</w:t>
      </w:r>
    </w:p>
    <w:p>
      <w:r>
        <w:t>Kesilapan lazim ialah menggunakan nada dan saluran yang sama untuk semua penerima tanpa mengira tahap formaliti yang diperlukan. Kesilapan lain ialah berkongsi maklumat peribadi murid (nombor telefon, alamat) dalam kumpulan WhatsApp besar tanpa kebenaran. Cara mengelak: sentiasa rujuk jadual pendekatan komunikasi (Bab 2, jadual di atas) sebelum menghantar sebarang mesej, dan dapatkan kebenaran bertulis sebelum berkongsi maklumat/gambar murid secara meluas.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Sebelum Menghantar Komunikasi Rasmi</w:t>
            </w:r>
          </w:p>
          <w:p>
            <w:pPr>
              <w:spacing w:after="40"/>
              <w:ind w:left="320" w:hanging="320"/>
            </w:pPr>
            <w:r>
              <w:rPr>
                <w:rFonts w:ascii="Arial" w:hAnsi="Arial"/>
                <w:color w:val="2E75B6"/>
                <w:sz w:val="22"/>
              </w:rPr>
              <w:t>●</w:t>
              <w:tab/>
            </w:r>
            <w:r>
              <w:rPr>
                <w:rFonts w:ascii="Arial" w:hAnsi="Arial"/>
                <w:sz w:val="22"/>
              </w:rPr>
              <w:t>[ ] Penerima dan saluran yang sesuai dikenal pasti.</w:t>
            </w:r>
          </w:p>
          <w:p>
            <w:pPr>
              <w:spacing w:after="40"/>
              <w:ind w:left="320" w:hanging="320"/>
            </w:pPr>
            <w:r>
              <w:rPr>
                <w:rFonts w:ascii="Arial" w:hAnsi="Arial"/>
                <w:color w:val="2E75B6"/>
                <w:sz w:val="22"/>
              </w:rPr>
              <w:t>●</w:t>
              <w:tab/>
            </w:r>
            <w:r>
              <w:rPr>
                <w:rFonts w:ascii="Arial" w:hAnsi="Arial"/>
                <w:sz w:val="22"/>
              </w:rPr>
              <w:t>[ ] Nada dan tahap formaliti disesuaikan mengikut penerima.</w:t>
            </w:r>
          </w:p>
          <w:p>
            <w:pPr>
              <w:spacing w:after="40"/>
              <w:ind w:left="320" w:hanging="320"/>
            </w:pPr>
            <w:r>
              <w:rPr>
                <w:rFonts w:ascii="Arial" w:hAnsi="Arial"/>
                <w:color w:val="2E75B6"/>
                <w:sz w:val="22"/>
              </w:rPr>
              <w:t>●</w:t>
              <w:tab/>
            </w:r>
            <w:r>
              <w:rPr>
                <w:rFonts w:ascii="Arial" w:hAnsi="Arial"/>
                <w:sz w:val="22"/>
              </w:rPr>
              <w:t>[ ] Kandungan disemak untuk ketepatan (tarikh, ejaan, kesopanan).</w:t>
            </w:r>
          </w:p>
          <w:p>
            <w:pPr>
              <w:spacing w:after="40"/>
              <w:ind w:left="320" w:hanging="320"/>
            </w:pPr>
            <w:r>
              <w:rPr>
                <w:rFonts w:ascii="Arial" w:hAnsi="Arial"/>
                <w:color w:val="2E75B6"/>
                <w:sz w:val="22"/>
              </w:rPr>
              <w:t>●</w:t>
              <w:tab/>
            </w:r>
            <w:r>
              <w:rPr>
                <w:rFonts w:ascii="Arial" w:hAnsi="Arial"/>
                <w:sz w:val="22"/>
              </w:rPr>
              <w:t>[ ] Maklumat peribadi murid/keluarga tidak dikongsi tanpa kebenaran.</w:t>
            </w:r>
          </w:p>
          <w:p>
            <w:pPr>
              <w:spacing w:after="40"/>
              <w:ind w:left="320" w:hanging="320"/>
            </w:pPr>
            <w:r>
              <w:rPr>
                <w:rFonts w:ascii="Arial" w:hAnsi="Arial"/>
                <w:color w:val="2E75B6"/>
                <w:sz w:val="22"/>
              </w:rPr>
              <w:t>●</w:t>
              <w:tab/>
            </w:r>
            <w:r>
              <w:rPr>
                <w:rFonts w:ascii="Arial" w:hAnsi="Arial"/>
                <w:sz w:val="22"/>
              </w:rPr>
              <w:t>[ ] Surat rasmi digunakan untuk tetamu khas/agensi kerajaan.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draf surat jemputan rasmi ringkas (guna templat di atas) untuk menjemput pegawai KEMAS menghadiri Hari Terbuka Prasekolah.</w:t>
            </w:r>
          </w:p>
          <w:p>
            <w:pPr>
              <w:spacing w:after="40"/>
              <w:ind w:left="320" w:hanging="320"/>
            </w:pPr>
            <w:r>
              <w:rPr>
                <w:rFonts w:ascii="Arial" w:hAnsi="Arial"/>
                <w:sz w:val="22"/>
              </w:rPr>
              <w:t>2.</w:t>
              <w:tab/>
            </w:r>
            <w:r>
              <w:rPr>
                <w:rFonts w:ascii="Arial" w:hAnsi="Arial"/>
                <w:sz w:val="22"/>
              </w:rPr>
              <w:t>Bandingkan draf mesej WhatsApp untuk ibu bapa dengan draf surat rasmi untuk pegawai kerajaan bagi program yang sama — kenal pasti tiga perbezaan utama dari segi nada dan bahasa.</w:t>
            </w:r>
          </w:p>
        </w:tc>
      </w:tr>
    </w:tbl>
    <w:p>
      <w:pPr>
        <w:keepNext/>
        <w:spacing w:before="160" w:after="60"/>
      </w:pPr>
      <w:r>
        <w:rPr>
          <w:rFonts w:ascii="Arial" w:hAnsi="Arial"/>
          <w:b/>
          <w:color w:val="1F4E79"/>
          <w:sz w:val="24"/>
        </w:rPr>
        <w:t>11. Kemahiran Mendengar Aktif (Active Listening) dalam Komunikasi Ibu Bapa</w:t>
      </w:r>
    </w:p>
    <w:p>
      <w:r>
        <w:t>Komunikasi berkesan bukan sekadar menyampaikan maklumat, tetapi turut merangkumi kemahiran mendengar aktif apabila ibu bapa menyuarakan kebimbangan atau cadangan. Guru perlu memberi tumpuan penuh semasa ibu bapa bercakap (tanpa memotong), mengesahkan pemahaman dengan menyatakan semula secara ringkas ("Jadi cikgu faham puan risau tentang...") sebelum memberi respons, dan mengelak daripada bersikap defensif walaupun kritikan diterima. Kemahiran ini amat penting semasa sesi soal jawab selepas program atau semasa perbincangan isu sensitif seperti kelakuan murid.</w:t>
      </w:r>
    </w:p>
    <w:p>
      <w:pPr>
        <w:keepNext/>
        <w:spacing w:before="160" w:after="60"/>
      </w:pPr>
      <w:r>
        <w:rPr>
          <w:rFonts w:ascii="Arial" w:hAnsi="Arial"/>
          <w:b/>
          <w:color w:val="1F4E79"/>
          <w:sz w:val="24"/>
        </w:rPr>
        <w:t>12. Mengendalikan Aduan atau Kebimbangan Ibu Bapa</w:t>
      </w:r>
    </w:p>
    <w:p>
      <w:r>
        <w:t>Apabila ibu bapa menyuarakan aduan (contoh: tidak berpuas hati dengan pengurusan sesuatu aktiviti), guru perlu mengikut prosedur asas: (i) dengar sepenuhnya tanpa membuat kesimpulan awal; (ii) catat butiran aduan secara bertulis; (iii) maklumkan kepada guru besar/pengetua jika isu melibatkan dasar tadika atau memerlukan tindakan susulan; (iv) berikan respons dalam tempoh munasabah (contoh: 1-2 hari bekerja); (v) susuli dengan tindakan konkrit dan maklumkan semula kepada ibu bapa berkenaan. Aduan yang dikendalikan dengan baik sering kali mengukuhkan kepercayaan ibu bapa terhadap profesionalisme tadika, berbanding aduan yang diabaikan atau dijawab secara defensif.</w:t>
      </w:r>
    </w:p>
    <w:p>
      <w:pPr>
        <w:keepNext/>
        <w:spacing w:before="160" w:after="60"/>
      </w:pPr>
      <w:r>
        <w:rPr>
          <w:rFonts w:ascii="Arial" w:hAnsi="Arial"/>
          <w:b/>
          <w:color w:val="1F4E79"/>
          <w:sz w:val="24"/>
        </w:rPr>
        <w:t>14. Komunikasi Bukan Lisan (Non-Verbal Communication) dengan Murid</w:t>
      </w:r>
    </w:p>
    <w:p>
      <w:r>
        <w:t>Semasa berkomunikasi dengan murid prasekolah dalam konteks aktiviti ibu bapa-komuniti (contoh: menerangkan aturcara Hari Sukan kepada murid), guru perlu memanfaatkan komunikasi bukan lisan seperti nada suara yang ceria, ekspresi wajah mesra, dan bahasa badan terbuka, di samping bahasa yang mudah dan visual/gambar. Murid pada peringkat prasekolah lebih mudah memahami arahan melalui demonstrasi (contoh: menunjukkan cara berbaris) berbanding penerangan lisan semata-mata, terutamanya bagi murid yang masih dalam proses perkembangan bahasa.</w:t>
      </w:r>
    </w:p>
    <w:p>
      <w:pPr>
        <w:keepNext/>
        <w:spacing w:before="160" w:after="60"/>
      </w:pPr>
      <w:r>
        <w:rPr>
          <w:rFonts w:ascii="Arial" w:hAnsi="Arial"/>
          <w:b/>
          <w:color w:val="1F4E79"/>
          <w:sz w:val="24"/>
        </w:rPr>
        <w:t>15. Menyelaraskan Komunikasi Antara Guru Sebelum Bertemu Tetamu Khas</w:t>
      </w:r>
    </w:p>
    <w:p>
      <w:r>
        <w:t>Sebelum tetamu khas seperti pegawai kerajaan tiba, semua guru yang mungkin berinteraksi dengannya (di pintu masuk, semasa lawatan ke kelas, semasa jamuan) perlu diberi taklimat ringkas tentang siapa tetamu tersebut, tujuan lawatan, dan sebarang maklumat sensitif yang perlu dielakkan daripada dibincangkan secara terbuka. Penyelarasan ini mengelakkan situasi janggal seperti guru berbeza memberikan maklumat yang tidak konsisten kepada tetamu yang sama.</w:t>
      </w:r>
    </w:p>
    <w:p>
      <w:pPr>
        <w:keepNext/>
        <w:spacing w:before="160" w:after="60"/>
      </w:pPr>
      <w:r>
        <w:rPr>
          <w:rFonts w:ascii="Arial" w:hAnsi="Arial"/>
          <w:b/>
          <w:color w:val="1F4E79"/>
          <w:sz w:val="24"/>
        </w:rPr>
        <w:t>17. Menangani Komunikasi dalam Bahasa/Dialek Berbeza</w:t>
      </w:r>
    </w:p>
    <w:p>
      <w:r>
        <w:t>Bagi tadika di kawasan dengan kepelbagaian bahasa/dialek (contoh: kawasan dengan komuniti pelbagai kaum atau pekerja migran), guru boleh mempertimbangkan menyediakan notis penting dalam dua bahasa (BM dan BI, atau BM dan bahasa ibunda utama komuniti setempat) bagi memastikan maklumat kritikal seperti tarikh program dan keperluan keselamatan difahami oleh semua ibu bapa. Bagi komunikasi lisan dengan ibu bapa yang kurang fasih berbahasa Malaysia, guru boleh menggunakan bahasa badan, gambar/ikon, atau meminta bantuan ibu bapa lain yang boleh menterjemah secara sukarela, sambil sentiasa mengekalkan nada mesra dan sabar.</w:t>
      </w:r>
    </w:p>
    <w:p>
      <w:pPr>
        <w:keepNext/>
        <w:spacing w:before="160" w:after="60"/>
      </w:pPr>
      <w:r>
        <w:rPr>
          <w:rFonts w:ascii="Arial" w:hAnsi="Arial"/>
          <w:b/>
          <w:color w:val="1F4E79"/>
          <w:sz w:val="24"/>
        </w:rPr>
        <w:t>18. Membina Hubungan Jangka Panjang Melalui Komunikasi Konsisten</w:t>
      </w:r>
    </w:p>
    <w:p>
      <w:r>
        <w:t>Komunikasi berkesan bukan hanya tentang satu-satu mesej yang disampaikan dengan baik, tetapi tentang konsistensi jangka panjang — ibu bapa yang menerima komunikasi yang jelas, tepat pada masanya dan mesra secara berterusan sepanjang tahun persekolahan lebih cenderung mempercayai dan menyokong tadika berbanding ibu bapa yang hanya menerima komunikasi bermusim (contoh: hanya semasa ada acara besar). Guru digalakkan mengekalkan sekurang-kurangnya satu bentuk komunikasi rutin (contoh: buku laporan mingguan atau nota ringkas) sepanjang tahun, bukan hanya semasa program ibu bapa-komuniti dirancang.</w:t>
      </w:r>
    </w:p>
    <w:p>
      <w:pPr>
        <w:keepNext/>
        <w:spacing w:before="160" w:after="60"/>
      </w:pPr>
      <w:r>
        <w:rPr>
          <w:rFonts w:ascii="Arial" w:hAnsi="Arial"/>
          <w:b/>
          <w:color w:val="1F4E79"/>
          <w:sz w:val="24"/>
        </w:rPr>
        <w:t>20. Latihan Kemahiran Komunikasi untuk Guru Baharu</w:t>
      </w:r>
    </w:p>
    <w:p>
      <w:r>
        <w:t>Tadika digalakkan mengadakan sesi latihan ringkas (role-play) untuk guru baharu sebelum mereka mula berinteraksi secara bebas dengan ibu bapa, komuniti dan tetamu khas. Sesi ini boleh merangkumi senario simulasi seperti "menjawab pertanyaan ibu bapa yang tidak berpuas hati", "menjemput pegawai kerajaan secara formal melalui telefon", dan "menerangkan aturcara program kepada murid prasekolah". Latihan role-play membolehkan guru baharu membina keyakinan dan mengenal pasti kesilapan komunikasi dalam persekitaran selamat sebelum berhadapan dengan situasi sebenar.</w:t>
      </w:r>
    </w:p>
    <w:p>
      <w:pPr>
        <w:keepNext/>
        <w:spacing w:before="160" w:after="60"/>
      </w:pPr>
      <w:r>
        <w:rPr>
          <w:rFonts w:ascii="Arial" w:hAnsi="Arial"/>
          <w:b/>
          <w:color w:val="1F4E79"/>
          <w:sz w:val="24"/>
        </w:rPr>
        <w:t>21. Dokumentasi Komunikasi Penting sebagai Rekod</w:t>
      </w:r>
    </w:p>
    <w:p>
      <w:r>
        <w:t>Bagi komunikasi rasmi yang melibatkan kelulusan, jemputan agensi luar, atau isu sensitif (contoh: aduan ibu bapa), guru perlu menyimpan salinan komunikasi tersebut (surat, tangkapan skrin WhatsApp rasmi, e-mel) sebagai rekod rujukan. Dokumentasi ini bukan sahaja membantu guru merujuk semula perbincangan lampau, tetapi turut menjadi bukti akauntabiliti sekiranya timbul persoalan berkaitan komunikasi tersebut pada masa hadapan, terutamanya bagi isu yang melibatkan kelulusan bertulis daripada pihak pengurusan atau agensi kerajaan.</w:t>
      </w:r>
    </w:p>
    <w:p>
      <w:pPr>
        <w:keepNext/>
        <w:spacing w:before="160" w:after="60"/>
      </w:pPr>
      <w:r>
        <w:rPr>
          <w:rFonts w:ascii="Arial" w:hAnsi="Arial"/>
          <w:b/>
          <w:color w:val="1F4E79"/>
          <w:sz w:val="24"/>
        </w:rPr>
        <w:t>23. Komunikasi Semasa Krisis atau Kecemasan</w:t>
      </w:r>
    </w:p>
    <w:p>
      <w:r>
        <w:t>Selain komunikasi rutin program, guru perlu bersedia dengan protokol komunikasi khas semasa krisis atau kecemasan (contoh: kecederaan murid, cuaca melampau semasa program). Dalam situasi ini, komunikasi perlu segera, tenang dan tepat — ibu bapa murid terlibat dimaklumkan terlebih dahulu secara peribadi sebelum sebarang maklumat umum dikongsi, manakala ibu bapa lain hanya dimaklumkan maklumat am yang perlu (contoh: program ditangguhkan) tanpa mendedahkan butiran peribadi murid yang terlibat. Guru yang panik atau menyebarkan maklumat tidak tepat semasa kecemasan boleh mencetuskan kekeliruan lebih besar berbanding insiden asal itu sendiri.</w:t>
      </w:r>
    </w:p>
    <w:p>
      <w:pPr>
        <w:keepNext/>
        <w:spacing w:before="160" w:after="60"/>
      </w:pPr>
      <w:r>
        <w:rPr>
          <w:rFonts w:ascii="Arial" w:hAnsi="Arial"/>
          <w:b/>
          <w:color w:val="1F4E79"/>
          <w:sz w:val="24"/>
        </w:rPr>
        <w:t>24. Membina Kepercayaan Melalui Ketelusan Komunikasi</w:t>
      </w:r>
    </w:p>
    <w:p>
      <w:r>
        <w:t>Ketelusan dalam komunikasi — termasuk mengakui kesilapan atau kekurangan program secara terbuka apabila berlaku — membina kepercayaan jangka panjang antara tadika dan komuniti berbanding cuba menyembunyikan isu. Contohnya, jika sesuatu program tidak berjalan seperti dirancang akibat kesilapan logistik, guru/pengetua yang mengakui isu tersebut secara telus kepada ibu bapa dan menyatakan langkah penambahbaikan yang akan diambil, lebih dipercayai berbanding tadika yang membisu tentang isu tersebut. Ketelusan ini selaras dengan prinsip kejujuran laporan yang turut ditekankan dalam C05-W03.md Bab 2.</w:t>
      </w:r>
    </w:p>
    <w:p>
      <w:pPr>
        <w:keepNext/>
        <w:spacing w:before="160" w:after="60"/>
      </w:pPr>
      <w:r>
        <w:rPr>
          <w:rFonts w:ascii="Arial" w:hAnsi="Arial"/>
          <w:b/>
          <w:color w:val="1F4E79"/>
          <w:sz w:val="24"/>
        </w:rPr>
        <w:t>26. Peranan Bahasa Badan Guru Semasa Menyambut Tetamu Khas</w:t>
      </w:r>
    </w:p>
    <w:p>
      <w:r>
        <w:t>Selain kandungan lisan, bahasa badan guru semasa menyambut tetamu khas turut membentuk kesan profesionalisme tadika — bersalaman dengan yakin (mengikut kesesuaian budaya/agama), kontak mata yang sesuai, senyuman ikhlas, dan postur berdiri yang menunjukkan kesediaan membantu. Guru yang ditugaskan menyambut tetamu khas perlu diberi taklimat bukan sahaja tentang apa yang perlu dikatakan, tetapi juga bagaimana ia disampaikan, kerana kesan pertama (*first impression*) sering kali dibentuk dalam beberapa saat pertama pertemuan.</w:t>
      </w:r>
    </w:p>
    <w:p>
      <w:pPr>
        <w:keepNext/>
        <w:spacing w:before="160" w:after="60"/>
      </w:pPr>
      <w:r>
        <w:rPr>
          <w:rFonts w:ascii="Arial" w:hAnsi="Arial"/>
          <w:b/>
          <w:color w:val="1F4E79"/>
          <w:sz w:val="24"/>
        </w:rPr>
        <w:t>28. Komunikasi Susulan (Follow-Up) Selepas Program</w:t>
      </w:r>
    </w:p>
    <w:p>
      <w:r>
        <w:t>Selepas program tamat, komunikasi tidak seharusnya terhenti serta-merta — guru digalakkan menghantar mesej ringkas ucapan terima kasih kepada ibu bapa dan tetamu khas dalam masa 1-2 hari selepas program, serta memaklumkan bahawa maklum balas akan dikumpul (rujuk C05-W03.md Bab 1) untuk penambahbaikan program akan datang. Komunikasi susulan ini menunjukkan penghargaan tadika terhadap penyertaan komuniti dan membuka ruang bagi ibu bapa menyuarakan sebarang pandangan tambahan yang mungkin tidak sempat disuarakan semasa program berlangsung.</w:t>
      </w:r>
    </w:p>
    <w:p>
      <w:pPr>
        <w:keepNext/>
        <w:spacing w:before="160" w:after="60"/>
      </w:pPr>
      <w:r>
        <w:rPr>
          <w:rFonts w:ascii="Arial" w:hAnsi="Arial"/>
          <w:b/>
          <w:color w:val="1F4E79"/>
          <w:sz w:val="24"/>
        </w:rPr>
        <w:t>30. Kesimpulan: Komunikasi sebagai Jambatan Menyeluruh</w:t>
      </w:r>
    </w:p>
    <w:p>
      <w:r>
        <w:t>Secara keseluruhannya, komunikasi berkesan berfungsi sebagai jambatan yang menghubungkan pemahaman locality (Bab 1) dengan pelaksanaan aktiviti sebenar (Bab 3) — tanpa komunikasi yang jelas dan sesuai mengikut penerima, maklumat locality yang telah dikumpul dengan teliti dan sumber yang telah diselaraskan dengan baik tidak akan sampai secara berkesan kepada ibu bapa, komuniti, murid mahupun tetamu khas. Justeru, kemahiran komunikasi yang dibincangkan dalam Bab ini merupakan nadi penghubung yang mengikat keseluruhan Work Activity "Engage relationship with family and community" menjadi satu proses yang koheren.</w:t>
      </w:r>
    </w:p>
    <w:p>
      <w:pPr>
        <w:keepNext/>
        <w:spacing w:before="160" w:after="60"/>
      </w:pPr>
      <w:r>
        <w:rPr>
          <w:rFonts w:ascii="Arial" w:hAnsi="Arial"/>
          <w:b/>
          <w:color w:val="1F4E79"/>
          <w:sz w:val="24"/>
        </w:rPr>
        <w:t>32. Ringkasan Amalan Terbaik Bab 2</w:t>
      </w:r>
    </w:p>
    <w:p>
      <w:r>
        <w:t>Tiga amalan terbaik komunikasi yang perlu dikuasai guru prasekolah ialah: (i) sentiasa menyesuaikan saluran, nada dan bahasa mengikut jenis penerima sebelum menghantar sebarang mesej; (ii) mengamalkan mendengar aktif dan mengendalikan aduan secara profesional tanpa bersikap defensif; dan (iii) mematuhi etika kerahsiaan maklumat peribadi murid/keluarga selaras PDPA 2010 dalam setiap bentuk komunikasi, sama ada bertulis, lisan mahupun digital.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34. Aktiviti Pengukuhan Tambahan</w:t>
            </w:r>
          </w:p>
          <w:p>
            <w:pPr>
              <w:spacing w:after="40"/>
              <w:ind w:left="320" w:hanging="320"/>
            </w:pPr>
            <w:r>
              <w:rPr>
                <w:rFonts w:ascii="Arial" w:hAnsi="Arial"/>
                <w:sz w:val="22"/>
              </w:rPr>
              <w:t>1.</w:t>
              <w:tab/>
            </w:r>
            <w:r>
              <w:rPr>
                <w:rFonts w:ascii="Arial" w:hAnsi="Arial"/>
                <w:sz w:val="22"/>
              </w:rPr>
              <w:t>Rancang satu senario role-play ringkas antara dua pelatih: seorang berperanan sebagai guru, seorang lagi sebagai ibu bapa yang tidak berpuas hati dengan susunan tempat duduk semasa Hari Terbuka. Amalkan prosedur mengendalikan aduan (item 12 di atas) semasa role-play tersebut.</w:t>
            </w:r>
          </w:p>
        </w:tc>
      </w:tr>
    </w:tbl>
    <w:p>
      <w:pPr>
        <w:keepNext/>
        <w:spacing w:before="160" w:after="60"/>
      </w:pPr>
      <w:r>
        <w:rPr>
          <w:rFonts w:ascii="Arial" w:hAnsi="Arial"/>
          <w:b/>
          <w:color w:val="1F4E79"/>
          <w:sz w:val="24"/>
        </w:rPr>
        <w:t>36. Nota Tambahan: Komunikasi sebagai Kemahiran Boleh Pindah (Transferable Skill)</w:t>
      </w:r>
    </w:p>
    <w:p>
      <w:r>
        <w:t>Kemahiran komunikasi yang dikuasai dalam Bab ini turut relevan di luar konteks aktiviti ibu bapa-komuniti sahaja — ia boleh diaplikasikan semasa perbualan harian dengan ibu bapa (contoh: sesi pengambilan/penghantaran murid), semasa mesyuarat staf dalaman, dan semasa berurusan dengan pembekal/vendor tadika. Justeru, pelaburan masa untuk menguasai kemahiran komunikasi yang disesuaikan mengikut penerima memberi manfaat yang jauh melangkaui skop Work Activity ini sahaja, menjadikannya salah satu kemahiran paling berharga bagi seorang guru prasekolah profesional.</w:t>
      </w:r>
    </w:p>
    <w:p>
      <w:pPr>
        <w:keepNext/>
        <w:spacing w:before="160" w:after="60"/>
      </w:pPr>
      <w:r>
        <w:rPr>
          <w:rFonts w:ascii="Arial" w:hAnsi="Arial"/>
          <w:b/>
          <w:color w:val="1F4E79"/>
          <w:sz w:val="24"/>
        </w:rPr>
        <w:t>38. Penutup Bab 2</w:t>
      </w:r>
    </w:p>
    <w:p>
      <w:r>
        <w:t>Bab 2 berfungsi sebagai jambatan yang mengubah pemahaman pasif tentang komuniti (Bab 1) menjadi tindakan komunikasi yang aktif dan berkesan — tanpa kemahiran ini, guru mungkin memahami komuniti dengan mendalam tetapi gagal menyampaikan maklumat dan membina hubungan secara berkesan. Guru digalakkan terus mengasah kemahiran ini melalui latihan berterusan dan refleksi selepas setiap interaksi penting dengan ibu bapa, komuniti, murid mahupun tetamu khas.</w:t>
      </w:r>
    </w:p>
    <w:p>
      <w:pPr>
        <w:keepNext/>
        <w:spacing w:before="160" w:after="60"/>
      </w:pPr>
      <w:r>
        <w:rPr>
          <w:rFonts w:ascii="Arial" w:hAnsi="Arial"/>
          <w:b/>
          <w:color w:val="1F4E79"/>
          <w:sz w:val="24"/>
        </w:rPr>
        <w:t>40. Nota Akhir untuk Bakat</w:t>
      </w:r>
    </w:p>
    <w:p>
      <w:r>
        <w:t>Sebagai penutup, imbas kembali empat kategori penerima yang dibincangkan (ibu bapa, komuniti, murid, tetamu khas) dan pastikan Bakat dapat memberi sekurang-kurangnya satu contoh mesej yang sesuai bagi setiap kategori tersebut bagi program yang sama — latihan ringkas ini mengukuhkan kefahaman sebelum meneruskan pembelajaran kepada Bab 3.</w:t>
      </w:r>
    </w:p>
    <w:p>
      <w:pPr>
        <w:keepNext/>
        <w:spacing w:before="160" w:after="60"/>
      </w:pPr>
      <w:r>
        <w:rPr>
          <w:rFonts w:ascii="Arial" w:hAnsi="Arial"/>
          <w:b/>
          <w:color w:val="1F4E79"/>
          <w:sz w:val="24"/>
        </w:rPr>
        <w:t>42. Rujukan Silang Akhir</w:t>
      </w:r>
    </w:p>
    <w:p>
      <w:r>
        <w:t>Bakat digalakkan menghubungkaitkan kemahiran komunikasi dalam Bab ini dengan proses mengumpul maklum balas peserta yang akan dipelajari dalam C05-W03.md Bab 1 — kualiti komunikasi yang dijalinkan semasa dan sebelum program secara langsung mempengaruhi kesediaan ibu bapa dan komuniti untuk memberikan maklum balas yang jujur dan membina selepas program tamat.</w:t>
      </w:r>
    </w:p>
    <w:p>
      <w:pPr>
        <w:keepNext/>
        <w:spacing w:before="160" w:after="60"/>
      </w:pPr>
      <w:r>
        <w:rPr>
          <w:rFonts w:ascii="Arial" w:hAnsi="Arial"/>
          <w:b/>
          <w:color w:val="1F4E79"/>
          <w:sz w:val="24"/>
        </w:rPr>
        <w:t>43. Sumbangan Bab Ini kepada Keseluruhan CU</w:t>
      </w:r>
    </w:p>
    <w:p>
      <w:r>
        <w:t>Kemahiran komunikasi yang dikuasai di sini turut menyokong pelaksanaan Work Activity lain dalam CU C05 ini — komunikasi yang jelas semasa merancang (C05-W01.md) dan komunikasi yang telus semasa melapor (C05-W03.md) kedua-duanya bergantung kepada asas kemahiran yang sama dengan yang dibincangkan dalam Bab ini.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44. Rumusan</w:t>
            </w:r>
          </w:p>
          <w:p>
            <w:pPr>
              <w:spacing w:after="40"/>
            </w:pPr>
            <w:r>
              <w:rPr>
                <w:rFonts w:ascii="Arial" w:hAnsi="Arial"/>
                <w:sz w:val="22"/>
              </w:rPr>
              <w:t>Komunikasi berkesan yang disesuaikan mengikut penerima — ibu bapa, komuniti, murid, atau tetamu khas — serta kepatuhan kepada etika kerahsiaan maklumat, adalah asas kepada hubungan yang mesra dan profesional antara tadika dengan persekitarannya.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Activity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sumber yang diperlukan bagi menyelaraskan aktiviti ibu bapa-komuniti.</w:t>
            </w:r>
          </w:p>
          <w:p>
            <w:pPr>
              <w:spacing w:after="40"/>
              <w:ind w:left="320" w:hanging="320"/>
            </w:pPr>
            <w:r>
              <w:rPr>
                <w:rFonts w:ascii="Arial" w:hAnsi="Arial"/>
                <w:color w:val="2E75B6"/>
                <w:sz w:val="22"/>
              </w:rPr>
              <w:t>●</w:t>
              <w:tab/>
            </w:r>
            <w:r>
              <w:rPr>
                <w:rFonts w:ascii="Arial" w:hAnsi="Arial"/>
                <w:sz w:val="22"/>
              </w:rPr>
              <w:t>Menyediakan senarai semak pelaksanaan aktiviti.</w:t>
            </w:r>
          </w:p>
          <w:p>
            <w:pPr>
              <w:spacing w:after="40"/>
              <w:ind w:left="320" w:hanging="320"/>
            </w:pPr>
            <w:r>
              <w:rPr>
                <w:rFonts w:ascii="Arial" w:hAnsi="Arial"/>
                <w:color w:val="2E75B6"/>
                <w:sz w:val="22"/>
              </w:rPr>
              <w:t>●</w:t>
              <w:tab/>
            </w:r>
            <w:r>
              <w:rPr>
                <w:rFonts w:ascii="Arial" w:hAnsi="Arial"/>
                <w:sz w:val="22"/>
              </w:rPr>
              <w:t>Mengaplikasikan langkah berjaga-jaga keselamatan semasa mengawal murid dalam aktiviti.</w:t>
            </w:r>
          </w:p>
        </w:tc>
      </w:tr>
    </w:tbl>
    <w:p>
      <w:pPr>
        <w:keepNext/>
        <w:spacing w:before="160" w:after="60"/>
      </w:pPr>
      <w:r>
        <w:rPr>
          <w:rFonts w:ascii="Arial" w:hAnsi="Arial"/>
          <w:b/>
          <w:color w:val="1F4E79"/>
          <w:sz w:val="24"/>
        </w:rPr>
        <w:t>1. Resources (Sumber)</w:t>
      </w:r>
    </w:p>
    <w:p>
      <w:r>
        <w:t>Sumber yang perlu disediakan termasuk peralatan program, tenaga guru pembantu, bahan bercetak (banner, risalah), dan kewangan mengikut bajet yang diluluskan dalam proposal. Perancangan sumber yang teliti memastikan aktiviti berjalan tanpa kekurangan pada hari pelaksanaan.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 Checklist (Senarai Semak)</w:t>
            </w:r>
          </w:p>
          <w:p>
            <w:pPr>
              <w:spacing w:after="40"/>
            </w:pPr>
            <w:r>
              <w:rPr>
                <w:rFonts w:ascii="Arial" w:hAnsi="Arial"/>
                <w:sz w:val="22"/>
              </w:rPr>
              <w:t>Senarai semak aktiviti membantu guru memastikan setiap langkah — daripada persediaan tempat, jemputan, hingga susunan aturcara — telah lengkap dilaksanakan mengikut tempoh masa yang ditetapkan.</w:t>
            </w:r>
          </w:p>
        </w:tc>
      </w:tr>
    </w:tbl>
    <w:p>
      <w:pPr>
        <w:keepNext/>
        <w:spacing w:before="160" w:after="60"/>
      </w:pPr>
      <w:r>
        <w:rPr>
          <w:rFonts w:ascii="Arial" w:hAnsi="Arial"/>
          <w:b/>
          <w:color w:val="1F4E79"/>
          <w:sz w:val="24"/>
        </w:rPr>
        <w:t>3. Safety Precaution (Langkah Berjaga-jaga Keselamatan — Kawalan Murid)</w:t>
      </w:r>
    </w:p>
    <w:p>
      <w:r>
        <w:t>Semasa aktiviti melibatkan ramai orang (contoh: Hari Sukan, gotong-royong), guru mesti mengekalkan nisbah pengawasan murid yang mencukupi, menetapkan kawasan larangan murid tanpa pengawasan, dan memastikan setiap murid dikenal pasti dengan jelas (contoh: tanda nama/kad pengenalan sementara) sepanjang aktiviti. Guru juga perlu menetapkan lokasi pertemuan (meeting point) khusus sekiranya murid terpisah daripada kumpulan, serta memastikan bilangan murid disemak secara berkala (headcount) pada setiap peralihan aktiviti — contohnya sebelum dan selepas setiap acara sukan atau sebelum kumpulan berpindah ke kawasan lain.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Langkah Kawalan Murid</w:t>
            </w:r>
          </w:p>
        </w:tc>
        <w:tc>
          <w:tcPr>
            <w:tcW w:type="dxa" w:w="4656"/>
            <w:shd w:val="clear" w:color="auto" w:fill="DCE6F1"/>
          </w:tcPr>
          <w:p>
            <w:pPr>
              <w:spacing w:after="40"/>
            </w:pPr>
            <w:r>
              <w:rPr>
                <w:rFonts w:ascii="Arial" w:hAnsi="Arial"/>
                <w:b/>
                <w:color w:val="1F4E79"/>
                <w:sz w:val="20"/>
              </w:rPr>
              <w:t>Tujuan</w:t>
            </w:r>
          </w:p>
        </w:tc>
      </w:tr>
      <w:tr>
        <w:tc>
          <w:tcPr>
            <w:tcW w:type="dxa" w:w="4656"/>
          </w:tcPr>
          <w:p>
            <w:pPr>
              <w:spacing w:after="40"/>
            </w:pPr>
            <w:r>
              <w:rPr>
                <w:rFonts w:ascii="Arial" w:hAnsi="Arial"/>
                <w:sz w:val="20"/>
              </w:rPr>
              <w:t>Nisbah guru:murid yang mencukupi</w:t>
            </w:r>
          </w:p>
        </w:tc>
        <w:tc>
          <w:tcPr>
            <w:tcW w:type="dxa" w:w="4656"/>
          </w:tcPr>
          <w:p>
            <w:pPr>
              <w:spacing w:after="40"/>
            </w:pPr>
            <w:r>
              <w:rPr>
                <w:rFonts w:ascii="Arial" w:hAnsi="Arial"/>
                <w:sz w:val="20"/>
              </w:rPr>
              <w:t>Memastikan setiap murid sentiasa diselia</w:t>
            </w:r>
          </w:p>
        </w:tc>
      </w:tr>
      <w:tr>
        <w:tc>
          <w:tcPr>
            <w:tcW w:type="dxa" w:w="4656"/>
          </w:tcPr>
          <w:p>
            <w:pPr>
              <w:spacing w:after="40"/>
            </w:pPr>
            <w:r>
              <w:rPr>
                <w:rFonts w:ascii="Arial" w:hAnsi="Arial"/>
                <w:sz w:val="20"/>
              </w:rPr>
              <w:t>Kawasan larangan/berpagar</w:t>
            </w:r>
          </w:p>
        </w:tc>
        <w:tc>
          <w:tcPr>
            <w:tcW w:type="dxa" w:w="4656"/>
          </w:tcPr>
          <w:p>
            <w:pPr>
              <w:spacing w:after="40"/>
            </w:pPr>
            <w:r>
              <w:rPr>
                <w:rFonts w:ascii="Arial" w:hAnsi="Arial"/>
                <w:sz w:val="20"/>
              </w:rPr>
              <w:t>Mengelakkan murid keluar dari kawasan aktiviti</w:t>
            </w:r>
          </w:p>
        </w:tc>
      </w:tr>
      <w:tr>
        <w:tc>
          <w:tcPr>
            <w:tcW w:type="dxa" w:w="4656"/>
          </w:tcPr>
          <w:p>
            <w:pPr>
              <w:spacing w:after="40"/>
            </w:pPr>
            <w:r>
              <w:rPr>
                <w:rFonts w:ascii="Arial" w:hAnsi="Arial"/>
                <w:sz w:val="20"/>
              </w:rPr>
              <w:t>Tanda pengenalan murid</w:t>
            </w:r>
          </w:p>
        </w:tc>
        <w:tc>
          <w:tcPr>
            <w:tcW w:type="dxa" w:w="4656"/>
          </w:tcPr>
          <w:p>
            <w:pPr>
              <w:spacing w:after="40"/>
            </w:pPr>
            <w:r>
              <w:rPr>
                <w:rFonts w:ascii="Arial" w:hAnsi="Arial"/>
                <w:sz w:val="20"/>
              </w:rPr>
              <w:t>Memudahkan pengenalan jika murid terpisah dari kumpulan</w:t>
            </w:r>
          </w:p>
        </w:tc>
      </w:tr>
      <w:tr>
        <w:tc>
          <w:tcPr>
            <w:tcW w:type="dxa" w:w="4656"/>
          </w:tcPr>
          <w:p>
            <w:pPr>
              <w:spacing w:after="40"/>
            </w:pPr>
            <w:r>
              <w:rPr>
                <w:rFonts w:ascii="Arial" w:hAnsi="Arial"/>
                <w:sz w:val="20"/>
              </w:rPr>
              <w:t>Titik pertemuan (meeting point)</w:t>
            </w:r>
          </w:p>
        </w:tc>
        <w:tc>
          <w:tcPr>
            <w:tcW w:type="dxa" w:w="4656"/>
          </w:tcPr>
          <w:p>
            <w:pPr>
              <w:spacing w:after="40"/>
            </w:pPr>
            <w:r>
              <w:rPr>
                <w:rFonts w:ascii="Arial" w:hAnsi="Arial"/>
                <w:sz w:val="20"/>
              </w:rPr>
              <w:t>Tempat rujukan sekiranya berlaku kehilangan/kekeliruan</w:t>
            </w:r>
          </w:p>
        </w:tc>
      </w:tr>
    </w:tbl>
    <w:p>
      <w:pPr>
        <w:keepNext/>
        <w:spacing w:before="160" w:after="60"/>
      </w:pPr>
      <w:r>
        <w:rPr>
          <w:rFonts w:ascii="Arial" w:hAnsi="Arial"/>
          <w:b/>
          <w:color w:val="1F4E79"/>
          <w:sz w:val="24"/>
        </w:rPr>
        <w:t>4. Prosedur Menyelaraskan Sumber Langkah demi Langkah</w:t>
      </w:r>
    </w:p>
    <w:p>
      <w:r>
        <w:t>(i) Rujuk semula anggaran bajet dalam proposal yang diluluskan; (ii) senaraikan semua peralatan dan bahan yang diperlukan mengikut jenis aktiviti; (iii) tempah/beli bahan sekurang-kurangnya seminggu sebelum program; (iv) lantik guru pembantu mengikut bilangan yang mencukupi berdasarkan nisbah pengawasan; (v) sediakan bahan cetak (banner, risalah, senarai kehadiran) dan semak semula kuantiti mencukupi untuk bilangan peserta dijangka.</w:t>
      </w:r>
    </w:p>
    <w:p>
      <w:pPr>
        <w:keepNext/>
        <w:spacing w:before="160" w:after="60"/>
      </w:pPr>
      <w:r>
        <w:rPr>
          <w:rFonts w:ascii="Arial" w:hAnsi="Arial"/>
          <w:b/>
          <w:color w:val="1F4E79"/>
          <w:sz w:val="24"/>
        </w:rPr>
        <w:t>5. Templat Senarai Sumber (Resource List)</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Kategori</w:t>
            </w:r>
          </w:p>
        </w:tc>
        <w:tc>
          <w:tcPr>
            <w:tcW w:type="dxa" w:w="2328"/>
            <w:shd w:val="clear" w:color="auto" w:fill="DCE6F1"/>
          </w:tcPr>
          <w:p>
            <w:pPr>
              <w:spacing w:after="40"/>
            </w:pPr>
            <w:r>
              <w:rPr>
                <w:rFonts w:ascii="Arial" w:hAnsi="Arial"/>
                <w:b/>
                <w:color w:val="1F4E79"/>
                <w:sz w:val="20"/>
              </w:rPr>
              <w:t>Item</w:t>
            </w:r>
          </w:p>
        </w:tc>
        <w:tc>
          <w:tcPr>
            <w:tcW w:type="dxa" w:w="2328"/>
            <w:shd w:val="clear" w:color="auto" w:fill="DCE6F1"/>
          </w:tcPr>
          <w:p>
            <w:pPr>
              <w:spacing w:after="40"/>
            </w:pPr>
            <w:r>
              <w:rPr>
                <w:rFonts w:ascii="Arial" w:hAnsi="Arial"/>
                <w:b/>
                <w:color w:val="1F4E79"/>
                <w:sz w:val="20"/>
              </w:rPr>
              <w:t>Kuantiti</w:t>
            </w:r>
          </w:p>
        </w:tc>
        <w:tc>
          <w:tcPr>
            <w:tcW w:type="dxa" w:w="2328"/>
            <w:shd w:val="clear" w:color="auto" w:fill="DCE6F1"/>
          </w:tcPr>
          <w:p>
            <w:pPr>
              <w:spacing w:after="40"/>
            </w:pPr>
            <w:r>
              <w:rPr>
                <w:rFonts w:ascii="Arial" w:hAnsi="Arial"/>
                <w:b/>
                <w:color w:val="1F4E79"/>
                <w:sz w:val="20"/>
              </w:rPr>
              <w:t>Status</w:t>
            </w:r>
          </w:p>
        </w:tc>
      </w:tr>
      <w:tr>
        <w:tc>
          <w:tcPr>
            <w:tcW w:type="dxa" w:w="2328"/>
          </w:tcPr>
          <w:p>
            <w:pPr>
              <w:spacing w:after="40"/>
            </w:pPr>
            <w:r>
              <w:rPr>
                <w:rFonts w:ascii="Arial" w:hAnsi="Arial"/>
                <w:sz w:val="20"/>
              </w:rPr>
              <w:t>Peralatan</w:t>
            </w:r>
          </w:p>
        </w:tc>
        <w:tc>
          <w:tcPr>
            <w:tcW w:type="dxa" w:w="2328"/>
          </w:tcPr>
          <w:p>
            <w:pPr>
              <w:spacing w:after="40"/>
            </w:pPr>
            <w:r>
              <w:rPr>
                <w:rFonts w:ascii="Arial" w:hAnsi="Arial"/>
                <w:sz w:val="20"/>
              </w:rPr>
              <w:t>⟪contoh: bola, gelung, khemah⟫</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 Sedia</w:t>
            </w:r>
          </w:p>
        </w:tc>
      </w:tr>
      <w:tr>
        <w:tc>
          <w:tcPr>
            <w:tcW w:type="dxa" w:w="2328"/>
          </w:tcPr>
          <w:p>
            <w:pPr>
              <w:spacing w:after="40"/>
            </w:pPr>
            <w:r>
              <w:rPr>
                <w:rFonts w:ascii="Arial" w:hAnsi="Arial"/>
                <w:sz w:val="20"/>
              </w:rPr>
              <w:t>Bahan bercetak</w:t>
            </w:r>
          </w:p>
        </w:tc>
        <w:tc>
          <w:tcPr>
            <w:tcW w:type="dxa" w:w="2328"/>
          </w:tcPr>
          <w:p>
            <w:pPr>
              <w:spacing w:after="40"/>
            </w:pPr>
            <w:r>
              <w:rPr>
                <w:rFonts w:ascii="Arial" w:hAnsi="Arial"/>
                <w:sz w:val="20"/>
              </w:rPr>
              <w:t>Banner, risalah, senarai kehadiran</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 Sedia</w:t>
            </w:r>
          </w:p>
        </w:tc>
      </w:tr>
      <w:tr>
        <w:tc>
          <w:tcPr>
            <w:tcW w:type="dxa" w:w="2328"/>
          </w:tcPr>
          <w:p>
            <w:pPr>
              <w:spacing w:after="40"/>
            </w:pPr>
            <w:r>
              <w:rPr>
                <w:rFonts w:ascii="Arial" w:hAnsi="Arial"/>
                <w:sz w:val="20"/>
              </w:rPr>
              <w:t>Tenaga guru</w:t>
            </w:r>
          </w:p>
        </w:tc>
        <w:tc>
          <w:tcPr>
            <w:tcW w:type="dxa" w:w="2328"/>
          </w:tcPr>
          <w:p>
            <w:pPr>
              <w:spacing w:after="40"/>
            </w:pPr>
            <w:r>
              <w:rPr>
                <w:rFonts w:ascii="Arial" w:hAnsi="Arial"/>
                <w:sz w:val="20"/>
              </w:rPr>
              <w:t>Guru pembantu/sukarelawan</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 Dilantik</w:t>
            </w:r>
          </w:p>
        </w:tc>
      </w:tr>
      <w:tr>
        <w:tc>
          <w:tcPr>
            <w:tcW w:type="dxa" w:w="2328"/>
          </w:tcPr>
          <w:p>
            <w:pPr>
              <w:spacing w:after="40"/>
            </w:pPr>
            <w:r>
              <w:rPr>
                <w:rFonts w:ascii="Arial" w:hAnsi="Arial"/>
                <w:sz w:val="20"/>
              </w:rPr>
              <w:t>Kewangan</w:t>
            </w:r>
          </w:p>
        </w:tc>
        <w:tc>
          <w:tcPr>
            <w:tcW w:type="dxa" w:w="2328"/>
          </w:tcPr>
          <w:p>
            <w:pPr>
              <w:spacing w:after="40"/>
            </w:pPr>
            <w:r>
              <w:rPr>
                <w:rFonts w:ascii="Arial" w:hAnsi="Arial"/>
                <w:sz w:val="20"/>
              </w:rPr>
              <w:t>Bajet mengikut proposal</w:t>
            </w:r>
          </w:p>
        </w:tc>
        <w:tc>
          <w:tcPr>
            <w:tcW w:type="dxa" w:w="2328"/>
          </w:tcPr>
          <w:p>
            <w:pPr>
              <w:spacing w:after="40"/>
            </w:pPr>
            <w:r>
              <w:rPr>
                <w:rFonts w:ascii="Arial" w:hAnsi="Arial"/>
                <w:sz w:val="20"/>
              </w:rPr>
              <w:t>RM ⟪__⟫</w:t>
            </w:r>
          </w:p>
        </w:tc>
        <w:tc>
          <w:tcPr>
            <w:tcW w:type="dxa" w:w="2328"/>
          </w:tcPr>
          <w:p>
            <w:pPr>
              <w:spacing w:after="40"/>
            </w:pPr>
            <w:r>
              <w:rPr>
                <w:rFonts w:ascii="Arial" w:hAnsi="Arial"/>
                <w:sz w:val="20"/>
              </w:rPr>
              <w:t>□ Disahkan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Templat Senarai Semak Pelaksanaan Aktiviti</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Fasa</w:t>
            </w:r>
          </w:p>
        </w:tc>
        <w:tc>
          <w:tcPr>
            <w:tcW w:type="dxa" w:w="4656"/>
            <w:shd w:val="clear" w:color="auto" w:fill="DCE6F1"/>
          </w:tcPr>
          <w:p>
            <w:pPr>
              <w:spacing w:after="40"/>
            </w:pPr>
            <w:r>
              <w:rPr>
                <w:rFonts w:ascii="Arial" w:hAnsi="Arial"/>
                <w:b/>
                <w:color w:val="1F4E79"/>
                <w:sz w:val="20"/>
              </w:rPr>
              <w:t>Item Semakan</w:t>
            </w:r>
          </w:p>
        </w:tc>
      </w:tr>
      <w:tr>
        <w:tc>
          <w:tcPr>
            <w:tcW w:type="dxa" w:w="4656"/>
          </w:tcPr>
          <w:p>
            <w:pPr>
              <w:spacing w:after="40"/>
            </w:pPr>
            <w:r>
              <w:rPr>
                <w:rFonts w:ascii="Arial" w:hAnsi="Arial"/>
                <w:sz w:val="20"/>
              </w:rPr>
              <w:t>Persediaan tempat</w:t>
            </w:r>
          </w:p>
        </w:tc>
        <w:tc>
          <w:tcPr>
            <w:tcW w:type="dxa" w:w="4656"/>
          </w:tcPr>
          <w:p>
            <w:pPr>
              <w:spacing w:after="40"/>
            </w:pPr>
            <w:r>
              <w:rPr>
                <w:rFonts w:ascii="Arial" w:hAnsi="Arial"/>
                <w:sz w:val="20"/>
              </w:rPr>
              <w:t>Kawasan dibersihkan, susun atur selamat, laluan kecemasan jelas</w:t>
            </w:r>
          </w:p>
        </w:tc>
      </w:tr>
      <w:tr>
        <w:tc>
          <w:tcPr>
            <w:tcW w:type="dxa" w:w="4656"/>
          </w:tcPr>
          <w:p>
            <w:pPr>
              <w:spacing w:after="40"/>
            </w:pPr>
            <w:r>
              <w:rPr>
                <w:rFonts w:ascii="Arial" w:hAnsi="Arial"/>
                <w:sz w:val="20"/>
              </w:rPr>
              <w:t>Jemputan</w:t>
            </w:r>
          </w:p>
        </w:tc>
        <w:tc>
          <w:tcPr>
            <w:tcW w:type="dxa" w:w="4656"/>
          </w:tcPr>
          <w:p>
            <w:pPr>
              <w:spacing w:after="40"/>
            </w:pPr>
            <w:r>
              <w:rPr>
                <w:rFonts w:ascii="Arial" w:hAnsi="Arial"/>
                <w:sz w:val="20"/>
              </w:rPr>
              <w:t>Senarai jemputan lengkap, RSVP disemak</w:t>
            </w:r>
          </w:p>
        </w:tc>
      </w:tr>
      <w:tr>
        <w:tc>
          <w:tcPr>
            <w:tcW w:type="dxa" w:w="4656"/>
          </w:tcPr>
          <w:p>
            <w:pPr>
              <w:spacing w:after="40"/>
            </w:pPr>
            <w:r>
              <w:rPr>
                <w:rFonts w:ascii="Arial" w:hAnsi="Arial"/>
                <w:sz w:val="20"/>
              </w:rPr>
              <w:t>Aturcara</w:t>
            </w:r>
          </w:p>
        </w:tc>
        <w:tc>
          <w:tcPr>
            <w:tcW w:type="dxa" w:w="4656"/>
          </w:tcPr>
          <w:p>
            <w:pPr>
              <w:spacing w:after="40"/>
            </w:pPr>
            <w:r>
              <w:rPr>
                <w:rFonts w:ascii="Arial" w:hAnsi="Arial"/>
                <w:sz w:val="20"/>
              </w:rPr>
              <w:t>Jadual masa disahkan dengan semua guru bertugas</w:t>
            </w:r>
          </w:p>
        </w:tc>
      </w:tr>
      <w:tr>
        <w:tc>
          <w:tcPr>
            <w:tcW w:type="dxa" w:w="4656"/>
          </w:tcPr>
          <w:p>
            <w:pPr>
              <w:spacing w:after="40"/>
            </w:pPr>
            <w:r>
              <w:rPr>
                <w:rFonts w:ascii="Arial" w:hAnsi="Arial"/>
                <w:sz w:val="20"/>
              </w:rPr>
              <w:t>Hari program</w:t>
            </w:r>
          </w:p>
        </w:tc>
        <w:tc>
          <w:tcPr>
            <w:tcW w:type="dxa" w:w="4656"/>
          </w:tcPr>
          <w:p>
            <w:pPr>
              <w:spacing w:after="40"/>
            </w:pPr>
            <w:r>
              <w:rPr>
                <w:rFonts w:ascii="Arial" w:hAnsi="Arial"/>
                <w:sz w:val="20"/>
              </w:rPr>
              <w:t>Semua item senarai sumber disemak "Sedia"</w:t>
            </w:r>
          </w:p>
        </w:tc>
      </w:tr>
    </w:tbl>
    <w:p>
      <w:pPr>
        <w:keepNext/>
        <w:spacing w:before="160" w:after="60"/>
      </w:pPr>
      <w:r>
        <w:rPr>
          <w:rFonts w:ascii="Arial" w:hAnsi="Arial"/>
          <w:b/>
          <w:color w:val="1F4E79"/>
          <w:sz w:val="24"/>
        </w:rPr>
        <w:t>7. Prosedur Terperinci Kawalan Murid (Headcount dan Meeting Point)</w:t>
      </w:r>
    </w:p>
    <w:p>
      <w:r>
        <w:t>Guru perlu menjalankan headcount pada empat titik utama: (i) semasa ketibaan/pendaftaran; (ii) sebelum aktiviti utama bermula; (iii) semasa peralihan antara aktiviti (contoh: sebelum berpindah dari padang ke dewan); (iv) sebelum program berakhir/murid pulang. Setiap headcount direkodkan secara ringkas (contoh: dalam papan kecil/senarai kehadiran) oleh guru bertugas zon berkenaan, dan sebarang percanggahan bilangan perlu dilaporkan segera kepada Ketua Program.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Kekurangan Sumber Menjejaskan Program</w:t>
            </w:r>
          </w:p>
          <w:p>
            <w:pPr>
              <w:spacing w:after="40"/>
            </w:pPr>
            <w:r>
              <w:rPr>
                <w:rFonts w:ascii="Arial" w:hAnsi="Arial"/>
                <w:sz w:val="22"/>
              </w:rPr>
              <w:t>Semasa program gotong-royong tahunan, sebuah tadika tidak menyediakan senarai sumber lengkap terlebih dahulu, menyebabkan kekurangan sarung tangan dan beg sampah pada hari program — beberapa ibu bapa terpaksa menunggu tanpa dapat membantu. Selepas kejadian ini, tadika mula menggunakan templat senarai sumber (rujuk di atas) yang disemak dan disahkan "Sedia" tiga hari sebelum setiap program, dan masalah kekurangan bahan tidak lagi berulang pada program-program seterusnya.</w:t>
            </w:r>
          </w:p>
        </w:tc>
      </w:tr>
    </w:tbl>
    <w:p>
      <w:pPr>
        <w:keepNext/>
        <w:spacing w:before="160" w:after="60"/>
      </w:pPr>
      <w:r>
        <w:rPr>
          <w:rFonts w:ascii="Arial" w:hAnsi="Arial"/>
          <w:b/>
          <w:color w:val="1F4E79"/>
          <w:sz w:val="24"/>
        </w:rPr>
        <w:t>9. Kesilapan Lazim dan Cara Mengelak</w:t>
      </w:r>
    </w:p>
    <w:p>
      <w:r>
        <w:t>Kesilapan lazim ialah tidak menetapkan nisbah guru:murid yang jelas sebelum program bermula, menyebabkan sebahagian zon kurang penyeliaan semasa waktu puncak. Kesilapan lain ialah tidak menjalankan headcount secara konsisten pada setiap peralihan aktiviti. Cara mengelak: tetapkan nisbah minimum (contoh: 1 guru bagi setiap 10-15 murid untuk aktiviti luar) semasa peringkat perancangan, dan jadikan headcount sebagai tanggungjawab tetap setiap guru zon pada setiap peralihan.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 Sumber dan Kawalan Murid</w:t>
            </w:r>
          </w:p>
          <w:p>
            <w:pPr>
              <w:spacing w:after="40"/>
              <w:ind w:left="320" w:hanging="320"/>
            </w:pPr>
            <w:r>
              <w:rPr>
                <w:rFonts w:ascii="Arial" w:hAnsi="Arial"/>
                <w:color w:val="2E75B6"/>
                <w:sz w:val="22"/>
              </w:rPr>
              <w:t>●</w:t>
              <w:tab/>
            </w:r>
            <w:r>
              <w:rPr>
                <w:rFonts w:ascii="Arial" w:hAnsi="Arial"/>
                <w:sz w:val="22"/>
              </w:rPr>
              <w:t>[ ] Senarai sumber lengkap disahkan "Sedia" sekurang-kurangnya tiga hari sebelum program.</w:t>
            </w:r>
          </w:p>
          <w:p>
            <w:pPr>
              <w:spacing w:after="40"/>
              <w:ind w:left="320" w:hanging="320"/>
            </w:pPr>
            <w:r>
              <w:rPr>
                <w:rFonts w:ascii="Arial" w:hAnsi="Arial"/>
                <w:color w:val="2E75B6"/>
                <w:sz w:val="22"/>
              </w:rPr>
              <w:t>●</w:t>
              <w:tab/>
            </w:r>
            <w:r>
              <w:rPr>
                <w:rFonts w:ascii="Arial" w:hAnsi="Arial"/>
                <w:sz w:val="22"/>
              </w:rPr>
              <w:t>[ ] Nisbah guru:murid mencukupi ditetapkan mengikut jenis aktiviti.</w:t>
            </w:r>
          </w:p>
          <w:p>
            <w:pPr>
              <w:spacing w:after="40"/>
              <w:ind w:left="320" w:hanging="320"/>
            </w:pPr>
            <w:r>
              <w:rPr>
                <w:rFonts w:ascii="Arial" w:hAnsi="Arial"/>
                <w:color w:val="2E75B6"/>
                <w:sz w:val="22"/>
              </w:rPr>
              <w:t>●</w:t>
              <w:tab/>
            </w:r>
            <w:r>
              <w:rPr>
                <w:rFonts w:ascii="Arial" w:hAnsi="Arial"/>
                <w:sz w:val="22"/>
              </w:rPr>
              <w:t>[ ] Kawasan larangan/berpagar dan titik pertemuan ditetapkan dan dimaklumkan kepada semua guru.</w:t>
            </w:r>
          </w:p>
          <w:p>
            <w:pPr>
              <w:spacing w:after="40"/>
              <w:ind w:left="320" w:hanging="320"/>
            </w:pPr>
            <w:r>
              <w:rPr>
                <w:rFonts w:ascii="Arial" w:hAnsi="Arial"/>
                <w:color w:val="2E75B6"/>
                <w:sz w:val="22"/>
              </w:rPr>
              <w:t>●</w:t>
              <w:tab/>
            </w:r>
            <w:r>
              <w:rPr>
                <w:rFonts w:ascii="Arial" w:hAnsi="Arial"/>
                <w:sz w:val="22"/>
              </w:rPr>
              <w:t>[ ] Tanda pengenalan murid disediakan bagi program berskala besar.</w:t>
            </w:r>
          </w:p>
          <w:p>
            <w:pPr>
              <w:spacing w:after="40"/>
              <w:ind w:left="320" w:hanging="320"/>
            </w:pPr>
            <w:r>
              <w:rPr>
                <w:rFonts w:ascii="Arial" w:hAnsi="Arial"/>
                <w:color w:val="2E75B6"/>
                <w:sz w:val="22"/>
              </w:rPr>
              <w:t>●</w:t>
              <w:tab/>
            </w:r>
            <w:r>
              <w:rPr>
                <w:rFonts w:ascii="Arial" w:hAnsi="Arial"/>
                <w:sz w:val="22"/>
              </w:rPr>
              <w:t>[ ] Headcount dijalankan pada setiap peralihan aktiviti utama.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Sediakan senarai sumber lengkap (guna templat di atas) bagi program Hari Sukan yang melibatkan 60 murid dan 40 ibu bapa.</w:t>
            </w:r>
          </w:p>
          <w:p>
            <w:pPr>
              <w:spacing w:after="40"/>
              <w:ind w:left="320" w:hanging="320"/>
            </w:pPr>
            <w:r>
              <w:rPr>
                <w:rFonts w:ascii="Arial" w:hAnsi="Arial"/>
                <w:sz w:val="22"/>
              </w:rPr>
              <w:t>2.</w:t>
              <w:tab/>
            </w:r>
            <w:r>
              <w:rPr>
                <w:rFonts w:ascii="Arial" w:hAnsi="Arial"/>
                <w:sz w:val="22"/>
              </w:rPr>
              <w:t>Rancang titik-titik headcount (sekurang-kurangnya tiga) sepanjang jadual program Hari Sukan tersebut.</w:t>
            </w:r>
          </w:p>
        </w:tc>
      </w:tr>
    </w:tbl>
    <w:p>
      <w:pPr>
        <w:keepNext/>
        <w:spacing w:before="160" w:after="60"/>
      </w:pPr>
      <w:r>
        <w:rPr>
          <w:rFonts w:ascii="Arial" w:hAnsi="Arial"/>
          <w:b/>
          <w:color w:val="1F4E79"/>
          <w:sz w:val="24"/>
        </w:rPr>
        <w:t>12. Menyelaraskan Aktiviti Mengikut Garis Panduan yang Diluluskan</w:t>
      </w:r>
    </w:p>
    <w:p>
      <w:r>
        <w:t>Setiap aktiviti yang dilaksanakan mesti selaras dengan garis panduan yang telah diluluskan dalam proposal (rujuk C05-W01.md Bab 3) — guru tidak boleh menukar skop, tarikh, atau bajet aktiviti secara sewenang-wenangnya tanpa kelulusan semula daripada pengetua/pengusaha. Sekiranya berlaku keperluan mengubah suai aktiviti akibat faktor luar jangka (contoh: cuaca buruk memerlukan pertukaran ke aktiviti dalaman), guru perlu memaklumkan perubahan tersebut kepada pengetua secepat mungkin dan merekodkan sebab perubahan sebagai sebahagian daripada dokumentasi program, supaya penyelarasan aktiviti kekal telus dan boleh dipertanggungjawabkan.</w:t>
      </w:r>
    </w:p>
    <w:p>
      <w:pPr>
        <w:keepNext/>
        <w:spacing w:before="160" w:after="60"/>
      </w:pPr>
      <w:r>
        <w:rPr>
          <w:rFonts w:ascii="Arial" w:hAnsi="Arial"/>
          <w:b/>
          <w:color w:val="1F4E79"/>
          <w:sz w:val="24"/>
        </w:rPr>
        <w:t>13. Peranan Guru Pembantu/Sukarelawan dalam Penyelarasan Aktiviti</w:t>
      </w:r>
    </w:p>
    <w:p>
      <w:r>
        <w:t>Guru pembantu dan sukarelawan (termasuk ibu bapa yang menjadi sukarelawan) perlu diberi taklimat ringkas sebelum program tentang tugasan khusus masing-masing, lokasi bertugas, dan protokol asas keselamatan murid. Taklimat ini boleh dijalankan 15-30 minit sebelum program bermula, merangkumi penjelasan tentang senarai sumber, titik pertemuan, dan cara melaporkan sebarang isu kepada Ketua Program. Sukarelawan yang tidak diberi taklimat jelas berisiko tidak memahami had tanggungjawab mereka, terutamanya berkaitan pengawasan murid yang bukan tanggungjawab langsung mereka sebagai ibu bapa program itu sahaja.</w:t>
      </w:r>
    </w:p>
    <w:p>
      <w:pPr>
        <w:keepNext/>
        <w:spacing w:before="160" w:after="60"/>
      </w:pPr>
      <w:r>
        <w:rPr>
          <w:rFonts w:ascii="Arial" w:hAnsi="Arial"/>
          <w:b/>
          <w:color w:val="1F4E79"/>
          <w:sz w:val="24"/>
        </w:rPr>
        <w:t>15. Prosedur Serah-Terima Murid Semasa Aktiviti Melibatkan Ibu Bapa</w:t>
      </w:r>
    </w:p>
    <w:p>
      <w:r>
        <w:t>Bagi aktiviti yang melibatkan ibu bapa menemani murid (contoh: Hari Sukan, lawatan sambil belajar), guru perlu menjelaskan dengan tegas titik masa serah-terima tanggungjawab pengawasan murid — sebelum ibu bapa hadir, murid berada di bawah pengawasan penuh guru tadika; sebaik ibu bapa hadir dan mendaftar, sebahagian tanggungjawab pengawasan beralih kepada ibu bapa masing-masing, walaupun guru tetap mengekalkan pengawasan keseluruhan kawasan program. Kejelasan ini penting untuk mengelakkan kekeliruan "siapa bertanggungjawab" sekiranya berlaku insiden semasa program berlangsung.</w:t>
      </w:r>
    </w:p>
    <w:p>
      <w:pPr>
        <w:keepNext/>
        <w:spacing w:before="160" w:after="60"/>
      </w:pPr>
      <w:r>
        <w:rPr>
          <w:rFonts w:ascii="Arial" w:hAnsi="Arial"/>
          <w:b/>
          <w:color w:val="1F4E79"/>
          <w:sz w:val="24"/>
        </w:rPr>
        <w:t>16. Perbezaan Penyelarasan bagi Aktiviti Dalaman dan Luar</w:t>
      </w:r>
    </w:p>
    <w:p>
      <w:r>
        <w:t>Aktiviti dalaman (contoh: sesi membaca di dewan tadika) memerlukan penyelarasan yang lebih ringkas kerana kawasan terkawal dan risiko lebih rendah, manakala aktiviti luar (contoh: gotong-royong di kawasan terbuka, lawatan ke taman) memerlukan penyelarasan tambahan seperti pengangkutan, kebenaran menggunakan kawasan awam, dan pelan alternatif sekiranya cuaca tidak mengizinkan. Guru perlu menyesuaikan tahap terperinci senarai semak dan sumber mengikut jenis aktiviti — aktiviti luar sentiasa memerlukan lapisan perancangan tambahan berbanding aktiviti dalaman yang setara skopnya.</w:t>
      </w:r>
    </w:p>
    <w:p>
      <w:pPr>
        <w:keepNext/>
        <w:spacing w:before="160" w:after="60"/>
      </w:pPr>
      <w:r>
        <w:rPr>
          <w:rFonts w:ascii="Arial" w:hAnsi="Arial"/>
          <w:b/>
          <w:color w:val="1F4E79"/>
          <w:sz w:val="24"/>
        </w:rPr>
        <w:t>18. Penyelarasan dengan Agensi Luar Semasa Pelaksanaan</w:t>
      </w:r>
    </w:p>
    <w:p>
      <w:r>
        <w:t>Sekiranya program melibatkan kerjasama agensi luar (contoh: ceramah kesihatan bersama Jabatan Kesihatan, aktiviti bersama KEMAS), guru perlu menyelaraskan bukan sahaja logistik dalaman tadika, tetapi juga keperluan pihak agensi tersebut — contohnya ruang untuk peralatan mereka, masa persediaan yang mencukupi sebelum sesi mereka bermula, dan protokol penyambutan yang sesuai dengan status rasmi wakil agensi tersebut. Guru digalakkan menghubungi wakil agensi sekurang-kurangnya seminggu sebelum program untuk mengesahkan semula keperluan teknikal (contoh: bekalan elektrik untuk projektor, ruang meja pameran).</w:t>
      </w:r>
    </w:p>
    <w:p>
      <w:pPr>
        <w:keepNext/>
        <w:spacing w:before="160" w:after="60"/>
      </w:pPr>
      <w:r>
        <w:rPr>
          <w:rFonts w:ascii="Arial" w:hAnsi="Arial"/>
          <w:b/>
          <w:color w:val="1F4E79"/>
          <w:sz w:val="24"/>
        </w:rPr>
        <w:t>19. Menyediakan Pelan Alternatif (Backup Plan) untuk Aktiviti Luar</w:t>
      </w:r>
    </w:p>
    <w:p>
      <w:r>
        <w:t>Setiap aktiviti luar yang dirancang perlu disertakan pelan alternatif dalaman (*indoor backup plan*) yang disediakan semasa peringkat penyelarasan, bukan direka secara tergesa-gesa pada hari program sekiranya cuaca tidak mengizinkan. Pelan alternatif perlu merangkumi lokasi dalaman yang sesuai, penyesuaian aktiviti (contoh: menggantikan permainan luar dengan permainan dalaman yang setara objektifnya), dan cara memaklumkan perubahan pantas kepada ibu bapa yang mungkin sudah dalam perjalanan ke tadika, seperti melalui mesej WhatsApp kumpulan pada awal pagi hari program.</w:t>
      </w:r>
    </w:p>
    <w:p>
      <w:pPr>
        <w:keepNext/>
        <w:spacing w:before="160" w:after="60"/>
      </w:pPr>
      <w:r>
        <w:rPr>
          <w:rFonts w:ascii="Arial" w:hAnsi="Arial"/>
          <w:b/>
          <w:color w:val="1F4E79"/>
          <w:sz w:val="24"/>
        </w:rPr>
        <w:t>21. Peranan Penyelarasan Aktiviti dalam Mengurangkan Risiko Kecederaan</w:t>
      </w:r>
    </w:p>
    <w:p>
      <w:r>
        <w:t>Penyelarasan yang teliti — merangkumi sumber, senarai semak, kawalan murid, dan pelan alternatif — secara langsung mengurangkan kebarangkalian berlakunya kecederaan atau insiden semasa program, kerana setiap aspek logistik dan keselamatan telah dirancang lebih awal berbanding dibuat secara ad-hoc semasa program berlangsung. Bab ini saling melengkapi dengan Bab 4 dalam C05-W01.md (Risk Assessment) — penyelarasan aktiviti yang baik ialah pelaksanaan praktikal daripada risk assessment matrix yang telah disediakan pada peringkat perancangan.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22. Kajian Kes Tambahan: Kehilangan Murid Sementara Semasa Hari Sukan</w:t>
            </w:r>
          </w:p>
          <w:p>
            <w:pPr>
              <w:spacing w:after="40"/>
            </w:pPr>
            <w:r>
              <w:rPr>
                <w:rFonts w:ascii="Arial" w:hAnsi="Arial"/>
                <w:sz w:val="22"/>
              </w:rPr>
              <w:t>Semasa Hari Sukan sebuah tadika yang dihadiri hampir 100 murid dan ibu bapa, seorang murid didapati hilang daripada pandangan guru selama beberapa minit ketika beralih dari padang ke dewan untuk sesi jamuan. Kerana tadika telah menetapkan titik pertemuan (meeting point) yang jelas dan tanda pengenalan murid dipakai sepanjang program, murid tersebut dikesan dalam masa kurang lima minit oleh guru bertugas di titik pertemuan yang ditetapkan. Kejadian ini menunjukkan kepentingan langkah kawalan murid yang disediakan lebih awal (Bab 3) — tanpa titik pertemuan dan tanda pengenalan yang jelas, insiden ini berpotensi mengambil masa lebih lama untuk diselesaikan dan menimbulkan kepanikan lebih besar dalam kalangan ibu bapa.</w:t>
            </w:r>
          </w:p>
        </w:tc>
      </w:tr>
    </w:tbl>
    <w:p>
      <w:pPr>
        <w:keepNext/>
        <w:spacing w:before="160" w:after="60"/>
      </w:pPr>
      <w:r>
        <w:rPr>
          <w:rFonts w:ascii="Arial" w:hAnsi="Arial"/>
          <w:b/>
          <w:color w:val="1F4E79"/>
          <w:sz w:val="24"/>
        </w:rPr>
        <w:t>23. Penyelarasan Semasa Program Melibatkan Lebih Daripada Satu Kumpulan Umur</w:t>
      </w:r>
    </w:p>
    <w:p>
      <w:r>
        <w:t>Sesetengah program ibu bapa-komuniti mungkin melibatkan adik-beradik murid dari pelbagai peringkat umur (contoh: abang/kakak di sekolah rendah turut hadir bersama ibu bapa). Guru perlu menyelaraskan aktiviti supaya sesuai untuk pelbagai peringkat umur, atau menyediakan zon berasingan — contohnya zon permainan ringan untuk murid prasekolah dan zon berbeza untuk adik-beradik lebih besar — bagi mengelakkan sebarang risiko akibat aktiviti yang tidak sesuai dengan tahap perkembangan fizikal kanak-kanak yang lebih muda.</w:t>
      </w:r>
    </w:p>
    <w:p>
      <w:pPr>
        <w:keepNext/>
        <w:spacing w:before="160" w:after="60"/>
      </w:pPr>
      <w:r>
        <w:rPr>
          <w:rFonts w:ascii="Arial" w:hAnsi="Arial"/>
          <w:b/>
          <w:color w:val="1F4E79"/>
          <w:sz w:val="24"/>
        </w:rPr>
        <w:t>24. Semakan Akhir Penyelarasan Sejurus Sebelum Program Bermula</w:t>
      </w:r>
    </w:p>
    <w:p>
      <w:r>
        <w:t>Sebagai langkah akhir, Ketua Program perlu menjalankan satu pusingan semakan pantas (*final walk-through*) di seluruh kawasan program kira-kira 30 minit sebelum ketibaan peserta pertama — menyemak kawasan larangan telah ditanda, peti pertolongan cemas berada di lokasi yang betul, semua guru sudah berada di zon masing-masing, dan senarai sumber telah lengkap disediakan mengikut senarai semak. Amalan *final walk-through* ini menangkap sebarang kekurangan kecil yang mungkin terlepas pandang semasa persediaan awal, sebelum ia menjadi isu yang menjejaskan pelaksanaan program.</w:t>
      </w:r>
    </w:p>
    <w:p>
      <w:pPr>
        <w:keepNext/>
        <w:spacing w:before="160" w:after="60"/>
      </w:pPr>
      <w:r>
        <w:rPr>
          <w:rFonts w:ascii="Arial" w:hAnsi="Arial"/>
          <w:b/>
          <w:color w:val="1F4E79"/>
          <w:sz w:val="24"/>
        </w:rPr>
        <w:t>26. Penyelarasan Susulan Selepas Program Berlangsung</w:t>
      </w:r>
    </w:p>
    <w:p>
      <w:r>
        <w:t>Penyelarasan aktiviti tidak berakhir sebaik program tamat — guru perlu menyelaraskan pemulangan peralatan pinjaman (jika ada), penyelesaian pembayaran kepada vendor, dan pengembalian kawasan/dewan kepada keadaan asal sebelum digunakan untuk aktiviti akademik biasa keesokan harinya. Kegagalan menyelaraskan aspek susulan ini boleh menjejaskan operasi harian tadika dan hubungan dengan vendor/pembekal yang mungkin diperlukan semula untuk program akan datang.</w:t>
      </w:r>
    </w:p>
    <w:p>
      <w:pPr>
        <w:keepNext/>
        <w:spacing w:before="160" w:after="60"/>
      </w:pPr>
      <w:r>
        <w:rPr>
          <w:rFonts w:ascii="Arial" w:hAnsi="Arial"/>
          <w:b/>
          <w:color w:val="1F4E79"/>
          <w:sz w:val="24"/>
        </w:rPr>
        <w:t>28. Menyelaraskan Jangkaan (Expectation Setting) dengan Ibu Bapa Sukarelawan</w:t>
      </w:r>
    </w:p>
    <w:p>
      <w:r>
        <w:t>Sebelum program bermula, guru perlu menetapkan jangkaan yang jelas dengan ibu bapa yang menawarkan diri sebagai sukarelawan — apa yang diharapkan daripada mereka, waktu ketibaan, tempoh masa komitmen, dan had tanggungjawab (contoh: mereka membantu logistik tetapi bukan pengawasan keselamatan murid lain, yang kekal menjadi tanggungjawab guru). Jangkaan yang jelas mengelakkan salah faham semasa program berlangsung dan memastikan sukarelawan berasa dihargai atas sumbangan mereka dalam skop yang telah dipersetujui bersama.</w:t>
      </w:r>
    </w:p>
    <w:p>
      <w:pPr>
        <w:keepNext/>
        <w:spacing w:before="160" w:after="60"/>
      </w:pPr>
      <w:r>
        <w:rPr>
          <w:rFonts w:ascii="Arial" w:hAnsi="Arial"/>
          <w:b/>
          <w:color w:val="1F4E79"/>
          <w:sz w:val="24"/>
        </w:rPr>
        <w:t>30. Kesimpulan: Penyelarasan sebagai Pelaksanaan Praktikal Bab 1 dan 2</w:t>
      </w:r>
    </w:p>
    <w:p>
      <w:r>
        <w:t>Penyelarasan aktiviti yang dibincangkan dalam Bab ini pada dasarnya merupakan pelaksanaan praktikal bagi pemahaman locality (Bab 1) dan strategi komunikasi (Bab 2) yang telah dipelajari sebelum ini — sumber yang diselaraskan perlu sepadan dengan profil komuniti sebenar, manakala senarai semak dan langkah kawalan keselamatan perlu disampaikan melalui saluran komunikasi yang sesuai kepada semua pihak berkepentingan. Guru yang menguasai ketiga-tiga Bab secara bersepadu mampu menjalin hubungan yang benar-benar berkesan dengan keluarga dan komuniti, selaras dengan tajuk keseluruhan Nota Pembelajaran ini.</w:t>
      </w:r>
    </w:p>
    <w:p>
      <w:pPr>
        <w:keepNext/>
        <w:spacing w:before="160" w:after="60"/>
      </w:pPr>
      <w:r>
        <w:rPr>
          <w:rFonts w:ascii="Arial" w:hAnsi="Arial"/>
          <w:b/>
          <w:color w:val="1F4E79"/>
          <w:sz w:val="24"/>
        </w:rPr>
        <w:t>32. Ringkasan Amalan Terbaik Bab 3</w:t>
      </w:r>
    </w:p>
    <w:p>
      <w:r>
        <w:t>Tiga amalan terbaik penyelarasan aktiviti yang perlu diamalkan ialah: (i) sentiasa menyediakan senarai sumber dan senarai semak lengkap sekurang-kurangnya tiga hari sebelum program, disahkan berstatus "Sedia"; (ii) menetapkan nisbah pengawasan murid yang mencukupi serta titik pertemuan dan tanda pengenalan murid bagi setiap program berskala besar; dan (iii) menjalankan semakan akhir (*final walk-through*) sejurus sebelum program bermula bagi menangkap sebarang kekurangan kecil yang mungkin terlepas pandang semasa persediaan awal.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34. Aktiviti Pengukuhan Tambahan</w:t>
            </w:r>
          </w:p>
          <w:p>
            <w:pPr>
              <w:spacing w:after="40"/>
              <w:ind w:left="320" w:hanging="320"/>
            </w:pPr>
            <w:r>
              <w:rPr>
                <w:rFonts w:ascii="Arial" w:hAnsi="Arial"/>
                <w:sz w:val="22"/>
              </w:rPr>
              <w:t>1.</w:t>
              <w:tab/>
            </w:r>
            <w:r>
              <w:rPr>
                <w:rFonts w:ascii="Arial" w:hAnsi="Arial"/>
                <w:sz w:val="22"/>
              </w:rPr>
              <w:t>Rancang senario *final walk-through* ringkas (senarai lima item yang perlu disemak) sejurus sebelum program "Hari Sukan Prasekolah" bermula, berdasarkan templat senarai semak pelaksanaan aktiviti di atas.</w:t>
            </w:r>
          </w:p>
        </w:tc>
      </w:tr>
    </w:tbl>
    <w:p>
      <w:pPr>
        <w:keepNext/>
        <w:spacing w:before="160" w:after="60"/>
      </w:pPr>
      <w:r>
        <w:rPr>
          <w:rFonts w:ascii="Arial" w:hAnsi="Arial"/>
          <w:b/>
          <w:color w:val="1F4E79"/>
          <w:sz w:val="24"/>
        </w:rPr>
        <w:t>36. Nota Tambahan: Penyelarasan sebagai Jambatan kepada Pelaporan</w:t>
      </w:r>
    </w:p>
    <w:p>
      <w:r>
        <w:t>Sebagai penghubung terakhir Bab ini, dokumentasi penyelarasan yang lengkap dan kemas — senarai sumber, senarai semak, rekod headcount, dan sebarang catatan isu semasa pelaksanaan — menjadi bahan sokongan utama yang memudahkan guru menyediakan laporan ringkasan aktiviti selepas program tamat (rujuk C05-W03.md Bab 2). Guru yang mengamalkan dokumentasi penyelarasan yang teliti akan mendapati proses pelaporan jauh lebih pantas dan tepat, kerana kebanyakan maklumat yang diperlukan sudah tersedia daripada rekod semasa persediaan dan pelaksanaan program.</w:t>
      </w:r>
    </w:p>
    <w:p>
      <w:pPr>
        <w:keepNext/>
        <w:spacing w:before="160" w:after="60"/>
      </w:pPr>
      <w:r>
        <w:rPr>
          <w:rFonts w:ascii="Arial" w:hAnsi="Arial"/>
          <w:b/>
          <w:color w:val="1F4E79"/>
          <w:sz w:val="24"/>
        </w:rPr>
        <w:t>38. Penutup Bab 3 dan Keseluruhan Nota</w:t>
      </w:r>
    </w:p>
    <w:p>
      <w:r>
        <w:t>Bab 3 menandakan pelaksanaan praktikal bagi pemahaman dan kemahiran yang dibina sepanjang Bab 1 dan 2 — proses menjalin hubungan berkesan dengan keluarga dan komuniti bukan sekadar bermula dan berakhir pada hari program, tetapi merupakan kitaran berterusan bermula daripada memahami komuniti, berkomunikasi dengan berkesan, menyelaraskan pelaksanaan, dan akhirnya menilai serta melapor hasilnya (rujuk C05-W03.md) sebelum kitaran ini bermula semula untuk program akan datang dengan tahap kematangan yang lebih tinggi.</w:t>
      </w:r>
    </w:p>
    <w:p>
      <w:pPr>
        <w:keepNext/>
        <w:spacing w:before="160" w:after="60"/>
      </w:pPr>
      <w:r>
        <w:rPr>
          <w:rFonts w:ascii="Arial" w:hAnsi="Arial"/>
          <w:b/>
          <w:color w:val="1F4E79"/>
          <w:sz w:val="24"/>
        </w:rPr>
        <w:t>40. Nota Akhir untuk Bakat</w:t>
      </w:r>
    </w:p>
    <w:p>
      <w:r>
        <w:t>Sebelum meneruskan ke Bab seterusnya, semak semula: bolehkah Bakat menyenaraikan sekurang-kurangnya empat item senarai sumber dan tiga titik headcount yang sesuai bagi program berskala sederhana di tadika sendiri? Penguasaan kemahiran praktikal ini menandakan kesediaan Bakat untuk meneruskan kepada Work Activity seterusnya iaitu menyediakan laporan aktiviti ibu bapa-komuniti (rujuk C05-W03.md).</w:t>
      </w:r>
    </w:p>
    <w:p>
      <w:pPr>
        <w:keepNext/>
        <w:spacing w:before="160" w:after="60"/>
      </w:pPr>
      <w:r>
        <w:rPr>
          <w:rFonts w:ascii="Arial" w:hAnsi="Arial"/>
          <w:b/>
          <w:color w:val="1F4E79"/>
          <w:sz w:val="24"/>
        </w:rPr>
        <w:t>42. Penutup Keseluruhan Nota Pembelajaran W02</w:t>
      </w:r>
    </w:p>
    <w:p>
      <w:r>
        <w:t>Ketiga-tiga Bab dalam nota ini — locality, komunikasi, dan penyelarasan — membentuk satu siri kemahiran progresif yang membolehkan Bakat menjalin hubungan sebenar dengan keluarga dan komuniti, bukan sekadar menjalankan program mengikut senarai tugasan semata-mata. Penguasaan menyeluruh terhadap ketiga-tiga Bab ini merupakan bukti kompetensi bagi Work Activity "Engage relationship with family and community" di bawah Competency Unit "Handle Parental-Community Activities".</w:t>
      </w:r>
    </w:p>
    <w:p>
      <w:pPr>
        <w:keepNext/>
        <w:spacing w:before="160" w:after="60"/>
      </w:pPr>
      <w:r>
        <w:rPr>
          <w:rFonts w:ascii="Arial" w:hAnsi="Arial"/>
          <w:b/>
          <w:color w:val="1F4E79"/>
          <w:sz w:val="24"/>
        </w:rPr>
        <w:t>44. Rujukan Silang Akhir</w:t>
      </w:r>
    </w:p>
    <w:p>
      <w:r>
        <w:t>Bakat digalakkan meneruskan pembelajaran ke C05-W03.md selepas menguasai Bab ini, kerana rekod penyelarasan (senarai sumber, senarai semak, headcount, isu semasa pelaksanaan) yang dijaga dengan kemas dalam Bab 3 ini menjadi bahan mentah utama bagi Bab 2 nota seterusnya — "Summary report (reporting format)" — yang mengajar Bakat menukar rekod pelaksanaan ini kepada laporan rasmi yang boleh dibentangkan kepada pengetua/pengusaha tadika.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45. Rumusan</w:t>
            </w:r>
          </w:p>
          <w:p>
            <w:pPr>
              <w:spacing w:after="40"/>
            </w:pPr>
            <w:r>
              <w:rPr>
                <w:rFonts w:ascii="Arial" w:hAnsi="Arial"/>
                <w:sz w:val="22"/>
              </w:rPr>
              <w:t>Penyelarasan aktiviti yang baik — merangkumi sumber, senarai semak dan langkah kawalan keselamatan murid — memastikan program ibu bapa-komuniti berjalan teratur, selamat dan mencapai objektif yang ditetapkan.</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Locality</w:t>
            </w:r>
          </w:p>
        </w:tc>
        <w:tc>
          <w:tcPr>
            <w:tcW w:type="dxa" w:w="4656"/>
          </w:tcPr>
          <w:p>
            <w:pPr>
              <w:spacing w:after="40"/>
            </w:pPr>
            <w:r>
              <w:rPr>
                <w:rFonts w:ascii="Arial" w:hAnsi="Arial"/>
                <w:sz w:val="20"/>
              </w:rPr>
              <w:t>Kawasan sekitar / lokaliti</w:t>
            </w:r>
          </w:p>
        </w:tc>
      </w:tr>
      <w:tr>
        <w:tc>
          <w:tcPr>
            <w:tcW w:type="dxa" w:w="4656"/>
          </w:tcPr>
          <w:p>
            <w:pPr>
              <w:spacing w:after="40"/>
            </w:pPr>
            <w:r>
              <w:rPr>
                <w:rFonts w:ascii="Arial" w:hAnsi="Arial"/>
                <w:sz w:val="20"/>
              </w:rPr>
              <w:t>Background Community</w:t>
            </w:r>
          </w:p>
        </w:tc>
        <w:tc>
          <w:tcPr>
            <w:tcW w:type="dxa" w:w="4656"/>
          </w:tcPr>
          <w:p>
            <w:pPr>
              <w:spacing w:after="40"/>
            </w:pPr>
            <w:r>
              <w:rPr>
                <w:rFonts w:ascii="Arial" w:hAnsi="Arial"/>
                <w:sz w:val="20"/>
              </w:rPr>
              <w:t>Latar belakang komuniti</w:t>
            </w:r>
          </w:p>
        </w:tc>
      </w:tr>
      <w:tr>
        <w:tc>
          <w:tcPr>
            <w:tcW w:type="dxa" w:w="4656"/>
          </w:tcPr>
          <w:p>
            <w:pPr>
              <w:spacing w:after="40"/>
            </w:pPr>
            <w:r>
              <w:rPr>
                <w:rFonts w:ascii="Arial" w:hAnsi="Arial"/>
                <w:sz w:val="20"/>
              </w:rPr>
              <w:t>Participant Profile</w:t>
            </w:r>
          </w:p>
        </w:tc>
        <w:tc>
          <w:tcPr>
            <w:tcW w:type="dxa" w:w="4656"/>
          </w:tcPr>
          <w:p>
            <w:pPr>
              <w:spacing w:after="40"/>
            </w:pPr>
            <w:r>
              <w:rPr>
                <w:rFonts w:ascii="Arial" w:hAnsi="Arial"/>
                <w:sz w:val="20"/>
              </w:rPr>
              <w:t>Profil peserta</w:t>
            </w:r>
          </w:p>
        </w:tc>
      </w:tr>
      <w:tr>
        <w:tc>
          <w:tcPr>
            <w:tcW w:type="dxa" w:w="4656"/>
          </w:tcPr>
          <w:p>
            <w:pPr>
              <w:spacing w:after="40"/>
            </w:pPr>
            <w:r>
              <w:rPr>
                <w:rFonts w:ascii="Arial" w:hAnsi="Arial"/>
                <w:sz w:val="20"/>
              </w:rPr>
              <w:t>Stakeholder</w:t>
            </w:r>
          </w:p>
        </w:tc>
        <w:tc>
          <w:tcPr>
            <w:tcW w:type="dxa" w:w="4656"/>
          </w:tcPr>
          <w:p>
            <w:pPr>
              <w:spacing w:after="40"/>
            </w:pPr>
            <w:r>
              <w:rPr>
                <w:rFonts w:ascii="Arial" w:hAnsi="Arial"/>
                <w:sz w:val="20"/>
              </w:rPr>
              <w:t>Pihak berkepentingan</w:t>
            </w:r>
          </w:p>
        </w:tc>
      </w:tr>
      <w:tr>
        <w:tc>
          <w:tcPr>
            <w:tcW w:type="dxa" w:w="4656"/>
          </w:tcPr>
          <w:p>
            <w:pPr>
              <w:spacing w:after="40"/>
            </w:pPr>
            <w:r>
              <w:rPr>
                <w:rFonts w:ascii="Arial" w:hAnsi="Arial"/>
                <w:sz w:val="20"/>
              </w:rPr>
              <w:t>Formal Communication</w:t>
            </w:r>
          </w:p>
        </w:tc>
        <w:tc>
          <w:tcPr>
            <w:tcW w:type="dxa" w:w="4656"/>
          </w:tcPr>
          <w:p>
            <w:pPr>
              <w:spacing w:after="40"/>
            </w:pPr>
            <w:r>
              <w:rPr>
                <w:rFonts w:ascii="Arial" w:hAnsi="Arial"/>
                <w:sz w:val="20"/>
              </w:rPr>
              <w:t>Komunikasi formal</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w:t>
            </w:r>
          </w:p>
        </w:tc>
      </w:tr>
      <w:tr>
        <w:tc>
          <w:tcPr>
            <w:tcW w:type="dxa" w:w="4656"/>
          </w:tcPr>
          <w:p>
            <w:pPr>
              <w:spacing w:after="40"/>
            </w:pPr>
            <w:r>
              <w:rPr>
                <w:rFonts w:ascii="Arial" w:hAnsi="Arial"/>
                <w:sz w:val="20"/>
              </w:rPr>
              <w:t>Personal Data Protection</w:t>
            </w:r>
          </w:p>
        </w:tc>
        <w:tc>
          <w:tcPr>
            <w:tcW w:type="dxa" w:w="4656"/>
          </w:tcPr>
          <w:p>
            <w:pPr>
              <w:spacing w:after="40"/>
            </w:pPr>
            <w:r>
              <w:rPr>
                <w:rFonts w:ascii="Arial" w:hAnsi="Arial"/>
                <w:sz w:val="20"/>
              </w:rPr>
              <w:t>Perlindungan data peribadi</w:t>
            </w:r>
          </w:p>
        </w:tc>
      </w:tr>
      <w:tr>
        <w:tc>
          <w:tcPr>
            <w:tcW w:type="dxa" w:w="4656"/>
          </w:tcPr>
          <w:p>
            <w:pPr>
              <w:spacing w:after="40"/>
            </w:pPr>
            <w:r>
              <w:rPr>
                <w:rFonts w:ascii="Arial" w:hAnsi="Arial"/>
                <w:sz w:val="20"/>
              </w:rPr>
              <w:t>VIP / Government Officer</w:t>
            </w:r>
          </w:p>
        </w:tc>
        <w:tc>
          <w:tcPr>
            <w:tcW w:type="dxa" w:w="4656"/>
          </w:tcPr>
          <w:p>
            <w:pPr>
              <w:spacing w:after="40"/>
            </w:pPr>
            <w:r>
              <w:rPr>
                <w:rFonts w:ascii="Arial" w:hAnsi="Arial"/>
                <w:sz w:val="20"/>
              </w:rPr>
              <w:t>Tetamu khas / pegawai kerajaan</w:t>
            </w:r>
          </w:p>
        </w:tc>
      </w:tr>
      <w:tr>
        <w:tc>
          <w:tcPr>
            <w:tcW w:type="dxa" w:w="4656"/>
          </w:tcPr>
          <w:p>
            <w:pPr>
              <w:spacing w:after="40"/>
            </w:pPr>
            <w:r>
              <w:rPr>
                <w:rFonts w:ascii="Arial" w:hAnsi="Arial"/>
                <w:sz w:val="20"/>
              </w:rPr>
              <w:t>Resources</w:t>
            </w:r>
          </w:p>
        </w:tc>
        <w:tc>
          <w:tcPr>
            <w:tcW w:type="dxa" w:w="4656"/>
          </w:tcPr>
          <w:p>
            <w:pPr>
              <w:spacing w:after="40"/>
            </w:pPr>
            <w:r>
              <w:rPr>
                <w:rFonts w:ascii="Arial" w:hAnsi="Arial"/>
                <w:sz w:val="20"/>
              </w:rPr>
              <w:t>Sumber</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Senarai semak</w:t>
            </w:r>
          </w:p>
        </w:tc>
      </w:tr>
      <w:tr>
        <w:tc>
          <w:tcPr>
            <w:tcW w:type="dxa" w:w="4656"/>
          </w:tcPr>
          <w:p>
            <w:pPr>
              <w:spacing w:after="40"/>
            </w:pPr>
            <w:r>
              <w:rPr>
                <w:rFonts w:ascii="Arial" w:hAnsi="Arial"/>
                <w:sz w:val="20"/>
              </w:rPr>
              <w:t>Safety Precaution</w:t>
            </w:r>
          </w:p>
        </w:tc>
        <w:tc>
          <w:tcPr>
            <w:tcW w:type="dxa" w:w="4656"/>
          </w:tcPr>
          <w:p>
            <w:pPr>
              <w:spacing w:after="40"/>
            </w:pPr>
            <w:r>
              <w:rPr>
                <w:rFonts w:ascii="Arial" w:hAnsi="Arial"/>
                <w:sz w:val="20"/>
              </w:rPr>
              <w:t>Langkah berjaga-jaga keselamatan</w:t>
            </w:r>
          </w:p>
        </w:tc>
      </w:tr>
      <w:tr>
        <w:tc>
          <w:tcPr>
            <w:tcW w:type="dxa" w:w="4656"/>
          </w:tcPr>
          <w:p>
            <w:pPr>
              <w:spacing w:after="40"/>
            </w:pPr>
            <w:r>
              <w:rPr>
                <w:rFonts w:ascii="Arial" w:hAnsi="Arial"/>
                <w:sz w:val="20"/>
              </w:rPr>
              <w:t>Supervision Ratio</w:t>
            </w:r>
          </w:p>
        </w:tc>
        <w:tc>
          <w:tcPr>
            <w:tcW w:type="dxa" w:w="4656"/>
          </w:tcPr>
          <w:p>
            <w:pPr>
              <w:spacing w:after="40"/>
            </w:pPr>
            <w:r>
              <w:rPr>
                <w:rFonts w:ascii="Arial" w:hAnsi="Arial"/>
                <w:sz w:val="20"/>
              </w:rPr>
              <w:t>Nisbah pengawasan</w:t>
            </w:r>
          </w:p>
        </w:tc>
      </w:tr>
      <w:tr>
        <w:tc>
          <w:tcPr>
            <w:tcW w:type="dxa" w:w="4656"/>
          </w:tcPr>
          <w:p>
            <w:pPr>
              <w:spacing w:after="40"/>
            </w:pPr>
            <w:r>
              <w:rPr>
                <w:rFonts w:ascii="Arial" w:hAnsi="Arial"/>
                <w:sz w:val="20"/>
              </w:rPr>
              <w:t>Meeting Point</w:t>
            </w:r>
          </w:p>
        </w:tc>
        <w:tc>
          <w:tcPr>
            <w:tcW w:type="dxa" w:w="4656"/>
          </w:tcPr>
          <w:p>
            <w:pPr>
              <w:spacing w:after="40"/>
            </w:pPr>
            <w:r>
              <w:rPr>
                <w:rFonts w:ascii="Arial" w:hAnsi="Arial"/>
                <w:sz w:val="20"/>
              </w:rPr>
              <w:t>Titik pertemuan</w:t>
            </w:r>
          </w:p>
        </w:tc>
      </w:tr>
      <w:tr>
        <w:tc>
          <w:tcPr>
            <w:tcW w:type="dxa" w:w="4656"/>
          </w:tcPr>
          <w:p>
            <w:pPr>
              <w:spacing w:after="40"/>
            </w:pPr>
            <w:r>
              <w:rPr>
                <w:rFonts w:ascii="Arial" w:hAnsi="Arial"/>
                <w:sz w:val="20"/>
              </w:rPr>
              <w:t>Headcount</w:t>
            </w:r>
          </w:p>
        </w:tc>
        <w:tc>
          <w:tcPr>
            <w:tcW w:type="dxa" w:w="4656"/>
          </w:tcPr>
          <w:p>
            <w:pPr>
              <w:spacing w:after="40"/>
            </w:pPr>
            <w:r>
              <w:rPr>
                <w:rFonts w:ascii="Arial" w:hAnsi="Arial"/>
                <w:sz w:val="20"/>
              </w:rPr>
              <w:t>Kiraan bilangan murid</w:t>
            </w:r>
          </w:p>
        </w:tc>
      </w:tr>
      <w:tr>
        <w:tc>
          <w:tcPr>
            <w:tcW w:type="dxa" w:w="4656"/>
          </w:tcPr>
          <w:p>
            <w:pPr>
              <w:spacing w:after="40"/>
            </w:pPr>
            <w:r>
              <w:rPr>
                <w:rFonts w:ascii="Arial" w:hAnsi="Arial"/>
                <w:sz w:val="20"/>
              </w:rPr>
              <w:t>Restricted Area</w:t>
            </w:r>
          </w:p>
        </w:tc>
        <w:tc>
          <w:tcPr>
            <w:tcW w:type="dxa" w:w="4656"/>
          </w:tcPr>
          <w:p>
            <w:pPr>
              <w:spacing w:after="40"/>
            </w:pPr>
            <w:r>
              <w:rPr>
                <w:rFonts w:ascii="Arial" w:hAnsi="Arial"/>
                <w:sz w:val="20"/>
              </w:rPr>
              <w:t>Kawasan larangan</w:t>
            </w:r>
          </w:p>
        </w:tc>
      </w:tr>
      <w:tr>
        <w:tc>
          <w:tcPr>
            <w:tcW w:type="dxa" w:w="4656"/>
          </w:tcPr>
          <w:p>
            <w:pPr>
              <w:spacing w:after="40"/>
            </w:pPr>
            <w:r>
              <w:rPr>
                <w:rFonts w:ascii="Arial" w:hAnsi="Arial"/>
                <w:sz w:val="20"/>
              </w:rPr>
              <w:t>Invitation Letter</w:t>
            </w:r>
          </w:p>
        </w:tc>
        <w:tc>
          <w:tcPr>
            <w:tcW w:type="dxa" w:w="4656"/>
          </w:tcPr>
          <w:p>
            <w:pPr>
              <w:spacing w:after="40"/>
            </w:pPr>
            <w:r>
              <w:rPr>
                <w:rFonts w:ascii="Arial" w:hAnsi="Arial"/>
                <w:sz w:val="20"/>
              </w:rPr>
              <w:t>Surat jemputan</w:t>
            </w:r>
          </w:p>
        </w:tc>
      </w:tr>
      <w:tr>
        <w:tc>
          <w:tcPr>
            <w:tcW w:type="dxa" w:w="4656"/>
          </w:tcPr>
          <w:p>
            <w:pPr>
              <w:spacing w:after="40"/>
            </w:pPr>
            <w:r>
              <w:rPr>
                <w:rFonts w:ascii="Arial" w:hAnsi="Arial"/>
                <w:sz w:val="20"/>
              </w:rPr>
              <w:t>Protocol</w:t>
            </w:r>
          </w:p>
        </w:tc>
        <w:tc>
          <w:tcPr>
            <w:tcW w:type="dxa" w:w="4656"/>
          </w:tcPr>
          <w:p>
            <w:pPr>
              <w:spacing w:after="40"/>
            </w:pPr>
            <w:r>
              <w:rPr>
                <w:rFonts w:ascii="Arial" w:hAnsi="Arial"/>
                <w:sz w:val="20"/>
              </w:rPr>
              <w:t>Protokol</w:t>
            </w:r>
          </w:p>
        </w:tc>
      </w:tr>
      <w:tr>
        <w:tc>
          <w:tcPr>
            <w:tcW w:type="dxa" w:w="4656"/>
          </w:tcPr>
          <w:p>
            <w:pPr>
              <w:spacing w:after="40"/>
            </w:pPr>
            <w:r>
              <w:rPr>
                <w:rFonts w:ascii="Arial" w:hAnsi="Arial"/>
                <w:sz w:val="20"/>
              </w:rPr>
              <w:t>Community Agency</w:t>
            </w:r>
          </w:p>
        </w:tc>
        <w:tc>
          <w:tcPr>
            <w:tcW w:type="dxa" w:w="4656"/>
          </w:tcPr>
          <w:p>
            <w:pPr>
              <w:spacing w:after="40"/>
            </w:pPr>
            <w:r>
              <w:rPr>
                <w:rFonts w:ascii="Arial" w:hAnsi="Arial"/>
                <w:sz w:val="20"/>
              </w:rPr>
              <w:t>Agensi komuniti</w:t>
            </w:r>
          </w:p>
        </w:tc>
      </w:tr>
      <w:tr>
        <w:tc>
          <w:tcPr>
            <w:tcW w:type="dxa" w:w="4656"/>
          </w:tcPr>
          <w:p>
            <w:pPr>
              <w:spacing w:after="40"/>
            </w:pPr>
            <w:r>
              <w:rPr>
                <w:rFonts w:ascii="Arial" w:hAnsi="Arial"/>
                <w:sz w:val="20"/>
              </w:rPr>
              <w:t>Digital Communication Ethics</w:t>
            </w:r>
          </w:p>
        </w:tc>
        <w:tc>
          <w:tcPr>
            <w:tcW w:type="dxa" w:w="4656"/>
          </w:tcPr>
          <w:p>
            <w:pPr>
              <w:spacing w:after="40"/>
            </w:pPr>
            <w:r>
              <w:rPr>
                <w:rFonts w:ascii="Arial" w:hAnsi="Arial"/>
                <w:sz w:val="20"/>
              </w:rPr>
              <w:t>Etika komunikasi digital</w:t>
            </w:r>
          </w:p>
        </w:tc>
      </w:tr>
      <w:tr>
        <w:tc>
          <w:tcPr>
            <w:tcW w:type="dxa" w:w="4656"/>
          </w:tcPr>
          <w:p>
            <w:pPr>
              <w:spacing w:after="40"/>
            </w:pPr>
            <w:r>
              <w:rPr>
                <w:rFonts w:ascii="Arial" w:hAnsi="Arial"/>
                <w:sz w:val="20"/>
              </w:rPr>
              <w:t>Consent Form</w:t>
            </w:r>
          </w:p>
        </w:tc>
        <w:tc>
          <w:tcPr>
            <w:tcW w:type="dxa" w:w="4656"/>
          </w:tcPr>
          <w:p>
            <w:pPr>
              <w:spacing w:after="40"/>
            </w:pPr>
            <w:r>
              <w:rPr>
                <w:rFonts w:ascii="Arial" w:hAnsi="Arial"/>
                <w:sz w:val="20"/>
              </w:rPr>
              <w:t>Borang kebenaran</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Mengapakah guru prasekolah perlu memahami latar belakang komuniti (background community) sebelum merancang aktiviti ibu bapa-komuniti?</w:t>
      </w:r>
    </w:p>
    <w:p>
      <w:r>
        <w:t>Jawapan model: Supaya aktiviti yang dirancang sesuai dengan latar belakang sosioekonomi, budaya dan lokasi komuniti tersebut, sekali gus meningkatkan penyertaan dan penerimaan ibu bapa serta komuniti terhadap program tadika.</w:t>
      </w:r>
    </w:p>
    <w:p>
      <w:pPr>
        <w:spacing w:after="60"/>
        <w:ind w:left="360" w:hanging="360"/>
      </w:pPr>
      <w:r>
        <w:rPr>
          <w:rFonts w:ascii="Arial" w:hAnsi="Arial"/>
          <w:sz w:val="22"/>
        </w:rPr>
        <w:t>2.</w:t>
        <w:tab/>
      </w:r>
      <w:r>
        <w:rPr>
          <w:rFonts w:ascii="Arial" w:hAnsi="Arial"/>
          <w:sz w:val="22"/>
        </w:rPr>
        <w:t>Berikan satu contoh bagaimana pendekatan komunikasi berbeza antara komunikasi dengan ibu bapa dan komunikasi dengan tetamu khas seperti pegawai kerajaan.</w:t>
      </w:r>
    </w:p>
    <w:p>
      <w:r>
        <w:t>Jawapan model: Komunikasi dengan ibu bapa biasanya lebih santai dan pantas melalui WhatsApp/surat pekeliling, manakala komunikasi dengan tetamu khas seperti pegawai kerajaan perlu formal, menggunakan surat jemputan rasmi dan mematuhi protokol layanan tetamu.</w:t>
      </w:r>
    </w:p>
    <w:p>
      <w:pPr>
        <w:spacing w:after="60"/>
        <w:ind w:left="360" w:hanging="360"/>
      </w:pPr>
      <w:r>
        <w:rPr>
          <w:rFonts w:ascii="Arial" w:hAnsi="Arial"/>
          <w:sz w:val="22"/>
        </w:rPr>
        <w:t>3.</w:t>
        <w:tab/>
      </w:r>
      <w:r>
        <w:rPr>
          <w:rFonts w:ascii="Arial" w:hAnsi="Arial"/>
          <w:sz w:val="22"/>
        </w:rPr>
        <w:t>Nyatakan dua langkah berjaga-jaga keselamatan (safety precaution) bagi mengawal murid semasa aktiviti ibu bapa-komuniti berskala besar.</w:t>
      </w:r>
    </w:p>
    <w:p>
      <w:r>
        <w:t>Jawapan model: Memastikan nisbah guru kepada murid yang mencukupi bagi penyeliaan berterusan, dan menetapkan kawasan aktiviti yang berpagar/bertanda jelas untuk mengelakkan murid keluar tanpa pengawasan.</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P851-002-4:2025-C05/NP(2/3)</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