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 / VISUAL EDITING PROJECT ANALYSIS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IT-072-3:2012-C01-W03 / Classify visual editing format and source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IT-072-3:2012-C01/NP(3/5)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Mengklasifikasikan Format dan Sumber Penyuntingan Visual (Classifying Visual Editing Format and Source)</w:t>
      </w:r>
    </w:p>
    <w:p/>
    <w:p>
      <w:r>
        <w:rPr>
          <w:b/>
        </w:rPr>
        <w:t>TUJUAN:</w:t>
      </w:r>
    </w:p>
    <w:p>
      <w: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pPr>
        <w:pStyle w:val="ListParagraph"/>
      </w:pPr>
      <w:r>
        <w:t>• Menentukan jenis bahan projek mengikut keperluan projek.</w:t>
      </w:r>
    </w:p>
    <w:p>
      <w:pPr>
        <w:pStyle w:val="ListParagraph"/>
      </w:pPr>
      <w:r>
        <w:t>• Mengenal pasti frame rate dan aspect ratio mengikut spesifikasi produksi.</w:t>
      </w:r>
    </w:p>
    <w:p>
      <w:pPr>
        <w:pStyle w:val="ListParagraph"/>
      </w:pPr>
      <w:r>
        <w:t>• Menentukan scanning lines mengikut spesifikasi produksi.</w:t>
      </w:r>
    </w:p>
    <w:p>
      <w:pPr>
        <w:pStyle w:val="ListParagraph"/>
      </w:pPr>
      <w:r>
        <w:t>• Menentukan frame dimension mengikut spesifikasi produksi.</w:t>
      </w:r>
    </w:p>
    <w:p/>
    <w:p>
      <w:r>
        <w:rPr>
          <w:b/>
        </w:rPr>
        <w:t>PENERANGAN:</w:t>
      </w:r>
    </w:p>
    <w:p>
      <w:r>
        <w:rPr>
          <w:b/>
          <w:sz w:val="36"/>
        </w:rPr>
        <w:t>Bab 1: Project Material</w:t>
      </w:r>
    </w:p>
    <w:p>
      <w:r>
        <w:t>Objektif Pembelajaran: Bakat dapat mengenal pasti jenis-jenis bahan projek mengikut kategori format yang diterima daripada pasukan pengeluaran.</w:t>
      </w:r>
    </w:p>
    <w:p>
      <w:r>
        <w:t>Bahan projek yang diterima Editor boleh terdiri daripada pelbagai kategori format (senarai verbatim CoCU):</w:t>
      </w:r>
    </w:p>
    <w:p>
      <w:pPr>
        <w:pStyle w:val="ListParagraph"/>
      </w:pPr>
      <w:r>
        <w:t>• Tape: Mini-DV, DV CAM, Beta SP, Beta Digital, HD CAM</w:t>
      </w:r>
    </w:p>
    <w:p>
      <w:pPr>
        <w:pStyle w:val="ListParagraph"/>
      </w:pPr>
      <w:r>
        <w:t>• High Definition (HD): 720p, 1080p, 1080i</w:t>
      </w:r>
    </w:p>
    <w:p>
      <w:pPr>
        <w:pStyle w:val="ListParagraph"/>
      </w:pPr>
      <w:r>
        <w:t>• Film: 8mm, 16mm, 35mm, 70mm</w:t>
      </w:r>
    </w:p>
    <w:p>
      <w:pPr>
        <w:pStyle w:val="ListParagraph"/>
      </w:pPr>
      <w:r>
        <w:t>• Stills / graphic: JPEG, PNG, PSD, AI, TIFF, TARGA, CINEON, EXR</w:t>
      </w:r>
    </w:p>
    <w:p>
      <w:pPr>
        <w:pStyle w:val="ListParagraph"/>
      </w:pPr>
      <w:r>
        <w:t>• Tapeless Format: MOV, MXF, MTS, XDCAM EX, MPEG IMX, AVCHD, PRORES, DNxHD, H.264 MP4, R3D</w:t>
      </w:r>
    </w:p>
    <w:p>
      <w:pPr>
        <w:pStyle w:val="ListParagraph"/>
      </w:pPr>
      <w:r>
        <w:t>• Archive (Library): bahan arkib/simpanan sedia ada syarikat</w:t>
      </w:r>
    </w:p>
    <w:p>
      <w:r>
        <w:t>Editor perlu mengenal pasti kategori bahan yang diterima kerana setiap kategori memerlukan kaedah ingest, storan, dan perisian pemainan (playback) yang berbeza. Contohnya, bahan format R3D (RED camera raw) memerlukan perisian debayer/transcode khusus sebelum boleh diedit dalam NLE (Non-Linear Editing) biasa, manakala bahan H.264 MP4 boleh terus dimainkan tetapi kurang fleksibel untuk grading berbanding format ProRes/DNxHD.</w:t>
      </w:r>
    </w:p>
    <w:p>
      <w:r>
        <w:t>Kaitan dengan Proses Kerja syarikat: Semasa P02 (Semak format sumber), Editor menyenaraikan semua bahan projek yang diterima (kad kamera, hard disk, arkib) dan mengenal pasti kategori format setiap satu sebelum keputusan transkod dibuat pada peringkat P04 (Ingest &amp; digitasi, CU C02).</w:t>
      </w:r>
    </w:p>
    <w:p>
      <w:r>
        <w:rPr>
          <w:b/>
          <w:sz w:val="36"/>
        </w:rPr>
        <w:t>Bab 2: Frame Rate</w:t>
      </w:r>
    </w:p>
    <w:p>
      <w:r>
        <w:t>Objektif Pembelajaran: Bakat dapat mengenal pasti dan mengesahkan frame rate mengikut spesifikasi produksi.</w:t>
      </w:r>
    </w:p>
    <w:p>
      <w:r>
        <w:t>Frame rate ialah bilangan bingkai (frame) yang dipaparkan setiap saat, dan ia mesti sepadan antara bahan sumber dan spesifikasi output supaya tiada masalah pergerakan (motion judder) atau ralat pensegerakan audio. Jenis frame rate yang lazim (verbatim CoCU):</w:t>
      </w:r>
    </w:p>
    <w:tbl>
      <w:tblPr>
        <w:tblStyle w:val="TableGrid"/>
        <w:tblW w:type="auto" w:w="0"/>
        <w:tblLook w:firstColumn="1" w:firstRow="1" w:lastColumn="0" w:lastRow="0" w:noHBand="0" w:noVBand="1" w:val="04A0"/>
      </w:tblPr>
      <w:tblGrid>
        <w:gridCol w:w="4656"/>
        <w:gridCol w:w="4656"/>
      </w:tblGrid>
      <w:tr>
        <w:tc>
          <w:tcPr>
            <w:tcW w:type="dxa" w:w="4656"/>
          </w:tcPr>
          <w:p>
            <w:r>
              <w:t>Frame Rate</w:t>
            </w:r>
          </w:p>
        </w:tc>
        <w:tc>
          <w:tcPr>
            <w:tcW w:type="dxa" w:w="4656"/>
          </w:tcPr>
          <w:p>
            <w:r>
              <w:t>Penggunaan Standard</w:t>
            </w:r>
          </w:p>
        </w:tc>
      </w:tr>
      <w:tr>
        <w:tc>
          <w:tcPr>
            <w:tcW w:type="dxa" w:w="4656"/>
          </w:tcPr>
          <w:p>
            <w:r>
              <w:t>24 fps</w:t>
            </w:r>
          </w:p>
        </w:tc>
        <w:tc>
          <w:tcPr>
            <w:tcW w:type="dxa" w:w="4656"/>
          </w:tcPr>
          <w:p>
            <w:r>
              <w:t>Filem (Film) — standard sinematik</w:t>
            </w:r>
          </w:p>
        </w:tc>
      </w:tr>
      <w:tr>
        <w:tc>
          <w:tcPr>
            <w:tcW w:type="dxa" w:w="4656"/>
          </w:tcPr>
          <w:p>
            <w:r>
              <w:t>25 fps</w:t>
            </w:r>
          </w:p>
        </w:tc>
        <w:tc>
          <w:tcPr>
            <w:tcW w:type="dxa" w:w="4656"/>
          </w:tcPr>
          <w:p>
            <w:r>
              <w:t>PAL (Malaysia, Eropah, sebahagian Asia)</w:t>
            </w:r>
          </w:p>
        </w:tc>
      </w:tr>
      <w:tr>
        <w:tc>
          <w:tcPr>
            <w:tcW w:type="dxa" w:w="4656"/>
          </w:tcPr>
          <w:p>
            <w:r>
              <w:t>50i fps</w:t>
            </w:r>
          </w:p>
        </w:tc>
        <w:tc>
          <w:tcPr>
            <w:tcW w:type="dxa" w:w="4656"/>
          </w:tcPr>
          <w:p>
            <w:r>
              <w:t>PAL interlaced (siaran TV PAL)</w:t>
            </w:r>
          </w:p>
        </w:tc>
      </w:tr>
      <w:tr>
        <w:tc>
          <w:tcPr>
            <w:tcW w:type="dxa" w:w="4656"/>
          </w:tcPr>
          <w:p>
            <w:r>
              <w:t>29.97 fps</w:t>
            </w:r>
          </w:p>
        </w:tc>
        <w:tc>
          <w:tcPr>
            <w:tcW w:type="dxa" w:w="4656"/>
          </w:tcPr>
          <w:p>
            <w:r>
              <w:t>NTSC (Amerika Utara, Jepun)</w:t>
            </w:r>
          </w:p>
        </w:tc>
      </w:tr>
      <w:tr>
        <w:tc>
          <w:tcPr>
            <w:tcW w:type="dxa" w:w="4656"/>
          </w:tcPr>
          <w:p>
            <w:r>
              <w:t>30 fps</w:t>
            </w:r>
          </w:p>
        </w:tc>
        <w:tc>
          <w:tcPr>
            <w:tcW w:type="dxa" w:w="4656"/>
          </w:tcPr>
          <w:p>
            <w:r>
              <w:t>NTSC (kadar bulat, video digital am)</w:t>
            </w:r>
          </w:p>
        </w:tc>
      </w:tr>
      <w:tr>
        <w:tc>
          <w:tcPr>
            <w:tcW w:type="dxa" w:w="4656"/>
          </w:tcPr>
          <w:p>
            <w:r>
              <w:t>23.976 fps</w:t>
            </w:r>
          </w:p>
        </w:tc>
        <w:tc>
          <w:tcPr>
            <w:tcW w:type="dxa" w:w="4656"/>
          </w:tcPr>
          <w:p>
            <w:r>
              <w:t>Film to NTSC (pull-down 3:2 untuk penukaran filem ke NTSC)</w:t>
            </w:r>
          </w:p>
        </w:tc>
      </w:tr>
      <w:tr>
        <w:tc>
          <w:tcPr>
            <w:tcW w:type="dxa" w:w="4656"/>
          </w:tcPr>
          <w:p>
            <w:r>
              <w:t>60i fps</w:t>
            </w:r>
          </w:p>
        </w:tc>
        <w:tc>
          <w:tcPr>
            <w:tcW w:type="dxa" w:w="4656"/>
          </w:tcPr>
          <w:p>
            <w:r>
              <w:t>NTSC interlaced (siaran TV NTSC)</w:t>
            </w:r>
          </w:p>
        </w:tc>
      </w:tr>
      <w:tr>
        <w:tc>
          <w:tcPr>
            <w:tcW w:type="dxa" w:w="4656"/>
          </w:tcPr>
          <w:p>
            <w:r>
              <w:t>HD Universal Timecode</w:t>
            </w:r>
          </w:p>
        </w:tc>
        <w:tc>
          <w:tcPr>
            <w:tcW w:type="dxa" w:w="4656"/>
          </w:tcPr>
          <w:p>
            <w:r>
              <w:t>Kod masa piawai bagi produksi HD merentasi frame rate</w:t>
            </w:r>
          </w:p>
        </w:tc>
      </w:tr>
    </w:tbl>
    <w:p>
      <w:r>
        <w:t>Contoh isu praktikal: Jika projek Malaysia (piawai 25fps PAL/50i) menerima footage arkib antarabangsa yang direkod pada 29.97fps NTSC, Editor perlu mengenal pasti percanggahan ini pada peringkat analisis awal supaya proses frame rate conversion (rujuk WA4, Bab "Footage format conversion") dapat dirancang sebelum bahan dimasukkan ke timeline utama — kegagalan berbuat demikian menyebabkan pergerakan tidak lancar (stutter) atau ralat sync audio-visual.</w:t>
      </w:r>
    </w:p>
    <w:p>
      <w:r>
        <w:rPr>
          <w:b/>
          <w:sz w:val="36"/>
        </w:rPr>
        <w:t>Bab 3: Scanning Lines</w:t>
      </w:r>
    </w:p>
    <w:p>
      <w:r>
        <w:t>Objektif Pembelajaran: Bakat dapat menentukan jenis scanning lines mengikut spesifikasi produksi.</w:t>
      </w:r>
    </w:p>
    <w:p>
      <w:r>
        <w:t>Dua jenis scanning lines yang perlu dikenal pasti:</w:t>
      </w:r>
    </w:p>
    <w:p>
      <w:pPr>
        <w:pStyle w:val="ListParagraph"/>
      </w:pPr>
      <w:r>
        <w:t>• Interlaced (i) — setiap bingkai video dipaparkan dalam dua medan (field) berselang-seli — garisan ganjil dahulu, kemudian garisan genap — teknik ini digunakan dalam siaran TV tradisional (contoh: 1080i, 50i, 60i) untuk menjimatkan lebar jalur (bandwidth) semasa penghantaran.</w:t>
      </w:r>
    </w:p>
    <w:p>
      <w:pPr>
        <w:pStyle w:val="ListParagraph"/>
      </w:pPr>
      <w:r>
        <w:t>• Progressive (p) — setiap bingkai dipaparkan secara penuh serentak (contoh: 1080p, 720p) — memberikan imej yang lebih tajam dan lancar, standard untuk kandungan web dan digital moden.</w:t>
      </w:r>
    </w:p>
    <w:p>
      <w: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w:t>
      </w:r>
    </w:p>
    <w:p>
      <w:r>
        <w:rPr>
          <w:b/>
          <w:sz w:val="36"/>
        </w:rPr>
        <w:t>Bab 4: Aspect Ratio</w:t>
      </w:r>
    </w:p>
    <w:p>
      <w:r>
        <w:t>Objektif Pembelajaran: Bakat dapat menentukan aspect ratio mengikut spesifikasi produksi.</w:t>
      </w:r>
    </w:p>
    <w:p>
      <w:r>
        <w:t>Aspect ratio ialah nisbah lebar kepada tinggi bagi bingkai visual. Jenis-jenis aspect ratio (verbatim CoCU):</w:t>
      </w:r>
    </w:p>
    <w:tbl>
      <w:tblPr>
        <w:tblStyle w:val="TableGrid"/>
        <w:tblW w:type="auto" w:w="0"/>
        <w:tblLook w:firstColumn="1" w:firstRow="1" w:lastColumn="0" w:lastRow="0" w:noHBand="0" w:noVBand="1" w:val="04A0"/>
      </w:tblPr>
      <w:tblGrid>
        <w:gridCol w:w="4656"/>
        <w:gridCol w:w="4656"/>
      </w:tblGrid>
      <w:tr>
        <w:tc>
          <w:tcPr>
            <w:tcW w:type="dxa" w:w="4656"/>
          </w:tcPr>
          <w:p>
            <w:r>
              <w:t>Aspect Ratio</w:t>
            </w:r>
          </w:p>
        </w:tc>
        <w:tc>
          <w:tcPr>
            <w:tcW w:type="dxa" w:w="4656"/>
          </w:tcPr>
          <w:p>
            <w:r>
              <w:t>Penggunaan</w:t>
            </w:r>
          </w:p>
        </w:tc>
      </w:tr>
      <w:tr>
        <w:tc>
          <w:tcPr>
            <w:tcW w:type="dxa" w:w="4656"/>
          </w:tcPr>
          <w:p>
            <w:r>
              <w:t>4:3</w:t>
            </w:r>
          </w:p>
        </w:tc>
        <w:tc>
          <w:tcPr>
            <w:tcW w:type="dxa" w:w="4656"/>
          </w:tcPr>
          <w:p>
            <w:r>
              <w:t>Standard TV lama (SD), kandungan arkib</w:t>
            </w:r>
          </w:p>
        </w:tc>
      </w:tr>
      <w:tr>
        <w:tc>
          <w:tcPr>
            <w:tcW w:type="dxa" w:w="4656"/>
          </w:tcPr>
          <w:p>
            <w:r>
              <w:t>14:9</w:t>
            </w:r>
          </w:p>
        </w:tc>
        <w:tc>
          <w:tcPr>
            <w:tcW w:type="dxa" w:w="4656"/>
          </w:tcPr>
          <w:p>
            <w:r>
              <w:t>Kompromi antara 4:3 dan 16:9 untuk siaran peralihan</w:t>
            </w:r>
          </w:p>
        </w:tc>
      </w:tr>
      <w:tr>
        <w:tc>
          <w:tcPr>
            <w:tcW w:type="dxa" w:w="4656"/>
          </w:tcPr>
          <w:p>
            <w:r>
              <w:t>16:9</w:t>
            </w:r>
          </w:p>
        </w:tc>
        <w:tc>
          <w:tcPr>
            <w:tcW w:type="dxa" w:w="4656"/>
          </w:tcPr>
          <w:p>
            <w:r>
              <w:t>Standard HD/digital moden (TV, web, mobile)</w:t>
            </w:r>
          </w:p>
        </w:tc>
      </w:tr>
      <w:tr>
        <w:tc>
          <w:tcPr>
            <w:tcW w:type="dxa" w:w="4656"/>
          </w:tcPr>
          <w:p>
            <w:r>
              <w:t>Cinemascope</w:t>
            </w:r>
          </w:p>
        </w:tc>
        <w:tc>
          <w:tcPr>
            <w:tcW w:type="dxa" w:w="4656"/>
          </w:tcPr>
          <w:p>
            <w:r>
              <w:t>Format lebar sinematik (~2.35:1) untuk pawagam</w:t>
            </w:r>
          </w:p>
        </w:tc>
      </w:tr>
      <w:tr>
        <w:tc>
          <w:tcPr>
            <w:tcW w:type="dxa" w:w="4656"/>
          </w:tcPr>
          <w:p>
            <w:r>
              <w:t>Anamorphic</w:t>
            </w:r>
          </w:p>
        </w:tc>
        <w:tc>
          <w:tcPr>
            <w:tcW w:type="dxa" w:w="4656"/>
          </w:tcPr>
          <w:p>
            <w:r>
              <w:t>Lensa/format yang memampatkan imej lebar ke dalam bingkai standard</w:t>
            </w:r>
          </w:p>
        </w:tc>
      </w:tr>
      <w:tr>
        <w:tc>
          <w:tcPr>
            <w:tcW w:type="dxa" w:w="4656"/>
          </w:tcPr>
          <w:p>
            <w:r>
              <w:t>Flat screen</w:t>
            </w:r>
          </w:p>
        </w:tc>
        <w:tc>
          <w:tcPr>
            <w:tcW w:type="dxa" w:w="4656"/>
          </w:tcPr>
          <w:p>
            <w:r>
              <w:t>Format skrin lebar standard pawagam (~1.85:1)</w:t>
            </w:r>
          </w:p>
        </w:tc>
      </w:tr>
      <w:tr>
        <w:tc>
          <w:tcPr>
            <w:tcW w:type="dxa" w:w="4656"/>
          </w:tcPr>
          <w:p>
            <w:r>
              <w:t>Letter box</w:t>
            </w:r>
          </w:p>
        </w:tc>
        <w:tc>
          <w:tcPr>
            <w:tcW w:type="dxa" w:w="4656"/>
          </w:tcPr>
          <w:p>
            <w:r>
              <w:t>Jalur hitam atas-bawah untuk memuatkan kandungan lebar dalam bingkai 4:3</w:t>
            </w:r>
          </w:p>
        </w:tc>
      </w:tr>
      <w:tr>
        <w:tc>
          <w:tcPr>
            <w:tcW w:type="dxa" w:w="4656"/>
          </w:tcPr>
          <w:p>
            <w:r>
              <w:t>Pillar box</w:t>
            </w:r>
          </w:p>
        </w:tc>
        <w:tc>
          <w:tcPr>
            <w:tcW w:type="dxa" w:w="4656"/>
          </w:tcPr>
          <w:p>
            <w:r>
              <w:t>Jalur hitam kiri-kanan untuk memuatkan kandungan 4:3 dalam bingkai 16:9</w:t>
            </w:r>
          </w:p>
        </w:tc>
      </w:tr>
      <w:tr>
        <w:tc>
          <w:tcPr>
            <w:tcW w:type="dxa" w:w="4656"/>
          </w:tcPr>
          <w:p>
            <w:r>
              <w:t>Wide screen</w:t>
            </w:r>
          </w:p>
        </w:tc>
        <w:tc>
          <w:tcPr>
            <w:tcW w:type="dxa" w:w="4656"/>
          </w:tcPr>
          <w:p>
            <w:r>
              <w:t>Istilah am bagi format aspek lebih lebar daripada 4:3</w:t>
            </w:r>
          </w:p>
        </w:tc>
      </w:tr>
    </w:tbl>
    <w:p>
      <w: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w:t>
      </w:r>
    </w:p>
    <w:p>
      <w:r>
        <w:rPr>
          <w:b/>
          <w:sz w:val="36"/>
        </w:rPr>
        <w:t>Bab 5: Frame Dimension</w:t>
      </w:r>
    </w:p>
    <w:p>
      <w:r>
        <w:t>Objektif Pembelajaran: Bakat dapat menentukan frame dimension (resolusi piksel) mengikut spesifikasi produksi.</w:t>
      </w:r>
    </w:p>
    <w:p>
      <w:r>
        <w:t>Frame dimension merujuk kepada resolusi sebenar bingkai video dalam unit piksel (lebar x tinggi). Nilai-nilai standard (verbatim CoCU):</w:t>
      </w:r>
    </w:p>
    <w:tbl>
      <w:tblPr>
        <w:tblStyle w:val="TableGrid"/>
        <w:tblW w:type="auto" w:w="0"/>
        <w:tblLook w:firstColumn="1" w:firstRow="1" w:lastColumn="0" w:lastRow="0" w:noHBand="0" w:noVBand="1" w:val="04A0"/>
      </w:tblPr>
      <w:tblGrid>
        <w:gridCol w:w="4656"/>
        <w:gridCol w:w="4656"/>
      </w:tblGrid>
      <w:tr>
        <w:tc>
          <w:tcPr>
            <w:tcW w:type="dxa" w:w="4656"/>
          </w:tcPr>
          <w:p>
            <w:r>
              <w:t>Frame Dimension</w:t>
            </w:r>
          </w:p>
        </w:tc>
        <w:tc>
          <w:tcPr>
            <w:tcW w:type="dxa" w:w="4656"/>
          </w:tcPr>
          <w:p>
            <w:r>
              <w:t>Setara Standard</w:t>
            </w:r>
          </w:p>
        </w:tc>
      </w:tr>
      <w:tr>
        <w:tc>
          <w:tcPr>
            <w:tcW w:type="dxa" w:w="4656"/>
          </w:tcPr>
          <w:p>
            <w:r>
              <w:t>1920 x 1080</w:t>
            </w:r>
          </w:p>
        </w:tc>
        <w:tc>
          <w:tcPr>
            <w:tcW w:type="dxa" w:w="4656"/>
          </w:tcPr>
          <w:p>
            <w:r>
              <w:t>Full HD 16:9</w:t>
            </w:r>
          </w:p>
        </w:tc>
      </w:tr>
      <w:tr>
        <w:tc>
          <w:tcPr>
            <w:tcW w:type="dxa" w:w="4656"/>
          </w:tcPr>
          <w:p>
            <w:r>
              <w:t>1440 x 1080</w:t>
            </w:r>
          </w:p>
        </w:tc>
        <w:tc>
          <w:tcPr>
            <w:tcW w:type="dxa" w:w="4656"/>
          </w:tcPr>
          <w:p>
            <w:r>
              <w:t>HDV/anamorphic 16:9 (piksel bukan segi empat sama)</w:t>
            </w:r>
          </w:p>
        </w:tc>
      </w:tr>
      <w:tr>
        <w:tc>
          <w:tcPr>
            <w:tcW w:type="dxa" w:w="4656"/>
          </w:tcPr>
          <w:p>
            <w:r>
              <w:t>1270 x 720</w:t>
            </w:r>
          </w:p>
        </w:tc>
        <w:tc>
          <w:tcPr>
            <w:tcW w:type="dxa" w:w="4656"/>
          </w:tcPr>
          <w:p>
            <w:r>
              <w:t>HD 16:9 (nota: nilai piawai sebenar 1280x720; angka 1270 seperti dinyatakan dalam CoCU)</w:t>
            </w:r>
          </w:p>
        </w:tc>
      </w:tr>
      <w:tr>
        <w:tc>
          <w:tcPr>
            <w:tcW w:type="dxa" w:w="4656"/>
          </w:tcPr>
          <w:p>
            <w:r>
              <w:t>720 x 576</w:t>
            </w:r>
          </w:p>
        </w:tc>
        <w:tc>
          <w:tcPr>
            <w:tcW w:type="dxa" w:w="4656"/>
          </w:tcPr>
          <w:p>
            <w:r>
              <w:t>SD PAL 4:3/16:9</w:t>
            </w:r>
          </w:p>
        </w:tc>
      </w:tr>
      <w:tr>
        <w:tc>
          <w:tcPr>
            <w:tcW w:type="dxa" w:w="4656"/>
          </w:tcPr>
          <w:p>
            <w:r>
              <w:t>720 x 480</w:t>
            </w:r>
          </w:p>
        </w:tc>
        <w:tc>
          <w:tcPr>
            <w:tcW w:type="dxa" w:w="4656"/>
          </w:tcPr>
          <w:p>
            <w:r>
              <w:t>SD NTSC 4:3/16:9</w:t>
            </w:r>
          </w:p>
        </w:tc>
      </w:tr>
    </w:tbl>
    <w:p>
      <w: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w:t>
      </w:r>
    </w:p>
    <w:p>
      <w:r>
        <w:rPr>
          <w:b/>
        </w:rPr>
        <w:t>SOALAN:</w:t>
      </w:r>
    </w:p>
    <w:p>
      <w:pPr>
        <w:pStyle w:val="ListParagraph"/>
      </w:pPr>
      <w:r>
        <w:t>• Mengapa Editor perlu mengenal pasti frame rate bahan sumber sebelum memasukkannya ke dalam timeline projek?</w:t>
      </w:r>
    </w:p>
    <w:p>
      <w: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pPr>
        <w:pStyle w:val="ListParagraph"/>
      </w:pPr>
      <w:r>
        <w:t>• Apakah perbezaan antara scanning lines interlaced dan progressive, dan berikan satu contoh masalah jika kedua-duanya dicampur tanpa penukaran yang betul.</w:t>
      </w:r>
    </w:p>
    <w:p>
      <w:r>
        <w:t>Jawapan model: Interlaced memaparkan bingkai dalam dua medan berselang-seli manakala progressive memaparkan bingkai penuh serentak. Jika dicampur tanpa deinterlacing yang betul, hasil akhir akan menunjukkan kesan "combing" (garis bergerigi) pada pergerakan pantas.</w:t>
      </w:r>
    </w:p>
    <w:p>
      <w:pPr>
        <w:pStyle w:val="ListParagraph"/>
      </w:pPr>
      <w:r>
        <w:t>• Berikan satu situasi di mana Editor perlu membuat keputusan antara letter box, pillar box, atau crop, dan terangkan pertimbangannya.</w:t>
      </w:r>
    </w:p>
    <w:p>
      <w: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r>
        <w:rPr>
          <w:b/>
        </w:rPr>
        <w:t>RUJUKAN:</w:t>
      </w:r>
    </w:p>
    <w:p>
      <w:r>
        <w:t>Rujukan CoCU (verbatim, dikongsi bersama semua CU IT-072-3:2012 termasuk C01):</w:t>
      </w:r>
    </w:p>
    <w:p>
      <w:pPr>
        <w:pStyle w:val="ListParagraph"/>
      </w:pPr>
      <w:r>
        <w:t>• Peter Wells (Sep 24, 2007), *Digital Video Editing: A User's Guide*. 1st Ed. Crowood Press, ISBN: 978-1861269522</w:t>
      </w:r>
    </w:p>
    <w:p>
      <w:pPr>
        <w:pStyle w:val="ListParagraph"/>
      </w:pPr>
      <w:r>
        <w:t>• Sam Kauffmann and Ashley Kennedy (Jul 6, 2012), *Avid Editing: A Guide for Beginning and Intermediate Users*. 4th Ed. Focal Press, ISBN: 978-0240818566</w:t>
      </w:r>
    </w:p>
    <w:p>
      <w:pPr>
        <w:pStyle w:val="ListParagraph"/>
      </w:pPr>
      <w:r>
        <w:t>• Ken Dancyger (Nov 24, 2010), *The Technique of Film and Video Editing, Fifth Edition: History, Theory, and Practice*. Focal Press, ISBN: 978-0240813974</w:t>
      </w:r>
    </w:p>
    <w:p>
      <w:r>
        <w:t>Tambahan (rujukan umum industri, disahkan wujud):</w:t>
      </w:r>
    </w:p>
    <w:p>
      <w:pPr>
        <w:pStyle w:val="ListParagraph"/>
      </w:pPr>
      <w:r>
        <w:t>• Ascher, S., &amp; Pincus, E. (2012). *The Filmmaker's Handbook: A Comprehensive Guide for the Digital Age* (4th ed.). Plume.</w:t>
      </w:r>
    </w:p>
    <w:p>
      <w:pPr>
        <w:pStyle w:val="ListParagraph"/>
      </w:pPr>
      <w:r>
        <w:t>• Long, B., &amp; Schenk, S. (2010). *The Digital Filmmaking Handbook* (4th ed.). Course Technology PTR.</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