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P851-002-4:2025-C03 [TBD: CU03 title | 00-noss-extract.md]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C03 [TBD: CU03 title | 00-noss-extract.md] / Work Activity: WA1 — Prepare learning environment (P851-002-4:2025-C03-W01)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National Preschool Curriculum content (timetable scheduling)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Classroom environment layout (Classroom layout; Emergency exit)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Prepare learning environment (Set up interactive display; Resources organisation; Clean, safe and secure area; Type of learning approaches)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Learning strategies (Thematic; Project approach; Learning centre; Documentation)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Evaluation tools (Checklist — lighting, air ventilation and temperature; Observation; Feedback from colleagues)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6. Health, Safety and Environment (HSE) standard and policy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C03 [TBD: CU03 title | 00-noss-extract.md] / Work Activity: WA2 — Handle pupil's attendance (P851-002-4:2025-C03-W02)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Attendance checklist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Recording format (attendance template)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Attendance analysis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Reporting procedures and documentation (Format; Rules; Escalation steps)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C03 [TBD: CU03 title | 00-noss-extract.md] / Work Activity: WA3 — Record classroom inventory (P851-002-4:2025-C03-W03)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Inventory checklist format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Elements of inventory inspection (Schedule; Quantity; Condition)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Item of inventory report (Format; Verification)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C03 [TBD: CU03 title | 00-noss-extract.md] / Work Activity: WA4 — Control pupil's behaviour (P851-002-4:2025-C03-W04)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Fundamental of pupil's behaviour theory (Behavioural theory; Pupil's behaviour; Positive reinforcement strategies; Reward and punishment)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Values practices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Effective communication (Introduction basic communication theory; Verbal communication; Non-verbal communication; Active listening; Speaking manner)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