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33.6 j (168 j x 20% pemberat WA)</w:t>
      </w:r>
    </w:p>
    <w:p/>
    <w:p>
      <w:r>
        <w:rPr>
          <w:b/>
        </w:rPr>
        <w:t>TAJUK:</w:t>
      </w:r>
    </w:p>
    <w:p>
      <w:r>
        <w:t>Menyediakan Laporan Aktiviti Ibu Bapa-Komuniti (Preparing Report of Parental-Community Activities)</w:t>
      </w:r>
    </w:p>
    <w:p/>
    <w:p>
      <w:r>
        <w:rPr>
          <w:b/>
        </w:rPr>
        <w:t>TUJUAN:</w:t>
      </w:r>
    </w:p>
    <w:p>
      <w:r>
        <w:t>Nota Pembelajaran ini bertujuan untuk membimbing Bakat memahami dan menguasai proses menyediakan laporan selepas pelaksanaan aktiviti ibu bapa-komuniti, merangkumi prosedur mengumpul maklum balas peserta, format penulisan laporan ringkasan, serta prosedur menjalankan mesyuarat pasca-mortem. Kesemua topik ini penting kerana laporan dan penilaian selepas aktiviti membolehkan tadika menambah baik program pada masa hadapan dan menjadi rekod pertanggungjawaban kepada pihak pengurusan. Selepas melalui nota ini, Bakat akan berupaya untuk:</w:t>
      </w:r>
    </w:p>
    <w:p>
      <w:pPr>
        <w:pStyle w:val="ListParagraph"/>
      </w:pPr>
      <w:r>
        <w:t>• Mengumpul maklum balas daripada peserta program ibu bapa-komuniti.</w:t>
      </w:r>
    </w:p>
    <w:p>
      <w:pPr>
        <w:pStyle w:val="ListParagraph"/>
      </w:pPr>
      <w:r>
        <w:t>• Menyediakan laporan ringkasan aktiviti mengikut format yang sesuai.</w:t>
      </w:r>
    </w:p>
    <w:p>
      <w:pPr>
        <w:pStyle w:val="ListParagraph"/>
      </w:pPr>
      <w:r>
        <w:t>• Menjalankan dan menyertai mesyuarat pasca-mortem selepas program.</w:t>
      </w:r>
    </w:p>
    <w:p/>
    <w:p>
      <w:r>
        <w:rPr>
          <w:b/>
        </w:rPr>
        <w:t>PENERANGAN:</w:t>
      </w:r>
    </w:p>
    <w:p>
      <w:r>
        <w:rPr>
          <w:b/>
          <w:sz w:val="36"/>
        </w:rPr>
        <w:t>Bab 1: Procedure of collecting response</w:t>
      </w:r>
    </w:p>
    <w:p>
      <w:r>
        <w:rPr>
          <w:b/>
          <w:sz w:val="26"/>
        </w:rPr>
        <w:t>Objektif Pembelajaran</w:t>
      </w:r>
    </w:p>
    <w:p>
      <w:r>
        <w:t>Selepas mempelajari topik ini, pelatih dapat:</w:t>
      </w:r>
    </w:p>
    <w:p>
      <w:pPr>
        <w:pStyle w:val="ListParagraph"/>
      </w:pPr>
      <w:r>
        <w:t>• Menjelaskan kaedah mengumpul maklum balas daripada peserta program.</w:t>
      </w:r>
    </w:p>
    <w:p>
      <w:pPr>
        <w:pStyle w:val="ListParagraph"/>
      </w:pPr>
      <w:r>
        <w:t>• Mereka bentuk instrumen maklum balas yang sesuai untuk ibu bapa dan komuniti.</w:t>
      </w:r>
    </w:p>
    <w:p>
      <w:pPr>
        <w:pStyle w:val="ListParagraph"/>
      </w:pPr>
      <w:r>
        <w:t>• Merekod maklum balas dalam format yang sesuai untuk analisis.</w:t>
      </w:r>
    </w:p>
    <w:p>
      <w:r>
        <w:rPr>
          <w:b/>
          <w:sz w:val="26"/>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ook w:firstColumn="1" w:firstRow="1" w:lastColumn="0" w:lastRow="0" w:noHBand="0" w:noVBand="1" w:val="04A0"/>
      </w:tblPr>
      <w:tblGrid>
        <w:gridCol w:w="4656"/>
        <w:gridCol w:w="4656"/>
      </w:tblGrid>
      <w:tr>
        <w:tc>
          <w:tcPr>
            <w:tcW w:type="dxa" w:w="4656"/>
          </w:tcPr>
          <w:p>
            <w:r>
              <w:t>Kaedah</w:t>
            </w:r>
          </w:p>
        </w:tc>
        <w:tc>
          <w:tcPr>
            <w:tcW w:type="dxa" w:w="4656"/>
          </w:tcPr>
          <w:p>
            <w:r>
              <w:t>Kesesuaian</w:t>
            </w:r>
          </w:p>
        </w:tc>
      </w:tr>
      <w:tr>
        <w:tc>
          <w:tcPr>
            <w:tcW w:type="dxa" w:w="4656"/>
          </w:tcPr>
          <w:p>
            <w:r>
              <w:t>Borang kertas ringkas</w:t>
            </w:r>
          </w:p>
        </w:tc>
        <w:tc>
          <w:tcPr>
            <w:tcW w:type="dxa" w:w="4656"/>
          </w:tcPr>
          <w:p>
            <w:r>
              <w:t>Program di tadika, capaian segera selepas aktiviti</w:t>
            </w:r>
          </w:p>
        </w:tc>
      </w:tr>
      <w:tr>
        <w:tc>
          <w:tcPr>
            <w:tcW w:type="dxa" w:w="4656"/>
          </w:tcPr>
          <w:p>
            <w:r>
              <w:t>Borang Google Form</w:t>
            </w:r>
          </w:p>
        </w:tc>
        <w:tc>
          <w:tcPr>
            <w:tcW w:type="dxa" w:w="4656"/>
          </w:tcPr>
          <w:p>
            <w:r>
              <w:t>Ibu bapa yang celik digital, memudahkan analisis data</w:t>
            </w:r>
          </w:p>
        </w:tc>
      </w:tr>
      <w:tr>
        <w:tc>
          <w:tcPr>
            <w:tcW w:type="dxa" w:w="4656"/>
          </w:tcPr>
          <w:p>
            <w:r>
              <w:t>Perbualan lisan/temu ramah ringkas</w:t>
            </w:r>
          </w:p>
        </w:tc>
        <w:tc>
          <w:tcPr>
            <w:tcW w:type="dxa" w:w="4656"/>
          </w:tcPr>
          <w:p>
            <w:r>
              <w:t>Maklum balas segera dan mendalam daripada peserta tertentu</w:t>
            </w:r>
          </w:p>
        </w:tc>
      </w:tr>
    </w:tbl>
    <w:p>
      <w:r>
        <w:rPr>
          <w:b/>
          <w:sz w:val="26"/>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r>
        <w:rPr>
          <w:b/>
          <w:sz w:val="26"/>
        </w:rPr>
        <w:t>3. Rekod untuk Analisis</w:t>
      </w:r>
    </w:p>
    <w:p>
      <w:r>
        <w:t>Maklum balas yang dikumpul perlu direkod secara sistematik (contoh: dalam jadual Excel ringkas) supaya mudah dianalisis dan dirujuk semasa penyediaan laporan ringkasan dan mesyuarat pasca-mortem.</w:t>
      </w:r>
    </w:p>
    <w:p>
      <w:r>
        <w:rPr>
          <w:b/>
          <w:sz w:val="26"/>
        </w:rPr>
        <w:t>4. Rumusan</w:t>
      </w:r>
    </w:p>
    <w:p>
      <w:r>
        <w:t>Prosedur mengumpul maklum balas yang sistematik — daripada kaedah pengumpulan hingga rekod data — membolehkan guru prasekolah menganalisis keberkesanan program secara objektif dan menyediakan asas kukuh untuk laporan aktiviti.</w:t>
      </w:r>
    </w:p>
    <w:p>
      <w:r>
        <w:rPr>
          <w:b/>
          <w:sz w:val="36"/>
        </w:rPr>
        <w:t>Bab 2: Summary report (reporting format)</w:t>
      </w:r>
    </w:p>
    <w:p>
      <w:r>
        <w:rPr>
          <w:b/>
          <w:sz w:val="26"/>
        </w:rPr>
        <w:t>Objektif Pembelajaran</w:t>
      </w:r>
    </w:p>
    <w:p>
      <w:r>
        <w:t>Selepas mempelajari topik ini, pelatih dapat:</w:t>
      </w:r>
    </w:p>
    <w:p>
      <w:pPr>
        <w:pStyle w:val="ListParagraph"/>
      </w:pPr>
      <w:r>
        <w:t>• Menjelaskan format standard laporan ringkasan aktiviti ibu bapa-komuniti.</w:t>
      </w:r>
    </w:p>
    <w:p>
      <w:pPr>
        <w:pStyle w:val="ListParagraph"/>
      </w:pPr>
      <w:r>
        <w:t>• Menyediakan laporan ringkasan yang lengkap dan tepat.</w:t>
      </w:r>
    </w:p>
    <w:p>
      <w:pPr>
        <w:pStyle w:val="ListParagraph"/>
      </w:pPr>
      <w:r>
        <w:t>• Membezakan kandungan laporan dengan borang maklum balas mentah.</w:t>
      </w:r>
    </w:p>
    <w:p>
      <w:r>
        <w:rPr>
          <w:b/>
          <w:sz w:val="26"/>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ook w:firstColumn="1" w:firstRow="1" w:lastColumn="0" w:lastRow="0" w:noHBand="0" w:noVBand="1" w:val="04A0"/>
      </w:tblPr>
      <w:tblGrid>
        <w:gridCol w:w="4656"/>
        <w:gridCol w:w="4656"/>
      </w:tblGrid>
      <w:tr>
        <w:tc>
          <w:tcPr>
            <w:tcW w:type="dxa" w:w="4656"/>
          </w:tcPr>
          <w:p>
            <w:r>
              <w:t>Bahagian Laporan</w:t>
            </w:r>
          </w:p>
        </w:tc>
        <w:tc>
          <w:tcPr>
            <w:tcW w:type="dxa" w:w="4656"/>
          </w:tcPr>
          <w:p>
            <w:r>
              <w:t>Kandungan</w:t>
            </w:r>
          </w:p>
        </w:tc>
      </w:tr>
      <w:tr>
        <w:tc>
          <w:tcPr>
            <w:tcW w:type="dxa" w:w="4656"/>
          </w:tcPr>
          <w:p>
            <w:r>
              <w:t>Maklumat Am</w:t>
            </w:r>
          </w:p>
        </w:tc>
        <w:tc>
          <w:tcPr>
            <w:tcW w:type="dxa" w:w="4656"/>
          </w:tcPr>
          <w:p>
            <w:r>
              <w:t>Tajuk, tarikh, tempat, objektif program</w:t>
            </w:r>
          </w:p>
        </w:tc>
      </w:tr>
      <w:tr>
        <w:tc>
          <w:tcPr>
            <w:tcW w:type="dxa" w:w="4656"/>
          </w:tcPr>
          <w:p>
            <w:r>
              <w:t>Statistik Kehadiran</w:t>
            </w:r>
          </w:p>
        </w:tc>
        <w:tc>
          <w:tcPr>
            <w:tcW w:type="dxa" w:w="4656"/>
          </w:tcPr>
          <w:p>
            <w:r>
              <w:t>Bilangan murid, ibu bapa, komuniti, tetamu khas</w:t>
            </w:r>
          </w:p>
        </w:tc>
      </w:tr>
      <w:tr>
        <w:tc>
          <w:tcPr>
            <w:tcW w:type="dxa" w:w="4656"/>
          </w:tcPr>
          <w:p>
            <w:r>
              <w:t>Ringkasan Pelaksanaan</w:t>
            </w:r>
          </w:p>
        </w:tc>
        <w:tc>
          <w:tcPr>
            <w:tcW w:type="dxa" w:w="4656"/>
          </w:tcPr>
          <w:p>
            <w:r>
              <w:t>Aturcara sebenar berbanding perancangan</w:t>
            </w:r>
          </w:p>
        </w:tc>
      </w:tr>
      <w:tr>
        <w:tc>
          <w:tcPr>
            <w:tcW w:type="dxa" w:w="4656"/>
          </w:tcPr>
          <w:p>
            <w:r>
              <w:t>Analisis Maklum Balas</w:t>
            </w:r>
          </w:p>
        </w:tc>
        <w:tc>
          <w:tcPr>
            <w:tcW w:type="dxa" w:w="4656"/>
          </w:tcPr>
          <w:p>
            <w:r>
              <w:t>Dapatan daripada borang/soal selidik peserta</w:t>
            </w:r>
          </w:p>
        </w:tc>
      </w:tr>
      <w:tr>
        <w:tc>
          <w:tcPr>
            <w:tcW w:type="dxa" w:w="4656"/>
          </w:tcPr>
          <w:p>
            <w:r>
              <w:t>Kekuatan dan Cabaran</w:t>
            </w:r>
          </w:p>
        </w:tc>
        <w:tc>
          <w:tcPr>
            <w:tcW w:type="dxa" w:w="4656"/>
          </w:tcPr>
          <w:p>
            <w:r>
              <w:t>Aspek yang berjaya dan isu yang timbul</w:t>
            </w:r>
          </w:p>
        </w:tc>
      </w:tr>
      <w:tr>
        <w:tc>
          <w:tcPr>
            <w:tcW w:type="dxa" w:w="4656"/>
          </w:tcPr>
          <w:p>
            <w:r>
              <w:t>Cadangan Penambahbaikan</w:t>
            </w:r>
          </w:p>
        </w:tc>
        <w:tc>
          <w:tcPr>
            <w:tcW w:type="dxa" w:w="4656"/>
          </w:tcPr>
          <w:p>
            <w:r>
              <w:t>Tindakan susulan untuk program akan datang</w:t>
            </w:r>
          </w:p>
        </w:tc>
      </w:tr>
    </w:tbl>
    <w:p>
      <w:r>
        <w:rPr>
          <w:b/>
          <w:sz w:val="26"/>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r>
        <w:rPr>
          <w:b/>
          <w:sz w:val="26"/>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w:t>
      </w:r>
    </w:p>
    <w:p>
      <w:r>
        <w:rPr>
          <w:b/>
          <w:sz w:val="26"/>
        </w:rPr>
        <w:t>4. Rumusan</w:t>
      </w:r>
    </w:p>
    <w:p>
      <w:r>
        <w:t>Laporan ringkasan yang lengkap dan jujur membolehkan pihak pengurusan tadika menilai keberkesanan program ibu bapa-komuniti serta merancang penambahbaikan untuk pelaksanaan pada masa hadapan.</w:t>
      </w:r>
    </w:p>
    <w:p>
      <w:r>
        <w:rPr>
          <w:b/>
          <w:sz w:val="36"/>
        </w:rPr>
        <w:t>Bab 3: Meeting Procedure</w:t>
      </w:r>
    </w:p>
    <w:p>
      <w:r>
        <w:rPr>
          <w:b/>
          <w:sz w:val="26"/>
        </w:rPr>
        <w:t>Objektif Pembelajaran</w:t>
      </w:r>
    </w:p>
    <w:p>
      <w:r>
        <w:t>Selepas mempelajari topik ini, pelatih dapat:</w:t>
      </w:r>
    </w:p>
    <w:p>
      <w:pPr>
        <w:pStyle w:val="ListParagraph"/>
      </w:pPr>
      <w:r>
        <w:t>• Menjelaskan protokol mesyuarat pasca-mortem selepas program.</w:t>
      </w:r>
    </w:p>
    <w:p>
      <w:pPr>
        <w:pStyle w:val="ListParagraph"/>
      </w:pPr>
      <w:r>
        <w:t>• Menyenaraikan langkah pembentangan laporan dan cadangan dalam mesyuarat.</w:t>
      </w:r>
    </w:p>
    <w:p>
      <w:pPr>
        <w:pStyle w:val="ListParagraph"/>
      </w:pPr>
      <w:r>
        <w:t>• Menghadiri dan menyumbang secara konstruktif dalam mesyuarat pasca-mortem.</w:t>
      </w:r>
    </w:p>
    <w:p>
      <w:r>
        <w:rPr>
          <w:b/>
          <w:sz w:val="26"/>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r>
        <w:rPr>
          <w:b/>
          <w:sz w:val="26"/>
        </w:rPr>
        <w:t>2. Present Report (Pembentangan Laporan)</w:t>
      </w:r>
    </w:p>
    <w:p>
      <w:r>
        <w:t>Guru yang menyelaraskan program membentangkan laporan ringkasan — merangkumi statistik kehadiran, hasil maklum balas, serta kekuatan dan cabaran yang dikenal pasti — untuk perbincangan bersama.</w:t>
      </w:r>
    </w:p>
    <w:p>
      <w:r>
        <w:rPr>
          <w:b/>
          <w:sz w:val="26"/>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w:t>
      </w:r>
    </w:p>
    <w:tbl>
      <w:tblPr>
        <w:tblStyle w:val="TableGrid"/>
        <w:tblW w:type="auto" w:w="0"/>
        <w:tblLook w:firstColumn="1" w:firstRow="1" w:lastColumn="0" w:lastRow="0" w:noHBand="0" w:noVBand="1" w:val="04A0"/>
      </w:tblPr>
      <w:tblGrid>
        <w:gridCol w:w="4656"/>
        <w:gridCol w:w="4656"/>
      </w:tblGrid>
      <w:tr>
        <w:tc>
          <w:tcPr>
            <w:tcW w:type="dxa" w:w="4656"/>
          </w:tcPr>
          <w:p>
            <w:r>
              <w:t>Elemen Mesyuarat</w:t>
            </w:r>
          </w:p>
        </w:tc>
        <w:tc>
          <w:tcPr>
            <w:tcW w:type="dxa" w:w="4656"/>
          </w:tcPr>
          <w:p>
            <w:r>
              <w:t>Contoh</w:t>
            </w:r>
          </w:p>
        </w:tc>
      </w:tr>
      <w:tr>
        <w:tc>
          <w:tcPr>
            <w:tcW w:type="dxa" w:w="4656"/>
          </w:tcPr>
          <w:p>
            <w:r>
              <w:t>Meeting protocol</w:t>
            </w:r>
          </w:p>
        </w:tc>
        <w:tc>
          <w:tcPr>
            <w:tcW w:type="dxa" w:w="4656"/>
          </w:tcPr>
          <w:p>
            <w:r>
              <w:t>Agenda tetap, minit mesyuarat direkodkan</w:t>
            </w:r>
          </w:p>
        </w:tc>
      </w:tr>
      <w:tr>
        <w:tc>
          <w:tcPr>
            <w:tcW w:type="dxa" w:w="4656"/>
          </w:tcPr>
          <w:p>
            <w:r>
              <w:t>Present report</w:t>
            </w:r>
          </w:p>
        </w:tc>
        <w:tc>
          <w:tcPr>
            <w:tcW w:type="dxa" w:w="4656"/>
          </w:tcPr>
          <w:p>
            <w:r>
              <w:t>Guru membentangkan statistik dan analisis maklum balas</w:t>
            </w:r>
          </w:p>
        </w:tc>
      </w:tr>
      <w:tr>
        <w:tc>
          <w:tcPr>
            <w:tcW w:type="dxa" w:w="4656"/>
          </w:tcPr>
          <w:p>
            <w:r>
              <w:t>Recommendation</w:t>
            </w:r>
          </w:p>
        </w:tc>
        <w:tc>
          <w:tcPr>
            <w:tcW w:type="dxa" w:w="4656"/>
          </w:tcPr>
          <w:p>
            <w:r>
              <w:t>Cadangan konkrit berdasarkan cabaran yang dikenal pasti</w:t>
            </w:r>
          </w:p>
        </w:tc>
      </w:tr>
      <w:tr>
        <w:tc>
          <w:tcPr>
            <w:tcW w:type="dxa" w:w="4656"/>
          </w:tcPr>
          <w:p>
            <w:r>
              <w:t>Action planning</w:t>
            </w:r>
          </w:p>
        </w:tc>
        <w:tc>
          <w:tcPr>
            <w:tcW w:type="dxa" w:w="4656"/>
          </w:tcPr>
          <w:p>
            <w:r>
              <w:t>Tugasan dan tarikh sasaran bagi setiap cadangan</w:t>
            </w:r>
          </w:p>
        </w:tc>
      </w:tr>
    </w:tbl>
    <w:p>
      <w:r>
        <w:rPr>
          <w:b/>
          <w:sz w:val="26"/>
        </w:rPr>
        <w:t>4. Rumusan</w:t>
      </w:r>
    </w:p>
    <w:p>
      <w:r>
        <w:t>Mesyuarat pasca-mortem yang teratur — merangkumi protokol, pembentangan laporan, cadangan dan pelan tindakan — memastikan pengajaran daripada setiap program ibu bapa-komuniti diambil kira untuk penambahbaikan berterusan di tadika.</w:t>
      </w:r>
    </w:p>
    <w:p>
      <w:r>
        <w:rPr>
          <w:b/>
        </w:rPr>
        <w:t>SOALAN:</w:t>
      </w:r>
    </w:p>
    <w:p>
      <w:pPr>
        <w:pStyle w:val="ListParagraph"/>
      </w:pPr>
      <w:r>
        <w:t>• 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pStyle w:val="ListParagraph"/>
      </w:pPr>
      <w:r>
        <w:t>• 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pStyle w:val="ListParagraph"/>
      </w:pPr>
      <w:r>
        <w:t>• 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